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7B" w:rsidRDefault="00282064" w:rsidP="00B312D0">
      <w:pPr>
        <w:pStyle w:val="TCU-Epgrafe0"/>
        <w:ind w:left="0"/>
        <w:jc w:val="center"/>
        <w:rPr>
          <w:b/>
        </w:rPr>
      </w:pPr>
      <w:r>
        <w:rPr>
          <w:b/>
        </w:rPr>
        <w:t>SÍN</w:t>
      </w:r>
      <w:r w:rsidR="00A62E7B">
        <w:rPr>
          <w:b/>
        </w:rPr>
        <w:t>TESE DO ACÓRDÃO TCU nº</w:t>
      </w:r>
      <w:bookmarkStart w:id="0" w:name="_GoBack"/>
      <w:bookmarkEnd w:id="0"/>
      <w:r w:rsidR="00A62E7B">
        <w:rPr>
          <w:b/>
        </w:rPr>
        <w:t xml:space="preserve"> 1761/2018 – R14</w:t>
      </w:r>
    </w:p>
    <w:p w:rsidR="00282064" w:rsidRDefault="00282064" w:rsidP="00B312D0">
      <w:pPr>
        <w:pStyle w:val="TCU-Epgrafe0"/>
        <w:ind w:left="0"/>
        <w:jc w:val="center"/>
        <w:rPr>
          <w:b/>
        </w:rPr>
      </w:pPr>
      <w:r>
        <w:rPr>
          <w:b/>
        </w:rPr>
        <w:t>(1º, 2º E 3º ESTÁGIOS DA IN TCU 27/98)</w:t>
      </w:r>
    </w:p>
    <w:p w:rsidR="00B312D0" w:rsidRPr="00E30E4F" w:rsidRDefault="00B312D0" w:rsidP="00B312D0">
      <w:pPr>
        <w:pStyle w:val="TCU-Epgrafe0"/>
        <w:ind w:left="0"/>
        <w:jc w:val="center"/>
        <w:rPr>
          <w:b/>
          <w:u w:val="single"/>
        </w:rPr>
      </w:pPr>
      <w:r w:rsidRPr="00E30E4F">
        <w:rPr>
          <w:b/>
        </w:rPr>
        <w:t>VOTO</w:t>
      </w:r>
    </w:p>
    <w:p w:rsidR="00B312D0" w:rsidRPr="0039071C" w:rsidRDefault="00B312D0" w:rsidP="00B312D0">
      <w:pPr>
        <w:pStyle w:val="TCU-Epgrafe0"/>
        <w:ind w:left="0"/>
        <w:jc w:val="center"/>
      </w:pPr>
    </w:p>
    <w:p w:rsidR="00B312D0" w:rsidRPr="00C93FD0" w:rsidRDefault="00B312D0" w:rsidP="00B312D0">
      <w:pPr>
        <w:pStyle w:val="TCU-Epgrafe0"/>
        <w:tabs>
          <w:tab w:val="left" w:pos="1134"/>
        </w:tabs>
        <w:spacing w:before="120"/>
        <w:ind w:left="0"/>
      </w:pPr>
      <w:r>
        <w:tab/>
      </w:r>
      <w:r w:rsidR="003E1382">
        <w:t>Conforme consignado no R</w:t>
      </w:r>
      <w:r w:rsidRPr="00C93FD0">
        <w:t>elatório precedente, este processo de desestatização cuida do acompanhamento da 14ª Rodada de Licitações para a outorga de contratos de concessão para atividades de exploração e produção de petróleo e gás natural, realizada pela Agência Nacional do Petróleo, Gás Natural e Biocombustíveis – ANP.</w:t>
      </w:r>
    </w:p>
    <w:p w:rsidR="00B312D0" w:rsidRPr="00C93F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 w:rsidRPr="00C93FD0">
        <w:t>2.</w:t>
      </w:r>
      <w:r w:rsidRPr="00C93FD0">
        <w:tab/>
        <w:t>No</w:t>
      </w:r>
      <w:proofErr w:type="gramEnd"/>
      <w:r w:rsidRPr="00C93FD0">
        <w:t xml:space="preserve"> âmbito desta Corte de Contas, a matéria encontrava-se disciplinada pela Instrução Normativa TCU 27/1998, que dispunha sobre o acompanhamento concomitante dos processos de outorga de concessão de serviços públicos, realizado em quatro estágios, por meio de análise da documentação remetida pelo Poder Concedente.</w:t>
      </w:r>
      <w:r w:rsidRPr="00C93FD0">
        <w:rPr>
          <w:szCs w:val="24"/>
        </w:rPr>
        <w:t xml:space="preserve"> A</w:t>
      </w:r>
      <w:r w:rsidRPr="00C93FD0">
        <w:t xml:space="preserve"> rigor, a exploração e a produção de petróleo e gás natural não configuram serviços públicos abrangidos pelo art. 175 da Constituição Federal. No entanto, a sistemática de acompanhamento de desestatizações normatizada pela IN-TCU 27/1998 vinha sendo aplicada a essa atividade econômica desde a realização da 1ª Rodada de Licitações no regime de concessão, ocorrida em 1999, sobre a qual foram proferidas as Decisões 351/1999-TCU-Plenário e 493/1999-TCU-Plenário (rel. Ministro Adhemar </w:t>
      </w:r>
      <w:proofErr w:type="spellStart"/>
      <w:r w:rsidRPr="00C93FD0">
        <w:t>Paladini</w:t>
      </w:r>
      <w:proofErr w:type="spellEnd"/>
      <w:r w:rsidRPr="00C93FD0">
        <w:t xml:space="preserve"> </w:t>
      </w:r>
      <w:proofErr w:type="spellStart"/>
      <w:r w:rsidRPr="00C93FD0">
        <w:t>Ghisi</w:t>
      </w:r>
      <w:proofErr w:type="spellEnd"/>
      <w:r w:rsidRPr="00C93FD0">
        <w:t xml:space="preserve">). Portanto, há cerca de duas décadas consolidou-se a pacífica jurisprudência desta Corte de Contas quanto à plena aplicabilidade do citado normativo como disciplina para a fiscalização exercida sobre concessões de blocos de petróleo e contratos de partilha. </w:t>
      </w:r>
    </w:p>
    <w:p w:rsidR="00B312D0" w:rsidRPr="00C93F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 w:rsidRPr="00C93FD0">
        <w:t>3.</w:t>
      </w:r>
      <w:r w:rsidRPr="00C93FD0">
        <w:tab/>
        <w:t>Em</w:t>
      </w:r>
      <w:proofErr w:type="gramEnd"/>
      <w:r w:rsidRPr="00C93FD0">
        <w:t xml:space="preserve"> conformidade com o disposto no § 2º do art. 15 da IN-TCU 81/2018, manter-se-á a </w:t>
      </w:r>
      <w:r>
        <w:t>sistemática</w:t>
      </w:r>
      <w:r w:rsidRPr="00C93FD0">
        <w:t xml:space="preserve"> da IN-TCU 27/1998 ao processo ora em exame.</w:t>
      </w:r>
    </w:p>
    <w:p w:rsidR="00B312D0" w:rsidRPr="00C93F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 w:rsidRPr="00C93FD0">
        <w:t>4.</w:t>
      </w:r>
      <w:r w:rsidRPr="00C93FD0">
        <w:tab/>
        <w:t>Aprecia-se</w:t>
      </w:r>
      <w:proofErr w:type="gramEnd"/>
      <w:r w:rsidRPr="00C93FD0">
        <w:t>, nessa oportunidade, o primeiro, segundo e terceiro estágios de desestatização, que englobam, respectivamente, os estudos de viabilidade técnica e econômica utilizados na modelagem e na precificação dos blocos a serem outorgados, o edital e a minuta de contrato, e os procedimentos afetos à habilitação e ao julgamento das propostas.</w:t>
      </w:r>
    </w:p>
    <w:p w:rsidR="00B312D0" w:rsidRPr="00C93F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 w:rsidRPr="00C93FD0">
        <w:t>5.</w:t>
      </w:r>
      <w:r w:rsidRPr="00C93FD0">
        <w:tab/>
      </w:r>
      <w:r w:rsidRPr="00C93FD0">
        <w:rPr>
          <w:szCs w:val="24"/>
        </w:rPr>
        <w:t>Considero</w:t>
      </w:r>
      <w:proofErr w:type="gramEnd"/>
      <w:r w:rsidRPr="00C93FD0">
        <w:rPr>
          <w:szCs w:val="24"/>
        </w:rPr>
        <w:t xml:space="preserve"> que o exame dos elementos do processo foi adequadamente realizado pela Unidade Técnica, podendo ser acolhido como minhas próprias razões de decidir, sem prejuízo das considerações que passo a tecer.</w:t>
      </w:r>
    </w:p>
    <w:p w:rsidR="00B312D0" w:rsidRDefault="00B312D0" w:rsidP="00B312D0">
      <w:pPr>
        <w:pStyle w:val="TCU-Epgrafe0"/>
        <w:tabs>
          <w:tab w:val="left" w:pos="1134"/>
        </w:tabs>
        <w:spacing w:before="120"/>
        <w:ind w:left="0"/>
      </w:pPr>
      <w:r>
        <w:t>6</w:t>
      </w:r>
      <w:r w:rsidRPr="00C93FD0">
        <w:t>.</w:t>
      </w:r>
      <w:r w:rsidRPr="00C93FD0">
        <w:tab/>
        <w:t>A 14ª Rodada de Licitações abrange</w:t>
      </w:r>
      <w:r>
        <w:t>u</w:t>
      </w:r>
      <w:r w:rsidRPr="00C93FD0">
        <w:t xml:space="preserve"> 287 blocos, distribuídos em nove bacias sedimentares: Parnaíba, Potiguar, Recôncavo, Sergipe-Alagoas, Espírito Santo, Paraná, Santos, Pelotas e Campos.</w:t>
      </w:r>
      <w:r>
        <w:t xml:space="preserve"> </w:t>
      </w:r>
    </w:p>
    <w:p w:rsidR="00B312D0" w:rsidRPr="004C13AE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 w:rsidRPr="004C13AE">
        <w:lastRenderedPageBreak/>
        <w:t>7.</w:t>
      </w:r>
      <w:r w:rsidRPr="004C13AE">
        <w:tab/>
        <w:t>Conforme</w:t>
      </w:r>
      <w:proofErr w:type="gramEnd"/>
      <w:r w:rsidRPr="004C13AE">
        <w:t xml:space="preserve"> ressaltado pela unidade instrutiva, adotou-se como critério de julgamento da licitação a ponderação entre bônus de assinatura, com peso de 80%, e de programa exploratório mínimo, com peso de 20%. Ademais, o conteúdo local não mais compõe essa cesta, ao contrário do que fora praticado em rodadas anteriores, </w:t>
      </w:r>
      <w:r>
        <w:t>sendo</w:t>
      </w:r>
      <w:r w:rsidRPr="004C13AE">
        <w:t xml:space="preserve"> agora </w:t>
      </w:r>
      <w:r>
        <w:t>uma exigência contratual em percentuais globais</w:t>
      </w:r>
      <w:r w:rsidRPr="004C13AE">
        <w:t xml:space="preserve"> </w:t>
      </w:r>
      <w:r>
        <w:t>previamente fixados, de acordo com os níveis de exigência estabelecidos pelo Conselho Nacional de Política Energética – CNPE.</w:t>
      </w:r>
      <w:r w:rsidRPr="004C13AE">
        <w:t xml:space="preserve"> </w:t>
      </w:r>
      <w:r>
        <w:t xml:space="preserve">Como bem enfatizado pela </w:t>
      </w:r>
      <w:proofErr w:type="spellStart"/>
      <w:r>
        <w:t>SeinfraPetróleo</w:t>
      </w:r>
      <w:proofErr w:type="spellEnd"/>
      <w:r>
        <w:t>, os ajustes promovidos na sistemática de conteúdo local, refletidos em novas cláusulas contratuais, vão ao encontro dos apontamentos efetuados por esta Corte na auditoria apreciada pelo Acórdão 3072/2016-TCU-Plenário (</w:t>
      </w:r>
      <w:r w:rsidRPr="004C13AE">
        <w:t xml:space="preserve">rel. Ministro José </w:t>
      </w:r>
      <w:proofErr w:type="spellStart"/>
      <w:r w:rsidRPr="004C13AE">
        <w:t>Múcio</w:t>
      </w:r>
      <w:proofErr w:type="spellEnd"/>
      <w:r w:rsidRPr="004C13AE">
        <w:t xml:space="preserve"> Monteiro</w:t>
      </w:r>
      <w:r>
        <w:t xml:space="preserve">), cujas determinações serão monitoradas em processo específico. </w:t>
      </w:r>
    </w:p>
    <w:p w:rsidR="00B312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 w:rsidRPr="004C13AE">
        <w:t>8.</w:t>
      </w:r>
      <w:r w:rsidRPr="004C13AE">
        <w:tab/>
        <w:t>Quanto</w:t>
      </w:r>
      <w:proofErr w:type="gramEnd"/>
      <w:r w:rsidRPr="004C13AE">
        <w:t xml:space="preserve"> ao cálculo do bônus de assinatura, adotou-se metodologia similar à empregada na 13ª Rodada de Licitações e já apreciada por esta Corte, a teor do Acórdão 2063/2015-TCU-Plenário (rel. Ministro José </w:t>
      </w:r>
      <w:proofErr w:type="spellStart"/>
      <w:r w:rsidRPr="004C13AE">
        <w:t>Múcio</w:t>
      </w:r>
      <w:proofErr w:type="spellEnd"/>
      <w:r w:rsidRPr="004C13AE">
        <w:t xml:space="preserve"> Monteiro). Já a </w:t>
      </w:r>
      <w:r>
        <w:t>estimativa</w:t>
      </w:r>
      <w:r w:rsidRPr="004C13AE">
        <w:t xml:space="preserve"> do programa exploratório mínimo buscou assegurar que seja suficiente para mapear estrutura favorável à perfuração.</w:t>
      </w:r>
    </w:p>
    <w:p w:rsidR="00B312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>
        <w:t>9.</w:t>
      </w:r>
      <w:r>
        <w:tab/>
        <w:t>No</w:t>
      </w:r>
      <w:proofErr w:type="gramEnd"/>
      <w:r>
        <w:t xml:space="preserve"> que tange à documentação afeta ao segundo estágio, a unidade instrutiva apontou a ocorrência de descumprimento do prazo constante do art. 8º, inciso II, da IN-TCU 27/1998, sem que houvesse prejuízo às análises efetuadas, o que justifica a proposta de dar ciência do ocorrido à ANP. </w:t>
      </w:r>
    </w:p>
    <w:p w:rsidR="00B312D0" w:rsidRDefault="00B312D0" w:rsidP="00B312D0">
      <w:pPr>
        <w:pStyle w:val="TCU-Epgrafe0"/>
        <w:tabs>
          <w:tab w:val="left" w:pos="1134"/>
        </w:tabs>
        <w:spacing w:before="120"/>
        <w:ind w:left="0"/>
      </w:pPr>
      <w:proofErr w:type="gramStart"/>
      <w:r>
        <w:t>10.</w:t>
      </w:r>
      <w:r>
        <w:tab/>
        <w:t>Quanto</w:t>
      </w:r>
      <w:proofErr w:type="gramEnd"/>
      <w:r>
        <w:t xml:space="preserve"> ao resultado do certame, a </w:t>
      </w:r>
      <w:proofErr w:type="spellStart"/>
      <w:r>
        <w:t>SeinfraPetróleo</w:t>
      </w:r>
      <w:proofErr w:type="spellEnd"/>
      <w:r>
        <w:t xml:space="preserve"> relata que f</w:t>
      </w:r>
      <w:r w:rsidRPr="00C93FD0">
        <w:t>oram arrematados</w:t>
      </w:r>
      <w:r>
        <w:t xml:space="preserve"> 37 blocos e o somatório de bônus de assinatura alcançou </w:t>
      </w:r>
      <w:r w:rsidRPr="00322F76">
        <w:t>R$ 3.842.775.506,02</w:t>
      </w:r>
      <w:r>
        <w:t>, o que representou ágio de 1.556,05%</w:t>
      </w:r>
      <w:r w:rsidRPr="00322F76">
        <w:t xml:space="preserve"> </w:t>
      </w:r>
      <w:r>
        <w:t>em relação à</w:t>
      </w:r>
      <w:r w:rsidRPr="00322F76">
        <w:t xml:space="preserve"> estimat</w:t>
      </w:r>
      <w:r>
        <w:t xml:space="preserve">iva de bônus mínimo para referidos blocos. Demais disso, o total de investimentos mínimos ofertados totalizou </w:t>
      </w:r>
      <w:r w:rsidRPr="00322F76">
        <w:t>R$ 845.631.000,00</w:t>
      </w:r>
      <w:r>
        <w:t>.</w:t>
      </w:r>
    </w:p>
    <w:p w:rsidR="00B312D0" w:rsidRDefault="00B312D0" w:rsidP="00B312D0">
      <w:pPr>
        <w:pStyle w:val="TCU-Epgrafe0"/>
        <w:tabs>
          <w:tab w:val="left" w:pos="1134"/>
        </w:tabs>
        <w:spacing w:before="120"/>
        <w:ind w:left="0"/>
        <w:rPr>
          <w:szCs w:val="24"/>
        </w:rPr>
      </w:pPr>
      <w:proofErr w:type="gramStart"/>
      <w:r w:rsidRPr="00A52F72">
        <w:t>11.</w:t>
      </w:r>
      <w:r w:rsidRPr="00A52F72">
        <w:tab/>
        <w:t>Concluo</w:t>
      </w:r>
      <w:proofErr w:type="gramEnd"/>
      <w:r w:rsidRPr="00A52F72">
        <w:t xml:space="preserve">, </w:t>
      </w:r>
      <w:r w:rsidRPr="00A52F72">
        <w:rPr>
          <w:szCs w:val="24"/>
        </w:rPr>
        <w:t>portanto, em conformidade com os exames ora efetuados, que foram atendidos os requisitos formais do primeiro, do segundo e do terceiro estágios desta desestatização pelo Poder Concedente.</w:t>
      </w:r>
      <w:r>
        <w:rPr>
          <w:szCs w:val="24"/>
        </w:rPr>
        <w:t xml:space="preserve"> </w:t>
      </w:r>
    </w:p>
    <w:p w:rsidR="00B312D0" w:rsidRDefault="00B312D0" w:rsidP="00B312D0">
      <w:pPr>
        <w:pStyle w:val="TCU-Epgrafe0"/>
        <w:tabs>
          <w:tab w:val="left" w:pos="1134"/>
        </w:tabs>
        <w:spacing w:before="120"/>
        <w:ind w:left="0"/>
        <w:rPr>
          <w:szCs w:val="24"/>
        </w:rPr>
      </w:pPr>
      <w:r w:rsidRPr="004C0BF2">
        <w:rPr>
          <w:szCs w:val="24"/>
        </w:rPr>
        <w:tab/>
        <w:t>Ante o exposto, VOTO no sentido de que o Tribunal adote a deliberação que ora submeto à apreciação deste Colegiado.</w:t>
      </w:r>
    </w:p>
    <w:p w:rsidR="00B312D0" w:rsidRPr="0039071C" w:rsidRDefault="00B312D0" w:rsidP="00B312D0">
      <w:pPr>
        <w:pStyle w:val="TCU-Epgrafe0"/>
        <w:ind w:left="0"/>
        <w:jc w:val="center"/>
      </w:pPr>
    </w:p>
    <w:p w:rsidR="00B312D0" w:rsidRPr="0039071C" w:rsidRDefault="00B312D0" w:rsidP="00B312D0">
      <w:pPr>
        <w:pStyle w:val="TCU-Epgrafe0"/>
        <w:ind w:left="0"/>
        <w:jc w:val="center"/>
      </w:pPr>
    </w:p>
    <w:p w:rsidR="00B312D0" w:rsidRPr="0039071C" w:rsidRDefault="00B312D0" w:rsidP="00B312D0">
      <w:pPr>
        <w:pStyle w:val="BodyText0"/>
        <w:ind w:firstLine="1134"/>
      </w:pPr>
      <w:r w:rsidRPr="0039071C">
        <w:t xml:space="preserve">TCU, Sala das Sessões Ministro Luciano Brandão Alves de Souza, em </w:t>
      </w:r>
      <w:r>
        <w:t>1 de agosto de 2018</w:t>
      </w:r>
      <w:r w:rsidRPr="0039071C">
        <w:t>.</w:t>
      </w:r>
    </w:p>
    <w:p w:rsidR="00B312D0" w:rsidRDefault="00B312D0" w:rsidP="00B312D0">
      <w:pPr>
        <w:pStyle w:val="BodyText0"/>
        <w:jc w:val="center"/>
      </w:pPr>
    </w:p>
    <w:p w:rsidR="00E30E4F" w:rsidRDefault="00E30E4F" w:rsidP="00B312D0">
      <w:pPr>
        <w:pStyle w:val="BodyText0"/>
        <w:jc w:val="center"/>
      </w:pPr>
    </w:p>
    <w:p w:rsidR="00E30E4F" w:rsidRPr="0039071C" w:rsidRDefault="00E30E4F" w:rsidP="00B312D0">
      <w:pPr>
        <w:pStyle w:val="BodyText0"/>
        <w:jc w:val="center"/>
      </w:pPr>
    </w:p>
    <w:p w:rsidR="00B312D0" w:rsidRPr="0039071C" w:rsidRDefault="00B312D0" w:rsidP="00B312D0">
      <w:pPr>
        <w:pStyle w:val="BodyText0"/>
        <w:jc w:val="center"/>
      </w:pPr>
    </w:p>
    <w:p w:rsidR="00B312D0" w:rsidRPr="0039071C" w:rsidRDefault="00B312D0" w:rsidP="00B312D0">
      <w:pPr>
        <w:pStyle w:val="BodyText0"/>
        <w:jc w:val="center"/>
      </w:pPr>
      <w:r w:rsidRPr="0039071C">
        <w:t xml:space="preserve">AROLDO CEDRAZ </w:t>
      </w:r>
    </w:p>
    <w:p w:rsidR="00B312D0" w:rsidRPr="003665F3" w:rsidRDefault="00B312D0" w:rsidP="00B312D0">
      <w:pPr>
        <w:pStyle w:val="BodyText0"/>
        <w:jc w:val="center"/>
      </w:pPr>
      <w:r>
        <w:t>Relator</w:t>
      </w:r>
    </w:p>
    <w:p w:rsidR="00A63D6A" w:rsidRDefault="00A63D6A" w:rsidP="00A63D6A">
      <w:pPr>
        <w:pStyle w:val="Normal1"/>
        <w:widowControl w:val="0"/>
        <w:tabs>
          <w:tab w:val="left" w:pos="-142"/>
        </w:tabs>
        <w:autoSpaceDE w:val="0"/>
        <w:autoSpaceDN w:val="0"/>
        <w:ind w:left="360"/>
        <w:rPr>
          <w:szCs w:val="24"/>
        </w:rPr>
      </w:pPr>
    </w:p>
    <w:p w:rsidR="00A63D6A" w:rsidRPr="00F014DF" w:rsidRDefault="00A63D6A" w:rsidP="00A63D6A">
      <w:pPr>
        <w:pStyle w:val="Normal1"/>
        <w:widowControl w:val="0"/>
        <w:tabs>
          <w:tab w:val="left" w:pos="-142"/>
        </w:tabs>
        <w:autoSpaceDE w:val="0"/>
        <w:autoSpaceDN w:val="0"/>
        <w:ind w:left="360"/>
        <w:jc w:val="center"/>
        <w:rPr>
          <w:szCs w:val="24"/>
        </w:rPr>
      </w:pPr>
      <w:r w:rsidRPr="00F014DF">
        <w:rPr>
          <w:szCs w:val="24"/>
        </w:rPr>
        <w:t>ACÓRDÃO Nº 1761/2018 – TCU – Plenário</w:t>
      </w:r>
    </w:p>
    <w:p w:rsidR="00A63D6A" w:rsidRDefault="00A63D6A" w:rsidP="00A63D6A">
      <w:pPr>
        <w:pStyle w:val="TCU-Epgrafe1"/>
        <w:ind w:left="0"/>
        <w:jc w:val="center"/>
        <w:rPr>
          <w:szCs w:val="24"/>
        </w:rPr>
      </w:pP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1. Processo TC 014.324/2017-2. </w:t>
      </w:r>
    </w:p>
    <w:p w:rsidR="00A63D6A" w:rsidRDefault="00AE3522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2. Grupo I – Classe de Assunto:</w:t>
      </w:r>
      <w:r w:rsidR="00A63D6A">
        <w:rPr>
          <w:szCs w:val="24"/>
        </w:rPr>
        <w:t xml:space="preserve"> VII – Desestatização.</w:t>
      </w: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3. Interessados/Responsáveis: não há.</w:t>
      </w: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4. Órgão/Entidade: Agência Nacional do Petróleo, Gás Natural e Biocombustíveis.</w:t>
      </w: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5. Relator: Ministro Aroldo Cedraz.</w:t>
      </w: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6. Representante do Ministério Público: não atuou.</w:t>
      </w: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7. Unidade Técnica: Secretaria de Fiscalização de Infraestrutura de Petróleo e Gás Natural (</w:t>
      </w:r>
      <w:proofErr w:type="spellStart"/>
      <w:r>
        <w:rPr>
          <w:szCs w:val="24"/>
        </w:rPr>
        <w:t>SeinfraPetróleo</w:t>
      </w:r>
      <w:proofErr w:type="spellEnd"/>
      <w:r>
        <w:rPr>
          <w:szCs w:val="24"/>
        </w:rPr>
        <w:t>).</w:t>
      </w:r>
    </w:p>
    <w:p w:rsidR="00A63D6A" w:rsidRDefault="00A63D6A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8. Representação legal: não há.</w:t>
      </w:r>
    </w:p>
    <w:p w:rsidR="00F014DF" w:rsidRDefault="00F014DF" w:rsidP="00A63D6A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</w:p>
    <w:p w:rsidR="00A63D6A" w:rsidRDefault="00A63D6A" w:rsidP="00F014DF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9. Acórdão:</w:t>
      </w:r>
    </w:p>
    <w:p w:rsidR="00A63D6A" w:rsidRDefault="00A63D6A" w:rsidP="00F014DF">
      <w:pPr>
        <w:pStyle w:val="TCU-Epgrafe1"/>
        <w:ind w:left="0" w:firstLine="1134"/>
      </w:pPr>
      <w:r>
        <w:lastRenderedPageBreak/>
        <w:t>VISTOS, relatados e discutidos estes autos de processo de desestatização referente à 14ª Rodada de Licitações para a outorga de contratos de concessão para atividades de exploração e produção de petróleo e gás natural, realizada pela Agência Nacional do Petróleo, Gás Natural e Biocombustíveis – ANP;</w:t>
      </w:r>
    </w:p>
    <w:p w:rsidR="00A63D6A" w:rsidRDefault="00A63D6A" w:rsidP="00F014DF">
      <w:pPr>
        <w:pStyle w:val="TCU-Epgrafe1"/>
        <w:ind w:left="0" w:firstLine="1134"/>
      </w:pPr>
      <w:r>
        <w:t>ACORDAM os Ministros do Tribunal de Contas da União, reunidos em Sessão do Plenário, em:</w:t>
      </w:r>
    </w:p>
    <w:p w:rsidR="00A63D6A" w:rsidRDefault="00A63D6A" w:rsidP="00F014DF">
      <w:pPr>
        <w:pStyle w:val="TCU-Epgrafe1"/>
        <w:tabs>
          <w:tab w:val="left" w:pos="1134"/>
        </w:tabs>
        <w:ind w:left="0"/>
      </w:pPr>
      <w:r>
        <w:tab/>
        <w:t xml:space="preserve">9.1. </w:t>
      </w:r>
      <w:proofErr w:type="gramStart"/>
      <w:r>
        <w:t>com</w:t>
      </w:r>
      <w:proofErr w:type="gramEnd"/>
      <w:r>
        <w:t xml:space="preserve"> fundamento no art. 258, inciso II, do Regimento Interno do TCU, considerar que, sob o ponto de vista formal, foram atendidos os requisitos do primeiro, do segundo e do terceiro estágios da outorga previstos no art. 7º, incisos I, II e III, e no art. 8º, incisos I, e III, da Instrução Normativa TCU 27/1998;</w:t>
      </w:r>
    </w:p>
    <w:p w:rsidR="00A63D6A" w:rsidRDefault="00A63D6A" w:rsidP="00F014DF">
      <w:pPr>
        <w:pStyle w:val="TCU-Epgrafe1"/>
        <w:tabs>
          <w:tab w:val="left" w:pos="1134"/>
        </w:tabs>
        <w:ind w:left="0"/>
      </w:pPr>
      <w:r>
        <w:tab/>
        <w:t xml:space="preserve">9.2. </w:t>
      </w:r>
      <w:proofErr w:type="gramStart"/>
      <w:r>
        <w:t>dar</w:t>
      </w:r>
      <w:proofErr w:type="gramEnd"/>
      <w:r>
        <w:t xml:space="preserve"> ciência à Agência Nacional do Petróleo, Gás Natural e Biocombustíveis – ANP que o encaminhamento do edital de licitação, acompanhado da minuta do contrato, em prazo superior a cinco dias da publicação dos instrumentos licitatórios contrariou o disposto no art. 8°, inciso II, alí</w:t>
      </w:r>
      <w:r w:rsidR="00766215">
        <w:t>nea “c”, da Instrução Normativa-</w:t>
      </w:r>
      <w:r>
        <w:t>TCU 27/1998;</w:t>
      </w:r>
    </w:p>
    <w:p w:rsidR="00A63D6A" w:rsidRDefault="00A63D6A" w:rsidP="00F014DF">
      <w:pPr>
        <w:pStyle w:val="TCU-Epgrafe1"/>
        <w:tabs>
          <w:tab w:val="left" w:pos="1134"/>
        </w:tabs>
        <w:ind w:left="0"/>
      </w:pPr>
      <w:r>
        <w:tab/>
        <w:t xml:space="preserve">9.3. </w:t>
      </w:r>
      <w:proofErr w:type="gramStart"/>
      <w:r>
        <w:rPr>
          <w:szCs w:val="24"/>
        </w:rPr>
        <w:t>encaminhar</w:t>
      </w:r>
      <w:proofErr w:type="gramEnd"/>
      <w:r>
        <w:rPr>
          <w:szCs w:val="24"/>
        </w:rPr>
        <w:t xml:space="preserve"> cópia desta deliberação ao </w:t>
      </w:r>
      <w:r>
        <w:t xml:space="preserve">Conselho Nacional de Política Energética, ao Ministério de Minas e Energia e </w:t>
      </w:r>
      <w:r>
        <w:rPr>
          <w:szCs w:val="24"/>
        </w:rPr>
        <w:t>à Agência Nacional do Petróleo, Gás Natural e Biocombustíveis;</w:t>
      </w:r>
    </w:p>
    <w:p w:rsidR="00A63D6A" w:rsidRDefault="00A63D6A" w:rsidP="00F014DF">
      <w:pPr>
        <w:pStyle w:val="TCU-Epgrafe1"/>
        <w:ind w:left="0" w:firstLine="1134"/>
        <w:rPr>
          <w:szCs w:val="24"/>
        </w:rPr>
      </w:pPr>
      <w:r>
        <w:rPr>
          <w:szCs w:val="24"/>
        </w:rPr>
        <w:t xml:space="preserve">9.4. </w:t>
      </w:r>
      <w:proofErr w:type="gramStart"/>
      <w:r>
        <w:rPr>
          <w:szCs w:val="24"/>
        </w:rPr>
        <w:t>restituir</w:t>
      </w:r>
      <w:proofErr w:type="gramEnd"/>
      <w:r>
        <w:rPr>
          <w:szCs w:val="24"/>
        </w:rPr>
        <w:t xml:space="preserve"> os autos à </w:t>
      </w:r>
      <w:proofErr w:type="spellStart"/>
      <w:r>
        <w:rPr>
          <w:szCs w:val="24"/>
        </w:rPr>
        <w:t>SeinfraPetróleo</w:t>
      </w:r>
      <w:proofErr w:type="spellEnd"/>
      <w:r>
        <w:rPr>
          <w:szCs w:val="24"/>
        </w:rPr>
        <w:t xml:space="preserve"> para que dê seguimento ao exame de mérito do quarto estágio de que tratam o art. 7º, inciso IV, e o art. 8º, in</w:t>
      </w:r>
      <w:r w:rsidR="00766215">
        <w:rPr>
          <w:szCs w:val="24"/>
        </w:rPr>
        <w:t>ciso IV, da Instrução Normativa-</w:t>
      </w:r>
      <w:r>
        <w:rPr>
          <w:szCs w:val="24"/>
        </w:rPr>
        <w:t>TCU 27/1998.</w:t>
      </w:r>
    </w:p>
    <w:p w:rsidR="00F014DF" w:rsidRDefault="00F014DF" w:rsidP="00F014DF">
      <w:pPr>
        <w:pStyle w:val="TCU-Epgrafe1"/>
        <w:ind w:left="0" w:firstLine="1134"/>
      </w:pP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  <w:r>
        <w:rPr>
          <w:color w:val="000000"/>
          <w:szCs w:val="24"/>
        </w:rPr>
        <w:t>10. Ata n° 29/2018 – Plenário</w:t>
      </w:r>
      <w:r w:rsidR="00E964BF">
        <w:rPr>
          <w:color w:val="000000"/>
          <w:szCs w:val="24"/>
        </w:rPr>
        <w:t>.</w:t>
      </w: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  <w:r>
        <w:rPr>
          <w:color w:val="000000"/>
          <w:szCs w:val="24"/>
        </w:rPr>
        <w:t>11. Data da Sessão: 1/8/2018 – Ordinária</w:t>
      </w:r>
      <w:r w:rsidR="00E964BF">
        <w:rPr>
          <w:color w:val="000000"/>
          <w:szCs w:val="24"/>
        </w:rPr>
        <w:t>.</w:t>
      </w: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  <w:r>
        <w:rPr>
          <w:color w:val="000000"/>
          <w:szCs w:val="24"/>
        </w:rPr>
        <w:t>12. Código eletrônico para localização na página do TCU na Internet: AC-1761-29/18-P</w:t>
      </w:r>
      <w:r w:rsidR="00E964BF">
        <w:rPr>
          <w:color w:val="000000"/>
          <w:szCs w:val="24"/>
        </w:rPr>
        <w:t>.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color w:val="000000"/>
          <w:szCs w:val="24"/>
        </w:rPr>
        <w:t xml:space="preserve">13. Especificação do </w:t>
      </w:r>
      <w:proofErr w:type="spellStart"/>
      <w:r>
        <w:rPr>
          <w:color w:val="000000"/>
          <w:szCs w:val="24"/>
        </w:rPr>
        <w:t>quorum</w:t>
      </w:r>
      <w:proofErr w:type="spellEnd"/>
      <w:r>
        <w:rPr>
          <w:color w:val="000000"/>
          <w:szCs w:val="24"/>
        </w:rPr>
        <w:t>:</w:t>
      </w:r>
      <w:r w:rsidR="00E102DC">
        <w:rPr>
          <w:color w:val="000000"/>
          <w:szCs w:val="24"/>
        </w:rPr>
        <w:t xml:space="preserve"> 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szCs w:val="24"/>
        </w:rPr>
        <w:t xml:space="preserve">13.1. Ministros presentes: Raimundo Carreiro (Presidente), Benjamin </w:t>
      </w:r>
      <w:proofErr w:type="spellStart"/>
      <w:r>
        <w:rPr>
          <w:szCs w:val="24"/>
        </w:rPr>
        <w:t>Zymler</w:t>
      </w:r>
      <w:proofErr w:type="spellEnd"/>
      <w:r>
        <w:rPr>
          <w:szCs w:val="24"/>
        </w:rPr>
        <w:t xml:space="preserve">, Augusto </w:t>
      </w:r>
      <w:proofErr w:type="spellStart"/>
      <w:r>
        <w:rPr>
          <w:szCs w:val="24"/>
        </w:rPr>
        <w:t>Nardes</w:t>
      </w:r>
      <w:proofErr w:type="spellEnd"/>
      <w:r>
        <w:rPr>
          <w:szCs w:val="24"/>
        </w:rPr>
        <w:t xml:space="preserve">, Aroldo Cedraz (Relator), José </w:t>
      </w:r>
      <w:proofErr w:type="spellStart"/>
      <w:r>
        <w:rPr>
          <w:szCs w:val="24"/>
        </w:rPr>
        <w:t>Múcio</w:t>
      </w:r>
      <w:proofErr w:type="spellEnd"/>
      <w:r>
        <w:rPr>
          <w:szCs w:val="24"/>
        </w:rPr>
        <w:t xml:space="preserve"> Monteiro, Ana Arraes e Bruno Dantas.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szCs w:val="24"/>
        </w:rPr>
        <w:t xml:space="preserve">13.2. Ministro-Substituto convocado: Augusto </w:t>
      </w:r>
      <w:proofErr w:type="spellStart"/>
      <w:r>
        <w:rPr>
          <w:szCs w:val="24"/>
        </w:rPr>
        <w:t>Sherman</w:t>
      </w:r>
      <w:proofErr w:type="spellEnd"/>
      <w:r>
        <w:rPr>
          <w:szCs w:val="24"/>
        </w:rPr>
        <w:t xml:space="preserve"> Cavalcanti.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szCs w:val="24"/>
        </w:rPr>
        <w:t xml:space="preserve">13.3. Ministros-Substitutos presentes: Marcos </w:t>
      </w:r>
      <w:proofErr w:type="spellStart"/>
      <w:r>
        <w:rPr>
          <w:szCs w:val="24"/>
        </w:rPr>
        <w:t>Bemquerer</w:t>
      </w:r>
      <w:proofErr w:type="spellEnd"/>
      <w:r>
        <w:rPr>
          <w:szCs w:val="24"/>
        </w:rPr>
        <w:t xml:space="preserve"> Costa, André Luís de Carvalho e </w:t>
      </w:r>
      <w:proofErr w:type="spellStart"/>
      <w:r>
        <w:rPr>
          <w:szCs w:val="24"/>
        </w:rPr>
        <w:t>Weder</w:t>
      </w:r>
      <w:proofErr w:type="spellEnd"/>
      <w:r>
        <w:rPr>
          <w:szCs w:val="24"/>
        </w:rPr>
        <w:t xml:space="preserve"> de Oliveira.</w:t>
      </w: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</w:p>
    <w:p w:rsidR="008F477F" w:rsidRDefault="008F477F" w:rsidP="00A14B5A">
      <w:pPr>
        <w:pStyle w:val="Normal1"/>
        <w:jc w:val="both"/>
        <w:rPr>
          <w:color w:val="000000"/>
          <w:szCs w:val="24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8F477F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8F477F">
            <w:pPr>
              <w:pStyle w:val="Normal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(Assinado Eletronicamente)</w:t>
            </w:r>
          </w:p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RAIMUNDO CARREIRO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8F477F">
            <w:pPr>
              <w:pStyle w:val="Normal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(Assinado Eletronicamente)</w:t>
            </w:r>
          </w:p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AROLDO CEDRAZ</w:t>
            </w:r>
          </w:p>
        </w:tc>
      </w:tr>
      <w:tr w:rsidR="008F477F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Presidente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Relator</w:t>
            </w:r>
          </w:p>
        </w:tc>
      </w:tr>
    </w:tbl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  <w:r>
        <w:rPr>
          <w:color w:val="000000"/>
          <w:szCs w:val="24"/>
        </w:rPr>
        <w:t>Fui presente:</w:t>
      </w: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 w:val="20"/>
        </w:rPr>
      </w:pPr>
      <w:r>
        <w:rPr>
          <w:color w:val="000000"/>
          <w:sz w:val="20"/>
        </w:rPr>
        <w:t>(Assinado Eletronicamente)</w:t>
      </w: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  <w:r>
        <w:rPr>
          <w:color w:val="000000"/>
          <w:szCs w:val="24"/>
        </w:rPr>
        <w:t>CRISTINA MACHADO DA COSTA E SILVA</w:t>
      </w: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  <w:r>
        <w:rPr>
          <w:color w:val="000000"/>
          <w:szCs w:val="24"/>
        </w:rPr>
        <w:t>Procuradora-Geral</w:t>
      </w:r>
    </w:p>
    <w:p w:rsidR="00383BD1" w:rsidRPr="00956937" w:rsidRDefault="00383BD1" w:rsidP="008F477F">
      <w:pPr>
        <w:pStyle w:val="Normal1"/>
        <w:jc w:val="both"/>
        <w:rPr>
          <w:color w:val="000000"/>
          <w:szCs w:val="24"/>
        </w:rPr>
      </w:pPr>
    </w:p>
    <w:p w:rsidR="00A63D6A" w:rsidRDefault="00A63D6A" w:rsidP="00A63D6A">
      <w:pPr>
        <w:pStyle w:val="TCU-Epgrafe1"/>
        <w:spacing w:before="120"/>
        <w:ind w:left="0" w:firstLine="1134"/>
      </w:pPr>
    </w:p>
    <w:p w:rsidR="00E503F3" w:rsidRPr="008659BF" w:rsidRDefault="00E503F3" w:rsidP="00E503F3">
      <w:pPr>
        <w:pStyle w:val="TCU-Epgrafe"/>
        <w:tabs>
          <w:tab w:val="left" w:pos="1134"/>
        </w:tabs>
        <w:ind w:left="0"/>
      </w:pPr>
    </w:p>
    <w:sectPr w:rsidR="00E503F3" w:rsidRPr="008659BF">
      <w:headerReference w:type="default" r:id="rId8"/>
      <w:footerReference w:type="default" r:id="rId9"/>
      <w:pgSz w:w="11906" w:h="16838" w:code="9"/>
      <w:pgMar w:top="1671" w:right="567" w:bottom="851" w:left="1418" w:header="85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A5" w:rsidRDefault="00C402A5" w:rsidP="00ED5179">
      <w:r>
        <w:separator/>
      </w:r>
    </w:p>
  </w:endnote>
  <w:endnote w:type="continuationSeparator" w:id="0">
    <w:p w:rsidR="00C402A5" w:rsidRDefault="00C402A5" w:rsidP="00ED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E2" w:rsidRDefault="00C04BE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2E7B">
      <w:rPr>
        <w:noProof/>
      </w:rPr>
      <w:t>3</w:t>
    </w:r>
    <w:r>
      <w:fldChar w:fldCharType="end"/>
    </w:r>
  </w:p>
  <w:p w:rsidR="009C1CD2" w:rsidRDefault="009C1CD2" w:rsidP="00D702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A5" w:rsidRDefault="00C402A5" w:rsidP="00ED5179">
      <w:r>
        <w:separator/>
      </w:r>
    </w:p>
  </w:footnote>
  <w:footnote w:type="continuationSeparator" w:id="0">
    <w:p w:rsidR="00C402A5" w:rsidRDefault="00C402A5" w:rsidP="00ED5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06" w:rsidRDefault="00842D06" w:rsidP="00842D06">
    <w:pPr>
      <w:pStyle w:val="Cabealho"/>
    </w:pPr>
  </w:p>
  <w:p w:rsidR="006006C2" w:rsidRPr="00842D06" w:rsidRDefault="006006C2" w:rsidP="00842D06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FCE4CC0"/>
    <w:name w:val="Outline"/>
    <w:lvl w:ilvl="0">
      <w:start w:val="1"/>
      <w:numFmt w:val="decimal"/>
      <w:pStyle w:val="Relatrio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322C2"/>
    <w:multiLevelType w:val="multilevel"/>
    <w:tmpl w:val="0F9C29C2"/>
    <w:lvl w:ilvl="0">
      <w:start w:val="1"/>
      <w:numFmt w:val="upperRoman"/>
      <w:pStyle w:val="Ttulonumerado-nvelprimrio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Ttulonumerado-nvelsecundrio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pStyle w:val="Ttulonumerado-nveltrcirio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EC411B"/>
    <w:multiLevelType w:val="hybridMultilevel"/>
    <w:tmpl w:val="D0AA8054"/>
    <w:lvl w:ilvl="0" w:tplc="00000000">
      <w:start w:val="1"/>
      <w:numFmt w:val="decimal"/>
      <w:lvlText w:val="%1."/>
      <w:lvlJc w:val="left"/>
      <w:pPr>
        <w:ind w:left="127" w:hanging="1142"/>
      </w:pPr>
      <w:rPr>
        <w:rFonts w:ascii="Times New Roman" w:hAnsi="Times New Roman" w:cs="Times New Roman"/>
        <w:spacing w:val="-22"/>
        <w:w w:val="100"/>
        <w:sz w:val="24"/>
        <w:szCs w:val="24"/>
      </w:rPr>
    </w:lvl>
    <w:lvl w:ilvl="1" w:tplc="00000001">
      <w:numFmt w:val="bullet"/>
      <w:lvlText w:val="•"/>
      <w:lvlJc w:val="left"/>
      <w:pPr>
        <w:ind w:left="1101" w:hanging="1142"/>
      </w:pPr>
    </w:lvl>
    <w:lvl w:ilvl="2" w:tplc="00000002">
      <w:numFmt w:val="bullet"/>
      <w:lvlText w:val="•"/>
      <w:lvlJc w:val="left"/>
      <w:pPr>
        <w:ind w:left="2082" w:hanging="1142"/>
      </w:pPr>
    </w:lvl>
    <w:lvl w:ilvl="3" w:tplc="00000003">
      <w:numFmt w:val="bullet"/>
      <w:lvlText w:val="•"/>
      <w:lvlJc w:val="left"/>
      <w:pPr>
        <w:ind w:left="3063" w:hanging="1142"/>
      </w:pPr>
    </w:lvl>
    <w:lvl w:ilvl="4" w:tplc="00000004">
      <w:numFmt w:val="bullet"/>
      <w:lvlText w:val="•"/>
      <w:lvlJc w:val="left"/>
      <w:pPr>
        <w:ind w:left="4044" w:hanging="1142"/>
      </w:pPr>
    </w:lvl>
    <w:lvl w:ilvl="5" w:tplc="00000005">
      <w:numFmt w:val="bullet"/>
      <w:lvlText w:val="•"/>
      <w:lvlJc w:val="left"/>
      <w:pPr>
        <w:ind w:left="5025" w:hanging="1142"/>
      </w:pPr>
    </w:lvl>
    <w:lvl w:ilvl="6" w:tplc="00000006">
      <w:numFmt w:val="bullet"/>
      <w:lvlText w:val="•"/>
      <w:lvlJc w:val="left"/>
      <w:pPr>
        <w:ind w:left="6006" w:hanging="1142"/>
      </w:pPr>
    </w:lvl>
    <w:lvl w:ilvl="7" w:tplc="00000007">
      <w:numFmt w:val="bullet"/>
      <w:lvlText w:val="•"/>
      <w:lvlJc w:val="left"/>
      <w:pPr>
        <w:ind w:left="6987" w:hanging="1142"/>
      </w:pPr>
    </w:lvl>
    <w:lvl w:ilvl="8" w:tplc="00000008">
      <w:numFmt w:val="bullet"/>
      <w:lvlText w:val="•"/>
      <w:lvlJc w:val="left"/>
      <w:pPr>
        <w:ind w:left="7968" w:hanging="1142"/>
      </w:pPr>
    </w:lvl>
  </w:abstractNum>
  <w:abstractNum w:abstractNumId="3" w15:restartNumberingAfterBreak="0">
    <w:nsid w:val="0A92221F"/>
    <w:multiLevelType w:val="hybridMultilevel"/>
    <w:tmpl w:val="70223202"/>
    <w:lvl w:ilvl="0" w:tplc="00000000">
      <w:start w:val="1"/>
      <w:numFmt w:val="lowerLetter"/>
      <w:lvlText w:val="%1)"/>
      <w:lvlJc w:val="left"/>
      <w:pPr>
        <w:ind w:left="1268" w:hanging="270"/>
      </w:pPr>
      <w:rPr>
        <w:rFonts w:ascii="Times New Roman" w:hAnsi="Times New Roman" w:cs="Times New Roman"/>
        <w:spacing w:val="-2"/>
        <w:w w:val="100"/>
        <w:sz w:val="24"/>
        <w:szCs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9536EC"/>
    <w:multiLevelType w:val="hybridMultilevel"/>
    <w:tmpl w:val="92D0C586"/>
    <w:lvl w:ilvl="0" w:tplc="00000000">
      <w:start w:val="31"/>
      <w:numFmt w:val="decimal"/>
      <w:lvlText w:val="%1."/>
      <w:lvlJc w:val="left"/>
      <w:pPr>
        <w:ind w:left="127" w:hanging="1142"/>
      </w:pPr>
      <w:rPr>
        <w:rFonts w:ascii="Times New Roman" w:hAnsi="Times New Roman" w:cs="Times New Roman"/>
        <w:spacing w:val="-35"/>
        <w:w w:val="100"/>
        <w:sz w:val="24"/>
        <w:szCs w:val="24"/>
      </w:rPr>
    </w:lvl>
    <w:lvl w:ilvl="1" w:tplc="00000001">
      <w:start w:val="1"/>
      <w:numFmt w:val="lowerLetter"/>
      <w:lvlText w:val="%2)"/>
      <w:lvlJc w:val="left"/>
      <w:pPr>
        <w:ind w:left="1268" w:hanging="437"/>
      </w:pPr>
      <w:rPr>
        <w:rFonts w:ascii="Times New Roman" w:hAnsi="Times New Roman" w:cs="Times New Roman"/>
        <w:spacing w:val="-22"/>
        <w:w w:val="100"/>
        <w:sz w:val="24"/>
        <w:szCs w:val="24"/>
      </w:rPr>
    </w:lvl>
    <w:lvl w:ilvl="2" w:tplc="00000002">
      <w:numFmt w:val="bullet"/>
      <w:lvlText w:val="•"/>
      <w:lvlJc w:val="left"/>
      <w:pPr>
        <w:ind w:left="2223" w:hanging="437"/>
      </w:pPr>
    </w:lvl>
    <w:lvl w:ilvl="3" w:tplc="00000003">
      <w:numFmt w:val="bullet"/>
      <w:lvlText w:val="•"/>
      <w:lvlJc w:val="left"/>
      <w:pPr>
        <w:ind w:left="3186" w:hanging="437"/>
      </w:pPr>
    </w:lvl>
    <w:lvl w:ilvl="4" w:tplc="00000004">
      <w:numFmt w:val="bullet"/>
      <w:lvlText w:val="•"/>
      <w:lvlJc w:val="left"/>
      <w:pPr>
        <w:ind w:left="4150" w:hanging="437"/>
      </w:pPr>
    </w:lvl>
    <w:lvl w:ilvl="5" w:tplc="00000005">
      <w:numFmt w:val="bullet"/>
      <w:lvlText w:val="•"/>
      <w:lvlJc w:val="left"/>
      <w:pPr>
        <w:ind w:left="5113" w:hanging="437"/>
      </w:pPr>
    </w:lvl>
    <w:lvl w:ilvl="6" w:tplc="00000006">
      <w:numFmt w:val="bullet"/>
      <w:lvlText w:val="•"/>
      <w:lvlJc w:val="left"/>
      <w:pPr>
        <w:ind w:left="6076" w:hanging="437"/>
      </w:pPr>
    </w:lvl>
    <w:lvl w:ilvl="7" w:tplc="00000007">
      <w:numFmt w:val="bullet"/>
      <w:lvlText w:val="•"/>
      <w:lvlJc w:val="left"/>
      <w:pPr>
        <w:ind w:left="7040" w:hanging="437"/>
      </w:pPr>
    </w:lvl>
    <w:lvl w:ilvl="8" w:tplc="00000008">
      <w:numFmt w:val="bullet"/>
      <w:lvlText w:val="•"/>
      <w:lvlJc w:val="left"/>
      <w:pPr>
        <w:ind w:left="8003" w:hanging="437"/>
      </w:pPr>
    </w:lvl>
  </w:abstractNum>
  <w:abstractNum w:abstractNumId="5" w15:restartNumberingAfterBreak="0">
    <w:nsid w:val="139D2953"/>
    <w:multiLevelType w:val="hybridMultilevel"/>
    <w:tmpl w:val="7A50BEA0"/>
    <w:lvl w:ilvl="0" w:tplc="00000000">
      <w:start w:val="1"/>
      <w:numFmt w:val="lowerLetter"/>
      <w:pStyle w:val="Listadeinformaescorreto"/>
      <w:lvlText w:val="%1)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061B1"/>
    <w:multiLevelType w:val="multilevel"/>
    <w:tmpl w:val="945E82D6"/>
    <w:lvl w:ilvl="0">
      <w:start w:val="1"/>
      <w:numFmt w:val="decimal"/>
      <w:pStyle w:val="Pargrafo-nvelprimrio"/>
      <w:lvlText w:val="%1."/>
      <w:lvlJc w:val="left"/>
      <w:rPr>
        <w:rFonts w:cs="Times New Roman"/>
        <w:color w:val="000000"/>
      </w:rPr>
    </w:lvl>
    <w:lvl w:ilvl="1">
      <w:start w:val="1"/>
      <w:numFmt w:val="decimal"/>
      <w:pStyle w:val="Pargrafo-nvelsecundrio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pStyle w:val="Pargrafo-nveltercirio"/>
      <w:lvlText w:val="%1.%2.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1CA35A9A"/>
    <w:multiLevelType w:val="hybridMultilevel"/>
    <w:tmpl w:val="3A00A42A"/>
    <w:lvl w:ilvl="0" w:tplc="00000000">
      <w:start w:val="1"/>
      <w:numFmt w:val="lowerLetter"/>
      <w:suff w:val="nothing"/>
      <w:lvlText w:val="%1)"/>
      <w:lvlJc w:val="left"/>
      <w:pPr>
        <w:ind w:left="1494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303A6DB6"/>
    <w:multiLevelType w:val="multilevel"/>
    <w:tmpl w:val="375E9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327106F"/>
    <w:multiLevelType w:val="multilevel"/>
    <w:tmpl w:val="0A66634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cs="Times New Roman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cs="Times New Roman"/>
      </w:rPr>
    </w:lvl>
  </w:abstractNum>
  <w:abstractNum w:abstractNumId="10" w15:restartNumberingAfterBreak="0">
    <w:nsid w:val="4F867DCC"/>
    <w:multiLevelType w:val="multilevel"/>
    <w:tmpl w:val="09B60FE0"/>
    <w:styleLink w:val="1nvel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caps/>
        <w:sz w:val="24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2CA6966"/>
    <w:multiLevelType w:val="multilevel"/>
    <w:tmpl w:val="6D3AEB98"/>
    <w:styleLink w:val="Estilo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602A6CDC"/>
    <w:multiLevelType w:val="multilevel"/>
    <w:tmpl w:val="A978054C"/>
    <w:styleLink w:val="Estilo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6BD46DD9"/>
    <w:multiLevelType w:val="multilevel"/>
    <w:tmpl w:val="17F467DE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74A776CD"/>
    <w:multiLevelType w:val="multilevel"/>
    <w:tmpl w:val="94A4EDDE"/>
    <w:styleLink w:val="Estilo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8D55EDA"/>
    <w:multiLevelType w:val="hybridMultilevel"/>
    <w:tmpl w:val="02AA9708"/>
    <w:lvl w:ilvl="0" w:tplc="00000000">
      <w:start w:val="1"/>
      <w:numFmt w:val="lowerLetter"/>
      <w:pStyle w:val="listadeinformaes"/>
      <w:lvlText w:val="%1)"/>
      <w:lvlJc w:val="left"/>
      <w:pPr>
        <w:ind w:left="1494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7"/>
  </w:num>
  <w:num w:numId="17">
    <w:abstractNumId w:val="6"/>
  </w:num>
  <w:num w:numId="18">
    <w:abstractNumId w:val="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79"/>
    <w:rsid w:val="00001856"/>
    <w:rsid w:val="00096B47"/>
    <w:rsid w:val="000D4244"/>
    <w:rsid w:val="000F2444"/>
    <w:rsid w:val="0013773E"/>
    <w:rsid w:val="001503F9"/>
    <w:rsid w:val="00177D47"/>
    <w:rsid w:val="001A0F92"/>
    <w:rsid w:val="001D00C5"/>
    <w:rsid w:val="001F4538"/>
    <w:rsid w:val="0020622A"/>
    <w:rsid w:val="00234034"/>
    <w:rsid w:val="00256B0C"/>
    <w:rsid w:val="00282064"/>
    <w:rsid w:val="00295550"/>
    <w:rsid w:val="002961A3"/>
    <w:rsid w:val="002E380E"/>
    <w:rsid w:val="00322F76"/>
    <w:rsid w:val="00327A3D"/>
    <w:rsid w:val="00344ECE"/>
    <w:rsid w:val="003665F3"/>
    <w:rsid w:val="00383BD1"/>
    <w:rsid w:val="0039071C"/>
    <w:rsid w:val="003E1382"/>
    <w:rsid w:val="003E35D7"/>
    <w:rsid w:val="003F6210"/>
    <w:rsid w:val="0042169F"/>
    <w:rsid w:val="00445CBC"/>
    <w:rsid w:val="00492A1E"/>
    <w:rsid w:val="004C0BF2"/>
    <w:rsid w:val="004C13AE"/>
    <w:rsid w:val="004F6C41"/>
    <w:rsid w:val="005264AF"/>
    <w:rsid w:val="00532988"/>
    <w:rsid w:val="00540BCC"/>
    <w:rsid w:val="005510CA"/>
    <w:rsid w:val="005A2E89"/>
    <w:rsid w:val="006006C2"/>
    <w:rsid w:val="006779C0"/>
    <w:rsid w:val="00703C89"/>
    <w:rsid w:val="007250BA"/>
    <w:rsid w:val="007404E0"/>
    <w:rsid w:val="00766215"/>
    <w:rsid w:val="0079650B"/>
    <w:rsid w:val="008048F0"/>
    <w:rsid w:val="00842D06"/>
    <w:rsid w:val="008659BF"/>
    <w:rsid w:val="00884C00"/>
    <w:rsid w:val="008D43AA"/>
    <w:rsid w:val="008F0439"/>
    <w:rsid w:val="008F477F"/>
    <w:rsid w:val="00924297"/>
    <w:rsid w:val="00935B2B"/>
    <w:rsid w:val="00956937"/>
    <w:rsid w:val="0095776C"/>
    <w:rsid w:val="00991087"/>
    <w:rsid w:val="009B0538"/>
    <w:rsid w:val="009C1CD2"/>
    <w:rsid w:val="009E41D1"/>
    <w:rsid w:val="00A14B5A"/>
    <w:rsid w:val="00A205EC"/>
    <w:rsid w:val="00A52F72"/>
    <w:rsid w:val="00A62E7B"/>
    <w:rsid w:val="00A63D6A"/>
    <w:rsid w:val="00A64B75"/>
    <w:rsid w:val="00A9242D"/>
    <w:rsid w:val="00AA4BD9"/>
    <w:rsid w:val="00AB7BF8"/>
    <w:rsid w:val="00AD3C90"/>
    <w:rsid w:val="00AE2238"/>
    <w:rsid w:val="00AE3522"/>
    <w:rsid w:val="00B312D0"/>
    <w:rsid w:val="00B41043"/>
    <w:rsid w:val="00BD55F7"/>
    <w:rsid w:val="00BE719D"/>
    <w:rsid w:val="00BF2730"/>
    <w:rsid w:val="00BF581A"/>
    <w:rsid w:val="00C013E3"/>
    <w:rsid w:val="00C04BE2"/>
    <w:rsid w:val="00C16E69"/>
    <w:rsid w:val="00C23E2C"/>
    <w:rsid w:val="00C35594"/>
    <w:rsid w:val="00C402A5"/>
    <w:rsid w:val="00C72771"/>
    <w:rsid w:val="00C83838"/>
    <w:rsid w:val="00C92822"/>
    <w:rsid w:val="00C93FD0"/>
    <w:rsid w:val="00C96FBD"/>
    <w:rsid w:val="00CD5906"/>
    <w:rsid w:val="00CE382D"/>
    <w:rsid w:val="00D1244C"/>
    <w:rsid w:val="00D31C0A"/>
    <w:rsid w:val="00D32800"/>
    <w:rsid w:val="00D40D88"/>
    <w:rsid w:val="00D501DA"/>
    <w:rsid w:val="00D702D9"/>
    <w:rsid w:val="00D75CE4"/>
    <w:rsid w:val="00DC4B60"/>
    <w:rsid w:val="00DD065C"/>
    <w:rsid w:val="00DD5873"/>
    <w:rsid w:val="00DE0343"/>
    <w:rsid w:val="00DF69E6"/>
    <w:rsid w:val="00E027B1"/>
    <w:rsid w:val="00E03E24"/>
    <w:rsid w:val="00E102DC"/>
    <w:rsid w:val="00E30E4F"/>
    <w:rsid w:val="00E503F3"/>
    <w:rsid w:val="00E55A1D"/>
    <w:rsid w:val="00E93506"/>
    <w:rsid w:val="00E964BF"/>
    <w:rsid w:val="00EA61D7"/>
    <w:rsid w:val="00ED5179"/>
    <w:rsid w:val="00F014DF"/>
    <w:rsid w:val="00F0239A"/>
    <w:rsid w:val="00F26DD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5F913360-2028-499C-8C7F-8014B9E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3E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F2730"/>
    <w:pPr>
      <w:keepNext/>
      <w:keepLines/>
      <w:outlineLvl w:val="0"/>
    </w:pPr>
    <w:rPr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E503F3"/>
    <w:pPr>
      <w:keepNext/>
      <w:keepLines/>
      <w:spacing w:before="200"/>
      <w:ind w:left="284" w:hanging="284"/>
      <w:outlineLvl w:val="1"/>
    </w:pPr>
    <w:rPr>
      <w:rFonts w:ascii="Cambria" w:hAnsi="Cambria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E503F3"/>
    <w:pPr>
      <w:keepNext/>
      <w:keepLines/>
      <w:spacing w:before="200"/>
      <w:ind w:left="284" w:hanging="284"/>
      <w:outlineLvl w:val="2"/>
    </w:pPr>
    <w:rPr>
      <w:rFonts w:ascii="Cambria" w:hAnsi="Cambria"/>
      <w:b/>
      <w:bCs/>
      <w:color w:val="4F81BD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E503F3"/>
    <w:pPr>
      <w:keepNext/>
      <w:keepLines/>
      <w:spacing w:before="200"/>
      <w:ind w:left="284" w:hanging="284"/>
      <w:outlineLvl w:val="3"/>
    </w:pPr>
    <w:rPr>
      <w:rFonts w:ascii="Cambria" w:hAnsi="Cambria"/>
      <w:b/>
      <w:bCs/>
      <w:i/>
      <w:iCs/>
      <w:color w:val="4F81BD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503F3"/>
    <w:pPr>
      <w:keepNext/>
      <w:keepLines/>
      <w:spacing w:before="200"/>
      <w:ind w:left="284" w:hanging="284"/>
      <w:outlineLvl w:val="4"/>
    </w:pPr>
    <w:rPr>
      <w:rFonts w:ascii="Cambria" w:hAnsi="Cambria"/>
      <w:color w:val="243F6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E503F3"/>
    <w:pPr>
      <w:keepNext/>
      <w:keepLines/>
      <w:spacing w:before="200"/>
      <w:ind w:left="284" w:hanging="284"/>
      <w:outlineLvl w:val="5"/>
    </w:pPr>
    <w:rPr>
      <w:rFonts w:ascii="Cambria" w:hAnsi="Cambria"/>
      <w:i/>
      <w:iCs/>
      <w:color w:val="243F6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E503F3"/>
    <w:pPr>
      <w:keepNext/>
      <w:keepLines/>
      <w:spacing w:before="200"/>
      <w:ind w:left="284" w:hanging="284"/>
      <w:outlineLvl w:val="6"/>
    </w:pPr>
    <w:rPr>
      <w:rFonts w:ascii="Cambria" w:hAnsi="Cambria"/>
      <w:i/>
      <w:iCs/>
      <w:color w:val="40404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E503F3"/>
    <w:pPr>
      <w:keepNext/>
      <w:keepLines/>
      <w:spacing w:before="200"/>
      <w:ind w:left="284" w:hanging="284"/>
      <w:outlineLvl w:val="7"/>
    </w:pPr>
    <w:rPr>
      <w:rFonts w:ascii="Cambria" w:hAnsi="Cambria"/>
      <w:color w:val="40404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E503F3"/>
    <w:pPr>
      <w:keepNext/>
      <w:keepLines/>
      <w:spacing w:before="200"/>
      <w:ind w:left="284" w:hanging="284"/>
      <w:outlineLvl w:val="8"/>
    </w:pPr>
    <w:rPr>
      <w:rFonts w:ascii="Cambria" w:hAnsi="Cambria"/>
      <w:i/>
      <w:iCs/>
      <w:color w:val="40404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F273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E503F3"/>
    <w:rPr>
      <w:rFonts w:ascii="Cambria" w:hAnsi="Cambria" w:cs="Times New Roman"/>
      <w:b/>
      <w:bCs/>
      <w:color w:val="4F81BD"/>
      <w:sz w:val="26"/>
      <w:szCs w:val="26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locked/>
    <w:rsid w:val="00E503F3"/>
    <w:rPr>
      <w:rFonts w:ascii="Cambria" w:hAnsi="Cambria" w:cs="Times New Roman"/>
      <w:b/>
      <w:bCs/>
      <w:color w:val="4F81BD"/>
      <w:sz w:val="20"/>
      <w:szCs w:val="20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E503F3"/>
    <w:rPr>
      <w:rFonts w:ascii="Cambria" w:hAnsi="Cambria" w:cs="Times New Roman"/>
      <w:b/>
      <w:bCs/>
      <w:i/>
      <w:iCs/>
      <w:color w:val="4F81BD"/>
      <w:sz w:val="20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E503F3"/>
    <w:rPr>
      <w:rFonts w:ascii="Cambria" w:hAnsi="Cambria" w:cs="Times New Roman"/>
      <w:color w:val="243F60"/>
      <w:sz w:val="20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E503F3"/>
    <w:rPr>
      <w:rFonts w:ascii="Cambria" w:hAnsi="Cambria" w:cs="Times New Roman"/>
      <w:i/>
      <w:iCs/>
      <w:color w:val="243F60"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E503F3"/>
    <w:rPr>
      <w:rFonts w:ascii="Cambria" w:hAnsi="Cambria" w:cs="Times New Roman"/>
      <w:i/>
      <w:iCs/>
      <w:color w:val="404040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E503F3"/>
    <w:rPr>
      <w:rFonts w:ascii="Cambria" w:hAnsi="Cambria" w:cs="Times New Roman"/>
      <w:color w:val="404040"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E503F3"/>
    <w:rPr>
      <w:rFonts w:ascii="Cambria" w:hAnsi="Cambria" w:cs="Times New Roman"/>
      <w:i/>
      <w:iCs/>
      <w:color w:val="404040"/>
      <w:sz w:val="20"/>
      <w:szCs w:val="20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D517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D5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D5179"/>
    <w:rPr>
      <w:rFonts w:ascii="Tahoma" w:hAnsi="Tahoma" w:cs="Tahoma"/>
      <w:sz w:val="16"/>
      <w:szCs w:val="16"/>
    </w:rPr>
  </w:style>
  <w:style w:type="paragraph" w:customStyle="1" w:styleId="TCU-Epgrafe">
    <w:name w:val="TCU - Epígrafe"/>
    <w:basedOn w:val="Normal"/>
    <w:qFormat/>
    <w:rsid w:val="00BF2730"/>
    <w:pPr>
      <w:ind w:left="2835"/>
      <w:jc w:val="both"/>
    </w:pPr>
    <w:rPr>
      <w:szCs w:val="20"/>
      <w:lang w:eastAsia="pt-BR"/>
    </w:rPr>
  </w:style>
  <w:style w:type="paragraph" w:styleId="SemEspaamento">
    <w:name w:val="No Spacing"/>
    <w:uiPriority w:val="1"/>
    <w:qFormat/>
    <w:rsid w:val="00BF2730"/>
    <w:pPr>
      <w:spacing w:after="0" w:line="240" w:lineRule="auto"/>
    </w:pPr>
    <w:rPr>
      <w:rFonts w:cs="Times New Roman"/>
      <w:sz w:val="24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F2730"/>
    <w:pPr>
      <w:pBdr>
        <w:bottom w:val="single" w:sz="8" w:space="4" w:color="4F81BD"/>
      </w:pBdr>
      <w:contextualSpacing/>
    </w:pPr>
    <w:rPr>
      <w:color w:val="17365D"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sid w:val="00BF273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30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F273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TCU-Centralizado">
    <w:name w:val="TCU - Centralizado"/>
    <w:basedOn w:val="Normal"/>
    <w:qFormat/>
    <w:rsid w:val="009E41D1"/>
    <w:pPr>
      <w:jc w:val="center"/>
    </w:pPr>
    <w:rPr>
      <w:szCs w:val="24"/>
    </w:rPr>
  </w:style>
  <w:style w:type="paragraph" w:customStyle="1" w:styleId="TCU-RelVoto-1">
    <w:name w:val="TCU - Rel/Voto - 1º §"/>
    <w:basedOn w:val="Normal"/>
    <w:qFormat/>
    <w:rsid w:val="009E41D1"/>
    <w:pPr>
      <w:spacing w:after="160"/>
      <w:ind w:firstLine="1134"/>
      <w:jc w:val="both"/>
    </w:pPr>
  </w:style>
  <w:style w:type="paragraph" w:customStyle="1" w:styleId="TCU-Ac-item9-">
    <w:name w:val="TCU - Ac - item 9 - §§"/>
    <w:basedOn w:val="TCU-RelVoto-1"/>
    <w:qFormat/>
    <w:rsid w:val="009E41D1"/>
    <w:pPr>
      <w:spacing w:after="0"/>
    </w:pPr>
  </w:style>
  <w:style w:type="paragraph" w:customStyle="1" w:styleId="TCU-RelVoto-demais">
    <w:name w:val="TCU - Rel/Voto - demais §§"/>
    <w:basedOn w:val="Normal"/>
    <w:qFormat/>
    <w:rsid w:val="009E41D1"/>
    <w:pPr>
      <w:tabs>
        <w:tab w:val="left" w:pos="1134"/>
      </w:tabs>
      <w:spacing w:after="160"/>
      <w:jc w:val="both"/>
    </w:pPr>
  </w:style>
  <w:style w:type="paragraph" w:customStyle="1" w:styleId="TCU-Ac-itens1a8">
    <w:name w:val="TCU -   Ac - itens 1 a 8"/>
    <w:basedOn w:val="TCU-RelVoto-demais"/>
    <w:qFormat/>
    <w:rsid w:val="009E41D1"/>
    <w:pPr>
      <w:spacing w:after="0"/>
    </w:pPr>
  </w:style>
  <w:style w:type="paragraph" w:customStyle="1" w:styleId="TCU-Sumrio">
    <w:name w:val="TCU - Sumário"/>
    <w:basedOn w:val="Normal"/>
    <w:qFormat/>
    <w:rsid w:val="009E41D1"/>
    <w:pPr>
      <w:ind w:left="5103"/>
      <w:jc w:val="both"/>
    </w:pPr>
    <w:rPr>
      <w:b/>
    </w:rPr>
  </w:style>
  <w:style w:type="paragraph" w:customStyle="1" w:styleId="TCU-Transcrio">
    <w:name w:val="TCU - Transcrição"/>
    <w:basedOn w:val="Normal"/>
    <w:qFormat/>
    <w:rsid w:val="009E41D1"/>
    <w:pPr>
      <w:spacing w:after="120"/>
      <w:ind w:left="284" w:firstLine="567"/>
      <w:jc w:val="both"/>
    </w:pPr>
    <w:rPr>
      <w:i/>
    </w:rPr>
  </w:style>
  <w:style w:type="paragraph" w:customStyle="1" w:styleId="TCU-Ac-item9-1Linha">
    <w:name w:val="TCU -  Ac - item 9 - 1ª Linha"/>
    <w:basedOn w:val="TCU-RelVoto-demais"/>
    <w:qFormat/>
    <w:rsid w:val="0013773E"/>
  </w:style>
  <w:style w:type="paragraph" w:styleId="PargrafodaLista">
    <w:name w:val="List Paragraph"/>
    <w:aliases w:val="Parágrafo 1ºnível"/>
    <w:basedOn w:val="Normal"/>
    <w:link w:val="PargrafodaListaChar"/>
    <w:uiPriority w:val="1"/>
    <w:qFormat/>
    <w:rsid w:val="00E503F3"/>
    <w:pPr>
      <w:keepNext/>
      <w:spacing w:before="120"/>
      <w:jc w:val="both"/>
      <w:outlineLvl w:val="0"/>
    </w:pPr>
    <w:rPr>
      <w:szCs w:val="20"/>
      <w:lang w:eastAsia="pt-BR"/>
    </w:rPr>
  </w:style>
  <w:style w:type="paragraph" w:styleId="NormalWeb">
    <w:name w:val="Normal (Web)"/>
    <w:basedOn w:val="Normal"/>
    <w:uiPriority w:val="99"/>
    <w:rsid w:val="00E503F3"/>
    <w:pPr>
      <w:keepNext/>
      <w:spacing w:before="100" w:after="100"/>
      <w:outlineLvl w:val="0"/>
    </w:pPr>
    <w:rPr>
      <w:szCs w:val="20"/>
      <w:lang w:eastAsia="pt-BR"/>
    </w:rPr>
  </w:style>
  <w:style w:type="paragraph" w:customStyle="1" w:styleId="Prembulo">
    <w:name w:val="Preâmbulo"/>
    <w:basedOn w:val="Normal"/>
    <w:qFormat/>
    <w:rsid w:val="00E503F3"/>
    <w:pPr>
      <w:keepNext/>
      <w:widowControl w:val="0"/>
      <w:spacing w:before="60"/>
      <w:ind w:left="5103"/>
      <w:jc w:val="both"/>
      <w:outlineLvl w:val="0"/>
    </w:pPr>
    <w:rPr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503F3"/>
    <w:pPr>
      <w:keepNext/>
      <w:spacing w:before="120" w:after="120"/>
      <w:ind w:left="283"/>
      <w:outlineLvl w:val="0"/>
    </w:pPr>
    <w:rPr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503F3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Transcrio">
    <w:name w:val="Transcrição"/>
    <w:basedOn w:val="Normal"/>
    <w:qFormat/>
    <w:rsid w:val="00E503F3"/>
    <w:pPr>
      <w:tabs>
        <w:tab w:val="left" w:pos="1134"/>
      </w:tabs>
      <w:spacing w:before="120"/>
      <w:ind w:left="1134"/>
      <w:jc w:val="both"/>
      <w:outlineLvl w:val="0"/>
    </w:pPr>
    <w:rPr>
      <w:sz w:val="22"/>
      <w:lang w:eastAsia="pt-BR"/>
    </w:rPr>
  </w:style>
  <w:style w:type="character" w:customStyle="1" w:styleId="Termoestrangeiro">
    <w:name w:val="Termo estrangeiro"/>
    <w:basedOn w:val="Fontepargpadro"/>
    <w:uiPriority w:val="1"/>
    <w:qFormat/>
    <w:rsid w:val="00E503F3"/>
    <w:rPr>
      <w:rFonts w:ascii="Times New Roman" w:hAnsi="Times New Roman" w:cs="Times New Roman"/>
      <w:i/>
      <w:color w:val="auto"/>
      <w:sz w:val="24"/>
    </w:rPr>
  </w:style>
  <w:style w:type="character" w:customStyle="1" w:styleId="Textonormal">
    <w:name w:val="Texto normal"/>
    <w:basedOn w:val="Termoestrangeiro"/>
    <w:uiPriority w:val="1"/>
    <w:qFormat/>
    <w:rsid w:val="00E503F3"/>
    <w:rPr>
      <w:rFonts w:ascii="Times New Roman" w:hAnsi="Times New Roman" w:cs="Times New Roman"/>
      <w:i w:val="0"/>
      <w:color w:val="auto"/>
      <w:sz w:val="24"/>
    </w:rPr>
  </w:style>
  <w:style w:type="paragraph" w:customStyle="1" w:styleId="Ttulononumerado-nvelprimrio">
    <w:name w:val="Título não numerado - nível primário"/>
    <w:basedOn w:val="Normal"/>
    <w:qFormat/>
    <w:rsid w:val="00E503F3"/>
    <w:pPr>
      <w:spacing w:before="120"/>
      <w:jc w:val="both"/>
      <w:outlineLvl w:val="0"/>
    </w:pPr>
    <w:rPr>
      <w:b/>
      <w:caps/>
      <w:szCs w:val="20"/>
      <w:lang w:eastAsia="pt-BR"/>
    </w:rPr>
  </w:style>
  <w:style w:type="paragraph" w:customStyle="1" w:styleId="Ttulononumerado-demaisnveis">
    <w:name w:val="Título não numerado - demais níveis"/>
    <w:basedOn w:val="Normal"/>
    <w:qFormat/>
    <w:rsid w:val="00E503F3"/>
    <w:pPr>
      <w:spacing w:before="120"/>
      <w:outlineLvl w:val="0"/>
    </w:pPr>
    <w:rPr>
      <w:szCs w:val="20"/>
      <w:u w:val="single"/>
      <w:lang w:eastAsia="pt-BR"/>
    </w:rPr>
  </w:style>
  <w:style w:type="paragraph" w:customStyle="1" w:styleId="Pargrafo-nvelprimrio">
    <w:name w:val="Parágrafo - nível primário"/>
    <w:basedOn w:val="PargrafodaLista"/>
    <w:qFormat/>
    <w:rsid w:val="00E503F3"/>
    <w:pPr>
      <w:keepNext w:val="0"/>
      <w:numPr>
        <w:numId w:val="17"/>
      </w:numPr>
      <w:tabs>
        <w:tab w:val="left" w:pos="1134"/>
      </w:tabs>
    </w:pPr>
  </w:style>
  <w:style w:type="paragraph" w:customStyle="1" w:styleId="Ttulonumerado-nvelprimrio">
    <w:name w:val="Título numerado - nível primário"/>
    <w:basedOn w:val="PargrafodaLista"/>
    <w:qFormat/>
    <w:rsid w:val="00E503F3"/>
    <w:pPr>
      <w:keepNext w:val="0"/>
      <w:numPr>
        <w:numId w:val="7"/>
      </w:numPr>
      <w:tabs>
        <w:tab w:val="left" w:pos="1134"/>
      </w:tabs>
    </w:pPr>
    <w:rPr>
      <w:b/>
    </w:rPr>
  </w:style>
  <w:style w:type="paragraph" w:customStyle="1" w:styleId="Ttulonumerado-nvelsecundrio">
    <w:name w:val="Título numerado - nível secundário"/>
    <w:basedOn w:val="PargrafodaLista"/>
    <w:qFormat/>
    <w:rsid w:val="00E503F3"/>
    <w:pPr>
      <w:keepNext w:val="0"/>
      <w:numPr>
        <w:ilvl w:val="1"/>
        <w:numId w:val="7"/>
      </w:numPr>
      <w:tabs>
        <w:tab w:val="left" w:pos="1134"/>
      </w:tabs>
    </w:pPr>
    <w:rPr>
      <w:u w:val="single"/>
    </w:rPr>
  </w:style>
  <w:style w:type="paragraph" w:customStyle="1" w:styleId="Ttulonumerado-nveltrcirio">
    <w:name w:val="Título numerado - nível térciário"/>
    <w:basedOn w:val="PargrafodaLista"/>
    <w:qFormat/>
    <w:rsid w:val="00E503F3"/>
    <w:pPr>
      <w:keepNext w:val="0"/>
      <w:numPr>
        <w:ilvl w:val="2"/>
        <w:numId w:val="7"/>
      </w:numPr>
      <w:tabs>
        <w:tab w:val="left" w:pos="1134"/>
      </w:tabs>
    </w:pPr>
    <w:rPr>
      <w:u w:val="single"/>
    </w:rPr>
  </w:style>
  <w:style w:type="paragraph" w:customStyle="1" w:styleId="Fecho">
    <w:name w:val="Fecho"/>
    <w:basedOn w:val="Normal"/>
    <w:qFormat/>
    <w:rsid w:val="00E503F3"/>
    <w:pPr>
      <w:keepNext/>
      <w:ind w:left="5103"/>
      <w:jc w:val="center"/>
      <w:outlineLvl w:val="0"/>
    </w:pPr>
    <w:rPr>
      <w:szCs w:val="20"/>
      <w:lang w:eastAsia="pt-BR"/>
    </w:rPr>
  </w:style>
  <w:style w:type="paragraph" w:customStyle="1" w:styleId="Pargrafo-nvelsecundrio">
    <w:name w:val="Parágrafo - nível secundário"/>
    <w:basedOn w:val="Normal"/>
    <w:qFormat/>
    <w:rsid w:val="00E503F3"/>
    <w:pPr>
      <w:numPr>
        <w:ilvl w:val="1"/>
        <w:numId w:val="17"/>
      </w:numPr>
      <w:tabs>
        <w:tab w:val="left" w:pos="1134"/>
      </w:tabs>
      <w:spacing w:before="120"/>
      <w:jc w:val="both"/>
      <w:outlineLvl w:val="0"/>
    </w:pPr>
    <w:rPr>
      <w:szCs w:val="20"/>
      <w:lang w:eastAsia="pt-BR"/>
    </w:rPr>
  </w:style>
  <w:style w:type="paragraph" w:customStyle="1" w:styleId="Pargrafo-nveltercirio">
    <w:name w:val="Parágrafo - nível terciário"/>
    <w:basedOn w:val="Normal"/>
    <w:qFormat/>
    <w:rsid w:val="00E503F3"/>
    <w:pPr>
      <w:numPr>
        <w:ilvl w:val="2"/>
        <w:numId w:val="17"/>
      </w:numPr>
      <w:tabs>
        <w:tab w:val="left" w:pos="1134"/>
      </w:tabs>
      <w:spacing w:before="120"/>
      <w:jc w:val="both"/>
      <w:outlineLvl w:val="0"/>
    </w:pPr>
    <w:rPr>
      <w:szCs w:val="20"/>
      <w:lang w:eastAsia="pt-BR"/>
    </w:rPr>
  </w:style>
  <w:style w:type="paragraph" w:customStyle="1" w:styleId="Listadeinformaescorreto">
    <w:name w:val="Lista de informações correto"/>
    <w:basedOn w:val="PargrafodaLista"/>
    <w:qFormat/>
    <w:rsid w:val="00E503F3"/>
    <w:pPr>
      <w:numPr>
        <w:numId w:val="8"/>
      </w:numPr>
      <w:tabs>
        <w:tab w:val="left" w:pos="1134"/>
      </w:tabs>
      <w:spacing w:before="60"/>
      <w:ind w:firstLine="1134"/>
    </w:pPr>
  </w:style>
  <w:style w:type="paragraph" w:customStyle="1" w:styleId="pargrafo2onvel">
    <w:name w:val="parágrafo 2o nível"/>
    <w:basedOn w:val="PargrafodaLista"/>
    <w:qFormat/>
    <w:rsid w:val="00E503F3"/>
    <w:pPr>
      <w:keepNext w:val="0"/>
      <w:widowControl w:val="0"/>
      <w:tabs>
        <w:tab w:val="left" w:pos="1134"/>
      </w:tabs>
      <w:ind w:left="792" w:hanging="432"/>
      <w:outlineLvl w:val="9"/>
    </w:pPr>
    <w:rPr>
      <w:szCs w:val="24"/>
    </w:rPr>
  </w:style>
  <w:style w:type="character" w:customStyle="1" w:styleId="PargrafodaListaChar">
    <w:name w:val="Parágrafo da Lista Char"/>
    <w:aliases w:val="Parágrafo 1ºnível Char"/>
    <w:link w:val="PargrafodaLista"/>
    <w:uiPriority w:val="1"/>
    <w:locked/>
    <w:rsid w:val="00E503F3"/>
    <w:rPr>
      <w:rFonts w:ascii="Times New Roman" w:hAnsi="Times New Roman"/>
      <w:sz w:val="20"/>
      <w:lang w:val="x-none" w:eastAsia="pt-BR"/>
    </w:rPr>
  </w:style>
  <w:style w:type="paragraph" w:customStyle="1" w:styleId="Default">
    <w:name w:val="Default"/>
    <w:rsid w:val="00E503F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E503F3"/>
    <w:rPr>
      <w:rFonts w:cs="Times New Roman"/>
      <w:color w:val="0000FF"/>
      <w:u w:val="single"/>
    </w:rPr>
  </w:style>
  <w:style w:type="paragraph" w:customStyle="1" w:styleId="artigo">
    <w:name w:val="artigo"/>
    <w:basedOn w:val="Normal"/>
    <w:rsid w:val="00E503F3"/>
    <w:pPr>
      <w:spacing w:before="100" w:beforeAutospacing="1" w:after="100" w:afterAutospacing="1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E503F3"/>
    <w:rPr>
      <w:rFonts w:cs="Times New Roman"/>
    </w:rPr>
  </w:style>
  <w:style w:type="paragraph" w:customStyle="1" w:styleId="cap">
    <w:name w:val="cap"/>
    <w:basedOn w:val="Normal"/>
    <w:rsid w:val="00E503F3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seo">
    <w:name w:val="seo"/>
    <w:basedOn w:val="Normal"/>
    <w:rsid w:val="00E503F3"/>
    <w:pPr>
      <w:spacing w:before="100" w:beforeAutospacing="1" w:after="100" w:afterAutospacing="1"/>
    </w:pPr>
    <w:rPr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E503F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03F3"/>
    <w:pPr>
      <w:keepNext/>
      <w:spacing w:before="120"/>
      <w:outlineLvl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E503F3"/>
    <w:rPr>
      <w:rFonts w:ascii="Times New Roman" w:hAnsi="Times New Roman" w:cs="Times New Roman"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E503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E503F3"/>
    <w:rPr>
      <w:rFonts w:ascii="Times New Roman" w:hAnsi="Times New Roman" w:cs="Times New Roman"/>
      <w:b/>
      <w:bCs/>
      <w:sz w:val="20"/>
      <w:szCs w:val="20"/>
      <w:lang w:val="x-none" w:eastAsia="pt-BR"/>
    </w:rPr>
  </w:style>
  <w:style w:type="paragraph" w:styleId="Reviso">
    <w:name w:val="Revision"/>
    <w:hidden/>
    <w:uiPriority w:val="99"/>
    <w:semiHidden/>
    <w:rsid w:val="00E503F3"/>
    <w:pPr>
      <w:spacing w:after="0" w:line="240" w:lineRule="auto"/>
    </w:pPr>
    <w:rPr>
      <w:rFonts w:cs="Times New Roman"/>
      <w:sz w:val="24"/>
      <w:szCs w:val="20"/>
    </w:rPr>
  </w:style>
  <w:style w:type="table" w:customStyle="1" w:styleId="TabelaSimples21">
    <w:name w:val="Tabela Simples 21"/>
    <w:basedOn w:val="Tabelanormal"/>
    <w:uiPriority w:val="42"/>
    <w:rsid w:val="00E503F3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pPr>
        <w:widowControl w:val="0"/>
        <w:ind w:left="0" w:right="0"/>
        <w:jc w:val="left"/>
        <w:textAlignment w:val="auto"/>
      </w:pPr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>
        <w:widowControl w:val="0"/>
        <w:ind w:left="0" w:right="0"/>
        <w:jc w:val="left"/>
        <w:textAlignment w:val="auto"/>
      </w:pPr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pPr>
        <w:widowControl w:val="0"/>
        <w:ind w:left="0" w:right="0"/>
        <w:jc w:val="left"/>
        <w:textAlignment w:val="auto"/>
      </w:pPr>
      <w:rPr>
        <w:rFonts w:cs="Times New Roman"/>
        <w:b/>
        <w:bCs/>
      </w:rPr>
    </w:tblStylePr>
    <w:tblStylePr w:type="lastCol">
      <w:pPr>
        <w:widowControl w:val="0"/>
        <w:ind w:left="0" w:right="0"/>
        <w:jc w:val="left"/>
        <w:textAlignment w:val="auto"/>
      </w:pPr>
      <w:rPr>
        <w:rFonts w:cs="Times New Roman"/>
        <w:b/>
        <w:bCs/>
      </w:rPr>
    </w:tblStylePr>
    <w:tblStylePr w:type="band1Vert">
      <w:pPr>
        <w:widowControl w:val="0"/>
        <w:ind w:left="0" w:right="0"/>
        <w:jc w:val="left"/>
        <w:textAlignment w:val="auto"/>
      </w:pPr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>
        <w:widowControl w:val="0"/>
        <w:ind w:left="0" w:right="0"/>
        <w:jc w:val="left"/>
        <w:textAlignment w:val="auto"/>
      </w:pPr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pPr>
        <w:widowControl w:val="0"/>
        <w:ind w:left="0" w:right="0"/>
        <w:jc w:val="left"/>
        <w:textAlignment w:val="auto"/>
      </w:pPr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ade">
    <w:name w:val="Table Grid"/>
    <w:basedOn w:val="Tabelanormal"/>
    <w:uiPriority w:val="59"/>
    <w:rsid w:val="00E503F3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rio">
    <w:name w:val="Relatório"/>
    <w:basedOn w:val="Normal"/>
    <w:autoRedefine/>
    <w:qFormat/>
    <w:rsid w:val="00E503F3"/>
    <w:pPr>
      <w:numPr>
        <w:numId w:val="9"/>
      </w:numPr>
      <w:tabs>
        <w:tab w:val="left" w:pos="432"/>
        <w:tab w:val="left" w:pos="1134"/>
      </w:tabs>
      <w:spacing w:before="120"/>
      <w:jc w:val="both"/>
    </w:pPr>
    <w:rPr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E503F3"/>
    <w:pPr>
      <w:keepNext/>
      <w:spacing w:before="120" w:after="120"/>
      <w:outlineLvl w:val="0"/>
    </w:pPr>
    <w:rPr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503F3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Ttulonumerado-nvelquaternrio">
    <w:name w:val="Título numerado - nível quaternário"/>
    <w:basedOn w:val="PargrafodaLista"/>
    <w:link w:val="Ttulonumerado-nvelquaternrioChar"/>
    <w:qFormat/>
    <w:rsid w:val="00E503F3"/>
    <w:pPr>
      <w:tabs>
        <w:tab w:val="left" w:pos="1134"/>
      </w:tabs>
      <w:ind w:left="284" w:hanging="284"/>
    </w:pPr>
    <w:rPr>
      <w:b/>
      <w:i/>
      <w:color w:val="4F81BD"/>
    </w:rPr>
  </w:style>
  <w:style w:type="character" w:customStyle="1" w:styleId="Ttulonumerado-nvelquaternrioChar">
    <w:name w:val="Título numerado - nível quaternário Char"/>
    <w:basedOn w:val="Ttulo4Char"/>
    <w:link w:val="Ttulonumerado-nvelquaternrio"/>
    <w:locked/>
    <w:rsid w:val="00E503F3"/>
    <w:rPr>
      <w:rFonts w:ascii="Times New Roman" w:hAnsi="Times New Roman" w:cs="Times New Roman"/>
      <w:b/>
      <w:bCs w:val="0"/>
      <w:i/>
      <w:iCs w:val="0"/>
      <w:color w:val="4F81BD"/>
      <w:sz w:val="20"/>
      <w:szCs w:val="20"/>
      <w:lang w:val="x-none" w:eastAsia="pt-BR"/>
    </w:rPr>
  </w:style>
  <w:style w:type="paragraph" w:customStyle="1" w:styleId="transcrio0">
    <w:name w:val="transcrição"/>
    <w:basedOn w:val="PargrafodaLista"/>
    <w:qFormat/>
    <w:rsid w:val="00E503F3"/>
    <w:pPr>
      <w:keepNext w:val="0"/>
      <w:suppressAutoHyphens/>
      <w:ind w:left="1134"/>
      <w:outlineLvl w:val="9"/>
    </w:pPr>
    <w:rPr>
      <w:sz w:val="22"/>
      <w:lang w:eastAsia="ar-SA"/>
    </w:rPr>
  </w:style>
  <w:style w:type="paragraph" w:customStyle="1" w:styleId="listadeinformaes">
    <w:name w:val="lista de informações"/>
    <w:basedOn w:val="PargrafodaLista"/>
    <w:autoRedefine/>
    <w:qFormat/>
    <w:rsid w:val="00E503F3"/>
    <w:pPr>
      <w:keepNext w:val="0"/>
      <w:numPr>
        <w:numId w:val="14"/>
      </w:numPr>
      <w:suppressAutoHyphens/>
      <w:spacing w:before="60"/>
      <w:outlineLvl w:val="9"/>
    </w:pPr>
    <w:rPr>
      <w:lang w:eastAsia="ar-SA"/>
    </w:rPr>
  </w:style>
  <w:style w:type="character" w:styleId="HiperlinkVisitado">
    <w:name w:val="FollowedHyperlink"/>
    <w:basedOn w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:customStyle="1" w:styleId="textoprincipaltlk">
    <w:name w:val="textoprincipaltlk"/>
    <w:basedOn w:val="Fontepargpadro"/>
    <w:rsid w:val="00E503F3"/>
    <w:rPr>
      <w:rFonts w:cs="Times New Roman"/>
    </w:rPr>
  </w:style>
  <w:style w:type="paragraph" w:styleId="Legenda">
    <w:name w:val="caption"/>
    <w:basedOn w:val="Normal"/>
    <w:next w:val="Normal"/>
    <w:uiPriority w:val="35"/>
    <w:qFormat/>
    <w:rsid w:val="00E503F3"/>
    <w:pPr>
      <w:suppressAutoHyphens/>
      <w:spacing w:before="120"/>
      <w:jc w:val="center"/>
    </w:pPr>
    <w:rPr>
      <w:bCs/>
      <w:szCs w:val="18"/>
      <w:lang w:eastAsia="ar-SA"/>
    </w:rPr>
  </w:style>
  <w:style w:type="paragraph" w:customStyle="1" w:styleId="Header0">
    <w:name w:val="Header_0"/>
    <w:basedOn w:val="Normal0"/>
    <w:link w:val="CabealhoChar0"/>
    <w:uiPriority w:val="99"/>
    <w:unhideWhenUsed/>
    <w:rsid w:val="00ED5179"/>
    <w:pPr>
      <w:tabs>
        <w:tab w:val="center" w:pos="4252"/>
        <w:tab w:val="right" w:pos="8504"/>
      </w:tabs>
    </w:pPr>
  </w:style>
  <w:style w:type="paragraph" w:customStyle="1" w:styleId="Normal0">
    <w:name w:val="Normal_0"/>
    <w:qFormat/>
    <w:rsid w:val="009E4455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character" w:customStyle="1" w:styleId="CabealhoChar0">
    <w:name w:val="Cabeçalho Char_0"/>
    <w:basedOn w:val="Fontepargpadro"/>
    <w:link w:val="Header0"/>
    <w:uiPriority w:val="99"/>
    <w:locked/>
    <w:rsid w:val="00ED5179"/>
    <w:rPr>
      <w:rFonts w:cs="Times New Roman"/>
    </w:rPr>
  </w:style>
  <w:style w:type="paragraph" w:customStyle="1" w:styleId="Footer0">
    <w:name w:val="Footer_0"/>
    <w:basedOn w:val="Normal0"/>
    <w:link w:val="RodapChar0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RodapChar0">
    <w:name w:val="Rodapé Char_0"/>
    <w:basedOn w:val="Fontepargpadro"/>
    <w:link w:val="Footer0"/>
    <w:uiPriority w:val="99"/>
    <w:locked/>
    <w:rsid w:val="00ED5179"/>
    <w:rPr>
      <w:rFonts w:cs="Times New Roman"/>
    </w:rPr>
  </w:style>
  <w:style w:type="paragraph" w:customStyle="1" w:styleId="TCU-Epgrafe0">
    <w:name w:val="TCU - Epígrafe_0"/>
    <w:basedOn w:val="Normal0"/>
    <w:rsid w:val="00365409"/>
    <w:pPr>
      <w:ind w:left="2835"/>
      <w:jc w:val="both"/>
    </w:pPr>
    <w:rPr>
      <w:szCs w:val="20"/>
      <w:lang w:eastAsia="pt-BR"/>
    </w:rPr>
  </w:style>
  <w:style w:type="paragraph" w:customStyle="1" w:styleId="BodyText0">
    <w:name w:val="Body Text_0"/>
    <w:basedOn w:val="Normal0"/>
    <w:link w:val="CorpodetextoChar0"/>
    <w:uiPriority w:val="99"/>
    <w:semiHidden/>
    <w:rsid w:val="001F54E2"/>
    <w:pPr>
      <w:jc w:val="both"/>
    </w:pPr>
    <w:rPr>
      <w:szCs w:val="20"/>
      <w:lang w:eastAsia="pt-BR"/>
    </w:rPr>
  </w:style>
  <w:style w:type="character" w:customStyle="1" w:styleId="CorpodetextoChar0">
    <w:name w:val="Corpo de texto Char_0"/>
    <w:basedOn w:val="Fontepargpadro"/>
    <w:link w:val="BodyText0"/>
    <w:uiPriority w:val="99"/>
    <w:semiHidden/>
    <w:locked/>
    <w:rsid w:val="001F54E2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Header1">
    <w:name w:val="Header_1"/>
    <w:basedOn w:val="Normal1"/>
    <w:link w:val="CabealhoChar1"/>
    <w:uiPriority w:val="99"/>
    <w:unhideWhenUsed/>
    <w:rsid w:val="00ED5179"/>
    <w:pPr>
      <w:tabs>
        <w:tab w:val="center" w:pos="4252"/>
        <w:tab w:val="right" w:pos="8504"/>
      </w:tabs>
    </w:pPr>
  </w:style>
  <w:style w:type="paragraph" w:customStyle="1" w:styleId="Normal1">
    <w:name w:val="Normal_1"/>
    <w:qFormat/>
    <w:rsid w:val="006C36C4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character" w:customStyle="1" w:styleId="CabealhoChar1">
    <w:name w:val="Cabeçalho Char_1"/>
    <w:basedOn w:val="Fontepargpadro"/>
    <w:link w:val="Header1"/>
    <w:uiPriority w:val="99"/>
    <w:locked/>
    <w:rsid w:val="00ED5179"/>
    <w:rPr>
      <w:rFonts w:cs="Times New Roman"/>
    </w:rPr>
  </w:style>
  <w:style w:type="paragraph" w:customStyle="1" w:styleId="Footer1">
    <w:name w:val="Footer_1"/>
    <w:basedOn w:val="Normal1"/>
    <w:link w:val="RodapChar1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RodapChar1">
    <w:name w:val="Rodapé Char_1"/>
    <w:basedOn w:val="Fontepargpadro"/>
    <w:link w:val="Footer1"/>
    <w:uiPriority w:val="99"/>
    <w:locked/>
    <w:rsid w:val="00ED5179"/>
    <w:rPr>
      <w:rFonts w:cs="Times New Roman"/>
    </w:rPr>
  </w:style>
  <w:style w:type="paragraph" w:customStyle="1" w:styleId="TCU-Epgrafe1">
    <w:name w:val="TCU - Epígrafe_1"/>
    <w:basedOn w:val="Normal1"/>
    <w:rsid w:val="00D47D13"/>
    <w:pPr>
      <w:ind w:left="2835"/>
      <w:jc w:val="both"/>
    </w:pPr>
    <w:rPr>
      <w:szCs w:val="20"/>
      <w:lang w:eastAsia="pt-BR"/>
    </w:rPr>
  </w:style>
  <w:style w:type="numbering" w:customStyle="1" w:styleId="1nvel">
    <w:name w:val="1º nível"/>
    <w:pPr>
      <w:numPr>
        <w:numId w:val="4"/>
      </w:numPr>
    </w:pPr>
  </w:style>
  <w:style w:type="numbering" w:customStyle="1" w:styleId="Estilo3">
    <w:name w:val="Estilo3"/>
    <w:pPr>
      <w:numPr>
        <w:numId w:val="3"/>
      </w:numPr>
    </w:pPr>
  </w:style>
  <w:style w:type="numbering" w:customStyle="1" w:styleId="Estilo2">
    <w:name w:val="Estilo2"/>
    <w:pPr>
      <w:numPr>
        <w:numId w:val="2"/>
      </w:numPr>
    </w:pPr>
  </w:style>
  <w:style w:type="numbering" w:customStyle="1" w:styleId="Estilo1">
    <w:name w:val="Estil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8AA6-FD9A-444F-BF12-6B0B1B57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1072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PAIVA DE CASTILHO CARNEIRO</dc:creator>
  <cp:keywords/>
  <dc:description/>
  <cp:lastModifiedBy>MARCELO PAIVA DE CASTILHO CARNEIRO</cp:lastModifiedBy>
  <cp:revision>4</cp:revision>
  <dcterms:created xsi:type="dcterms:W3CDTF">2018-08-08T14:58:00Z</dcterms:created>
  <dcterms:modified xsi:type="dcterms:W3CDTF">2018-08-08T15:02:00Z</dcterms:modified>
</cp:coreProperties>
</file>