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CB" w:rsidRDefault="008D22CB" w:rsidP="008D22CB">
      <w:pPr>
        <w:pStyle w:val="TCU-Ac-item9-1Linha"/>
        <w:spacing w:after="0"/>
      </w:pPr>
    </w:p>
    <w:p w:rsidR="008D22CB" w:rsidRDefault="008D22CB" w:rsidP="008D22CB">
      <w:pPr>
        <w:pStyle w:val="TCU-Ac-item9-1Linha"/>
        <w:spacing w:after="0"/>
        <w:jc w:val="center"/>
      </w:pPr>
      <w:r>
        <w:rPr>
          <w:b/>
        </w:rPr>
        <w:t>ACÓRDÃO Nº 1720/2018 - TCU - Plenário</w:t>
      </w:r>
    </w:p>
    <w:p w:rsidR="008D22CB" w:rsidRDefault="008D22CB" w:rsidP="008D22CB">
      <w:pPr>
        <w:pStyle w:val="TCU-Ac-item9-1Linha"/>
        <w:spacing w:after="0"/>
        <w:jc w:val="center"/>
      </w:pPr>
    </w:p>
    <w:p w:rsidR="008D22CB" w:rsidRDefault="008D22CB" w:rsidP="008D22CB">
      <w:pPr>
        <w:pStyle w:val="Corpodetexto"/>
        <w:tabs>
          <w:tab w:val="left" w:pos="1134"/>
        </w:tabs>
      </w:pPr>
      <w:r>
        <w:tab/>
      </w:r>
      <w:r w:rsidR="00F64F2D">
        <w:t>Os ministros do Tribunal de Contas da União, reunidos em sessão de Plenário,</w:t>
      </w:r>
      <w:r w:rsidRPr="004C22EB">
        <w:t xml:space="preserve"> ACORDAM, por unanimidade, com fundamento no</w:t>
      </w:r>
      <w:r>
        <w:t>s</w:t>
      </w:r>
      <w:r w:rsidRPr="004C22EB">
        <w:t xml:space="preserve"> </w:t>
      </w:r>
      <w:r>
        <w:t>artigos 1º, inciso XXV, e</w:t>
      </w:r>
      <w:r w:rsidRPr="004C22EB">
        <w:t xml:space="preserve"> </w:t>
      </w:r>
      <w:r>
        <w:t>258, inciso II</w:t>
      </w:r>
      <w:r w:rsidRPr="004C22EB">
        <w:t>, todos do Regimento Interno</w:t>
      </w:r>
      <w:r>
        <w:t xml:space="preserve">, em </w:t>
      </w:r>
      <w:r w:rsidRPr="00450615">
        <w:t>considerar que, sob o ponto de vista formal, a Agência Nacional do Petróleo,</w:t>
      </w:r>
      <w:r>
        <w:t xml:space="preserve"> Gás Natural e Biocombustíveis (</w:t>
      </w:r>
      <w:r w:rsidRPr="00450615">
        <w:t>ANP</w:t>
      </w:r>
      <w:r>
        <w:t>)</w:t>
      </w:r>
      <w:r w:rsidRPr="00450615">
        <w:t xml:space="preserve"> atendeu aos requisitos previstos no art. 7º, inciso IV, e 8º, inciso IV, da Instrução Normativa TCU 27/1998</w:t>
      </w:r>
      <w:r>
        <w:t xml:space="preserve">, </w:t>
      </w:r>
      <w:r w:rsidRPr="00450615">
        <w:t xml:space="preserve">para </w:t>
      </w:r>
      <w:r>
        <w:t xml:space="preserve">a </w:t>
      </w:r>
      <w:r w:rsidRPr="00450615">
        <w:t>Segunda Rodada de Licitações sob Regime de Partilha de Produção, com vistas à outorga de blocos para exploração e produção de petr</w:t>
      </w:r>
      <w:r>
        <w:t>óleo e gás natural em áreas do p</w:t>
      </w:r>
      <w:r w:rsidRPr="00450615">
        <w:t>ré-sal</w:t>
      </w:r>
      <w:r>
        <w:t>, bem como</w:t>
      </w:r>
      <w:r w:rsidRPr="00BA4BCB">
        <w:t xml:space="preserve"> determinar o arquivamento deste processo, de acordo com os pareceres emitidos nos autos.</w:t>
      </w:r>
    </w:p>
    <w:p w:rsidR="008D22CB" w:rsidRDefault="008D22CB" w:rsidP="008D22CB">
      <w:pPr>
        <w:pStyle w:val="TCU-Ac-item9-1Linha"/>
        <w:spacing w:after="0"/>
        <w:jc w:val="center"/>
      </w:pPr>
    </w:p>
    <w:p w:rsidR="008D22CB" w:rsidRDefault="008D22CB" w:rsidP="008D22CB">
      <w:pPr>
        <w:pStyle w:val="TCU-Ac-item9-1Linha"/>
        <w:spacing w:after="0"/>
      </w:pPr>
      <w:r>
        <w:rPr>
          <w:b/>
        </w:rPr>
        <w:t>1. Processo TC 021.357/2017-0 (DESESTATIZAÇÃO)</w:t>
      </w:r>
    </w:p>
    <w:p w:rsidR="008D22CB" w:rsidRDefault="008D22CB" w:rsidP="008D22CB">
      <w:pPr>
        <w:pStyle w:val="TCU-Ac-item9-1Linha"/>
        <w:spacing w:after="0"/>
      </w:pPr>
      <w:r>
        <w:tab/>
        <w:t>1.1. Órgão/Entidade: Agência Nacional do Petróleo, Gás Natural e Biocombustíveis (ANP).</w:t>
      </w:r>
    </w:p>
    <w:p w:rsidR="008D22CB" w:rsidRDefault="008D22CB" w:rsidP="008D22CB">
      <w:pPr>
        <w:pStyle w:val="TCU-Ac-item9-1Linha"/>
        <w:spacing w:after="0"/>
      </w:pPr>
      <w:r>
        <w:tab/>
        <w:t>1.2. Relator: Ministro Aroldo Cedraz.</w:t>
      </w:r>
    </w:p>
    <w:p w:rsidR="008D22CB" w:rsidRDefault="008D22CB" w:rsidP="008D22CB">
      <w:pPr>
        <w:pStyle w:val="TCU-Ac-item9-1Linha"/>
        <w:spacing w:after="0"/>
      </w:pPr>
      <w:r>
        <w:tab/>
        <w:t>1.3. Representante do Ministério Público: não atuou.</w:t>
      </w:r>
    </w:p>
    <w:p w:rsidR="008D22CB" w:rsidRDefault="008D22CB" w:rsidP="008D22CB">
      <w:pPr>
        <w:pStyle w:val="TCU-Ac-item9-1Linha"/>
        <w:spacing w:after="0"/>
      </w:pPr>
      <w:r>
        <w:tab/>
        <w:t>1.4. Unidade Técnica: Secretaria de Fiscalização de Infraestrutura de Petróleo e Gás Natural (</w:t>
      </w:r>
      <w:proofErr w:type="spellStart"/>
      <w:r>
        <w:t>SeinfraPetróleo</w:t>
      </w:r>
      <w:proofErr w:type="spellEnd"/>
      <w:r>
        <w:t>).</w:t>
      </w:r>
    </w:p>
    <w:p w:rsidR="008D22CB" w:rsidRDefault="008D22CB" w:rsidP="008D22CB">
      <w:pPr>
        <w:pStyle w:val="TCU-Ac-item9-1Linha"/>
        <w:spacing w:after="0"/>
      </w:pPr>
      <w:r>
        <w:tab/>
        <w:t>1.5. Representação legal: não há.</w:t>
      </w:r>
    </w:p>
    <w:p w:rsidR="008D22CB" w:rsidRDefault="008D22CB" w:rsidP="008D22CB">
      <w:pPr>
        <w:pStyle w:val="TCU-Ac-item9-1Linha"/>
        <w:spacing w:after="0"/>
      </w:pPr>
      <w:r>
        <w:tab/>
        <w:t>1.6. Determinações/Recomendações/Orientações:</w:t>
      </w:r>
    </w:p>
    <w:p w:rsidR="008D22CB" w:rsidRDefault="008D22CB" w:rsidP="008D22CB">
      <w:pPr>
        <w:pStyle w:val="TCU-Ac-item9-1Linha"/>
        <w:spacing w:after="0"/>
      </w:pPr>
      <w:r>
        <w:tab/>
        <w:t xml:space="preserve">1.6.1. </w:t>
      </w:r>
      <w:bookmarkStart w:id="0" w:name="_GoBack"/>
      <w:bookmarkEnd w:id="0"/>
      <w:r w:rsidR="000E487D" w:rsidRPr="001D61EE">
        <w:t>Dar</w:t>
      </w:r>
      <w:r w:rsidRPr="001D61EE">
        <w:t xml:space="preserve"> ciência deste Acórdão e d</w:t>
      </w:r>
      <w:r>
        <w:t>os pareceres que o fundamentam à</w:t>
      </w:r>
      <w:r w:rsidRPr="001D61EE">
        <w:t xml:space="preserve"> </w:t>
      </w:r>
      <w:r w:rsidRPr="00E26954">
        <w:t>Agência Nacional do Petróleo, Gás Natural e Biocombustíveis</w:t>
      </w:r>
      <w:r>
        <w:t xml:space="preserve"> (ANP)</w:t>
      </w:r>
      <w:r w:rsidRPr="00E26954">
        <w:t>, ao Conselho Nacional de Política Energética</w:t>
      </w:r>
      <w:r>
        <w:t xml:space="preserve"> (CNPE)</w:t>
      </w:r>
      <w:r w:rsidRPr="00E26954">
        <w:t xml:space="preserve"> </w:t>
      </w:r>
      <w:r>
        <w:t xml:space="preserve">e </w:t>
      </w:r>
      <w:r w:rsidRPr="00E26954">
        <w:t>ao Ministério de Minas e Energia</w:t>
      </w:r>
      <w:r>
        <w:t xml:space="preserve"> (MME).</w:t>
      </w:r>
    </w:p>
    <w:p w:rsidR="008D22CB" w:rsidRDefault="008D22CB" w:rsidP="008D22CB">
      <w:pPr>
        <w:pStyle w:val="TCU-Ac-item9-1Linha"/>
        <w:spacing w:after="0"/>
        <w:jc w:val="center"/>
      </w:pPr>
    </w:p>
    <w:p w:rsidR="001350B8" w:rsidRDefault="001350B8" w:rsidP="008B6E97">
      <w:pPr>
        <w:pStyle w:val="TCU-Ac-item9-1Linha"/>
        <w:spacing w:after="0"/>
        <w:jc w:val="center"/>
      </w:pPr>
    </w:p>
    <w:sectPr w:rsidR="001350B8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6A8" w:rsidRDefault="007F26A8">
      <w:r>
        <w:separator/>
      </w:r>
    </w:p>
  </w:endnote>
  <w:endnote w:type="continuationSeparator" w:id="0">
    <w:p w:rsidR="007F26A8" w:rsidRDefault="007F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430" w:rsidRDefault="00A2743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487D">
      <w:rPr>
        <w:noProof/>
      </w:rPr>
      <w:t>1</w:t>
    </w:r>
    <w:r>
      <w:fldChar w:fldCharType="end"/>
    </w:r>
  </w:p>
  <w:p w:rsidR="001350B8" w:rsidRDefault="001350B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6A8" w:rsidRDefault="007F26A8">
      <w:r>
        <w:separator/>
      </w:r>
    </w:p>
  </w:footnote>
  <w:footnote w:type="continuationSeparator" w:id="0">
    <w:p w:rsidR="007F26A8" w:rsidRDefault="007F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44B" w:rsidRDefault="00307D30">
    <w:pPr>
      <w:pStyle w:val="Cabealho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741045</wp:posOffset>
              </wp:positionH>
              <wp:positionV relativeFrom="page">
                <wp:posOffset>459740</wp:posOffset>
              </wp:positionV>
              <wp:extent cx="6299835" cy="6070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607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644B" w:rsidRPr="00A13DF5" w:rsidRDefault="00D5644B" w:rsidP="00C97811">
                          <w:pPr>
                            <w:rPr>
                              <w:rFonts w:ascii="Arial Black" w:hAnsi="Arial Black"/>
                              <w:sz w:val="18"/>
                              <w:szCs w:val="18"/>
                            </w:rPr>
                          </w:pPr>
                          <w:r w:rsidRPr="00A13DF5"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  <w:t>TRIBUNAL DE CONTAS DA UNIÃO</w:t>
                          </w:r>
                          <w:r w:rsidRPr="00A13DF5">
                            <w:rPr>
                              <w:rFonts w:ascii="Arial Black" w:hAnsi="Arial Black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1350B8" w:rsidRPr="00A13DF5" w:rsidRDefault="001350B8" w:rsidP="00C9781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13DF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TCU - Plenário</w:t>
                          </w:r>
                        </w:p>
                        <w:p w:rsidR="001350B8" w:rsidRPr="00A13DF5" w:rsidRDefault="00366F16" w:rsidP="00366F1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Relator: Ministro Aroldo Cedraz</w:t>
                          </w:r>
                        </w:p>
                      </w:txbxContent>
                    </wps:txbx>
                    <wps:bodyPr rot="0" vert="horz" wrap="square" lIns="63500" tIns="35941" rIns="63500" bIns="635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35pt;margin-top:36.2pt;width:496.05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" stroked="f">
              <v:textbox inset="5pt,2.83pt,5pt,5pt">
                <w:txbxContent>
                  <w:p w:rsidR="00D5644B" w:rsidRPr="00A13DF5" w:rsidRDefault="00D5644B" w:rsidP="00C97811">
                    <w:pPr>
                      <w:rPr>
                        <w:rFonts w:ascii="Arial Black" w:hAnsi="Arial Black"/>
                        <w:sz w:val="18"/>
                        <w:szCs w:val="18"/>
                      </w:rPr>
                    </w:pPr>
                    <w:r w:rsidRPr="00A13DF5"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  <w:t>TRIBUNAL DE CONTAS DA UNIÃO</w:t>
                    </w:r>
                    <w:r w:rsidRPr="00A13DF5">
                      <w:rPr>
                        <w:rFonts w:ascii="Arial Black" w:hAnsi="Arial Black"/>
                        <w:sz w:val="18"/>
                        <w:szCs w:val="18"/>
                      </w:rPr>
                      <w:t xml:space="preserve"> </w:t>
                    </w:r>
                  </w:p>
                  <w:p w:rsidR="001350B8" w:rsidRPr="00A13DF5" w:rsidRDefault="001350B8" w:rsidP="00C9781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13DF5">
                      <w:rPr>
                        <w:rFonts w:ascii="Arial" w:hAnsi="Arial" w:cs="Arial"/>
                        <w:sz w:val="18"/>
                        <w:szCs w:val="18"/>
                      </w:rPr>
                      <w:t>TCU - Plenário</w:t>
                    </w:r>
                  </w:p>
                  <w:p w:rsidR="001350B8" w:rsidRPr="00A13DF5" w:rsidRDefault="00366F16" w:rsidP="00366F1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Relator: Ministro Aroldo Cedraz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-47625</wp:posOffset>
          </wp:positionV>
          <wp:extent cx="638175" cy="552450"/>
          <wp:effectExtent l="0" t="0" r="9525" b="0"/>
          <wp:wrapThrough wrapText="bothSides">
            <wp:wrapPolygon edited="0">
              <wp:start x="0" y="0"/>
              <wp:lineTo x="0" y="20855"/>
              <wp:lineTo x="21278" y="20855"/>
              <wp:lineTo x="21278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50B8" w:rsidRDefault="001350B8">
    <w:pPr>
      <w:pStyle w:val="Cabealho"/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305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215508"/>
    <w:multiLevelType w:val="multilevel"/>
    <w:tmpl w:val="CE6826C8"/>
    <w:lvl w:ilvl="0">
      <w:start w:val="1"/>
      <w:numFmt w:val="decimal"/>
      <w:pStyle w:val="zz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632F81"/>
    <w:multiLevelType w:val="multilevel"/>
    <w:tmpl w:val="24461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/>
        <w:color w:val="auto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/>
        <w:color w:val="auto"/>
      </w:rPr>
    </w:lvl>
  </w:abstractNum>
  <w:abstractNum w:abstractNumId="3" w15:restartNumberingAfterBreak="0">
    <w:nsid w:val="21BD7FF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75AC0EBD"/>
    <w:multiLevelType w:val="singleLevel"/>
    <w:tmpl w:val="536A99FA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/>
        <w:b/>
        <w:bCs/>
        <w:i w:val="0"/>
        <w:iCs w:val="0"/>
        <w:sz w:val="16"/>
        <w:szCs w:val="16"/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19"/>
    <w:rsid w:val="00003A35"/>
    <w:rsid w:val="000E487D"/>
    <w:rsid w:val="001350B8"/>
    <w:rsid w:val="001D61EE"/>
    <w:rsid w:val="00210298"/>
    <w:rsid w:val="002E33D3"/>
    <w:rsid w:val="00307D30"/>
    <w:rsid w:val="00366F16"/>
    <w:rsid w:val="0038092C"/>
    <w:rsid w:val="003D2B4A"/>
    <w:rsid w:val="00450615"/>
    <w:rsid w:val="00457355"/>
    <w:rsid w:val="00497738"/>
    <w:rsid w:val="004A1C99"/>
    <w:rsid w:val="004C22EB"/>
    <w:rsid w:val="004E1392"/>
    <w:rsid w:val="00532C2B"/>
    <w:rsid w:val="00634368"/>
    <w:rsid w:val="00676BFF"/>
    <w:rsid w:val="006849BE"/>
    <w:rsid w:val="006855D7"/>
    <w:rsid w:val="00697EC9"/>
    <w:rsid w:val="007E38AF"/>
    <w:rsid w:val="007F26A8"/>
    <w:rsid w:val="008B6E97"/>
    <w:rsid w:val="008C0F19"/>
    <w:rsid w:val="008D22CB"/>
    <w:rsid w:val="00A13DF5"/>
    <w:rsid w:val="00A27430"/>
    <w:rsid w:val="00A845DA"/>
    <w:rsid w:val="00AD3C90"/>
    <w:rsid w:val="00B44787"/>
    <w:rsid w:val="00BA4BCB"/>
    <w:rsid w:val="00C751A9"/>
    <w:rsid w:val="00C903E5"/>
    <w:rsid w:val="00C97811"/>
    <w:rsid w:val="00D5644B"/>
    <w:rsid w:val="00E26954"/>
    <w:rsid w:val="00EA0779"/>
    <w:rsid w:val="00ED6C76"/>
    <w:rsid w:val="00F64F2D"/>
    <w:rsid w:val="00F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DFB35BCF-3B14-4543-B53C-A56B32DB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/>
    <w:lsdException w:name="header" w:locked="1" w:semiHidden="1"/>
    <w:lsdException w:name="footer" w:locked="1" w:semiHidden="1"/>
    <w:lsdException w:name="caption" w:locked="1" w:semiHidden="1" w:uiPriority="35" w:unhideWhenUsed="1" w:qFormat="1"/>
    <w:lsdException w:name="annotation reference" w:locked="1" w:semiHidden="1"/>
    <w:lsdException w:name="page number" w:locked="1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/>
    <w:lsdException w:name="Body Tex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semiHidden="1"/>
    <w:lsdException w:name="Strong" w:locked="1" w:uiPriority="22" w:qFormat="1"/>
    <w:lsdException w:name="Emphasis" w:locked="1" w:uiPriority="20" w:qFormat="1"/>
    <w:lsdException w:name="Plain Text" w:locked="1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35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-142"/>
      </w:tabs>
      <w:jc w:val="both"/>
      <w:outlineLvl w:val="0"/>
    </w:pPr>
    <w:rPr>
      <w:color w:val="0000FF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jc w:val="right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zzz">
    <w:name w:val="zzz"/>
    <w:basedOn w:val="Normal"/>
    <w:autoRedefine/>
    <w:uiPriority w:val="99"/>
    <w:pPr>
      <w:numPr>
        <w:numId w:val="5"/>
      </w:numPr>
      <w:tabs>
        <w:tab w:val="left" w:pos="360"/>
        <w:tab w:val="left" w:pos="1418"/>
      </w:tabs>
      <w:spacing w:before="240"/>
      <w:ind w:left="360" w:hanging="360"/>
      <w:jc w:val="both"/>
    </w:pPr>
    <w:rPr>
      <w:szCs w:val="24"/>
    </w:rPr>
  </w:style>
  <w:style w:type="paragraph" w:styleId="Sumrio1">
    <w:name w:val="toc 1"/>
    <w:basedOn w:val="Normal"/>
    <w:next w:val="Normal"/>
    <w:autoRedefine/>
    <w:uiPriority w:val="99"/>
    <w:pPr>
      <w:spacing w:before="120" w:after="120"/>
    </w:pPr>
    <w:rPr>
      <w:b/>
      <w:bCs/>
      <w:caps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676BFF"/>
    <w:pPr>
      <w:tabs>
        <w:tab w:val="center" w:pos="4419"/>
        <w:tab w:val="right" w:pos="8838"/>
      </w:tabs>
      <w:autoSpaceDE/>
      <w:autoSpaceDN/>
      <w:spacing w:after="200" w:line="276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76BFF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SemEspaamento">
    <w:name w:val="No Spacing"/>
    <w:uiPriority w:val="1"/>
    <w:qFormat/>
    <w:rsid w:val="00C903E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C903E5"/>
    <w:pPr>
      <w:jc w:val="center"/>
      <w:outlineLvl w:val="0"/>
    </w:pPr>
    <w:rPr>
      <w:b/>
      <w:bCs/>
      <w:kern w:val="28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C903E5"/>
    <w:rPr>
      <w:rFonts w:ascii="Times New Roman" w:hAnsi="Times New Roman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03E5"/>
    <w:pPr>
      <w:jc w:val="center"/>
      <w:outlineLvl w:val="1"/>
    </w:pPr>
    <w:rPr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C903E5"/>
    <w:rPr>
      <w:rFonts w:ascii="Times New Roman" w:hAnsi="Times New Roman" w:cs="Times New Roman"/>
      <w:sz w:val="24"/>
      <w:szCs w:val="24"/>
    </w:rPr>
  </w:style>
  <w:style w:type="paragraph" w:customStyle="1" w:styleId="TCU-Centralizado">
    <w:name w:val="TCU - Centralizado"/>
    <w:basedOn w:val="Normal"/>
    <w:qFormat/>
    <w:rsid w:val="006855D7"/>
    <w:pPr>
      <w:jc w:val="center"/>
    </w:pPr>
    <w:rPr>
      <w:szCs w:val="24"/>
    </w:rPr>
  </w:style>
  <w:style w:type="paragraph" w:customStyle="1" w:styleId="TCU-Epgrafe">
    <w:name w:val="TCU - Epígrafe"/>
    <w:basedOn w:val="Normal"/>
    <w:qFormat/>
    <w:rsid w:val="006855D7"/>
    <w:pPr>
      <w:ind w:left="2835"/>
      <w:jc w:val="both"/>
    </w:pPr>
  </w:style>
  <w:style w:type="paragraph" w:customStyle="1" w:styleId="TCU-RelVoto-1">
    <w:name w:val="TCU - Rel/Voto - 1º §"/>
    <w:basedOn w:val="Normal"/>
    <w:qFormat/>
    <w:rsid w:val="006855D7"/>
    <w:pPr>
      <w:spacing w:after="160"/>
      <w:ind w:firstLine="1134"/>
      <w:jc w:val="both"/>
    </w:pPr>
  </w:style>
  <w:style w:type="paragraph" w:customStyle="1" w:styleId="TCU-Ac-item9-">
    <w:name w:val="TCU - Ac - item 9 - §§"/>
    <w:basedOn w:val="TCU-RelVoto-1"/>
    <w:qFormat/>
    <w:rsid w:val="006855D7"/>
    <w:pPr>
      <w:spacing w:after="0"/>
    </w:pPr>
  </w:style>
  <w:style w:type="paragraph" w:customStyle="1" w:styleId="TCU-RelVoto-demais">
    <w:name w:val="TCU - Rel/Voto - demais §§"/>
    <w:basedOn w:val="Normal"/>
    <w:qFormat/>
    <w:rsid w:val="006855D7"/>
    <w:pPr>
      <w:tabs>
        <w:tab w:val="left" w:pos="1134"/>
      </w:tabs>
      <w:spacing w:after="160"/>
      <w:jc w:val="both"/>
    </w:pPr>
  </w:style>
  <w:style w:type="paragraph" w:customStyle="1" w:styleId="TCU-Ac-itens1a8">
    <w:name w:val="TCU -   Ac - itens 1 a 8"/>
    <w:basedOn w:val="TCU-RelVoto-demais"/>
    <w:qFormat/>
    <w:rsid w:val="006855D7"/>
    <w:pPr>
      <w:spacing w:after="0"/>
    </w:pPr>
  </w:style>
  <w:style w:type="paragraph" w:customStyle="1" w:styleId="TCU-Sumrio">
    <w:name w:val="TCU - Sumário"/>
    <w:basedOn w:val="Normal"/>
    <w:qFormat/>
    <w:rsid w:val="006855D7"/>
    <w:pPr>
      <w:ind w:left="5103"/>
      <w:jc w:val="both"/>
    </w:pPr>
    <w:rPr>
      <w:b/>
    </w:rPr>
  </w:style>
  <w:style w:type="paragraph" w:customStyle="1" w:styleId="TCU-Transcrio">
    <w:name w:val="TCU - Transcrição"/>
    <w:basedOn w:val="Normal"/>
    <w:qFormat/>
    <w:rsid w:val="006855D7"/>
    <w:pPr>
      <w:spacing w:after="120"/>
      <w:ind w:left="284" w:firstLine="567"/>
      <w:jc w:val="both"/>
    </w:pPr>
    <w:rPr>
      <w:i/>
    </w:rPr>
  </w:style>
  <w:style w:type="paragraph" w:customStyle="1" w:styleId="TCU-Ac-item9-1Linha">
    <w:name w:val="TCU -  Ac - item 9 - 1ª Linha"/>
    <w:basedOn w:val="TCU-RelVoto-demais"/>
    <w:qFormat/>
    <w:rsid w:val="00457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tcu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PAIVA DE CASTILHO CARNEIRO</dc:creator>
  <cp:keywords/>
  <dc:description/>
  <cp:lastModifiedBy>GISELLE DE CASTRO DE CARVALHO</cp:lastModifiedBy>
  <cp:revision>3</cp:revision>
  <cp:lastPrinted>2007-09-13T19:01:00Z</cp:lastPrinted>
  <dcterms:created xsi:type="dcterms:W3CDTF">2018-08-13T17:36:00Z</dcterms:created>
  <dcterms:modified xsi:type="dcterms:W3CDTF">2018-08-13T20:18:00Z</dcterms:modified>
</cp:coreProperties>
</file>