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984"/>
        <w:gridCol w:w="851"/>
        <w:gridCol w:w="2977"/>
        <w:gridCol w:w="992"/>
        <w:gridCol w:w="1134"/>
        <w:gridCol w:w="850"/>
        <w:gridCol w:w="3636"/>
        <w:gridCol w:w="723"/>
      </w:tblGrid>
      <w:tr w:rsidR="009C774A" w:rsidRPr="009C774A" w14:paraId="2785A115" w14:textId="77777777" w:rsidTr="0045529D">
        <w:tc>
          <w:tcPr>
            <w:tcW w:w="14560" w:type="dxa"/>
            <w:gridSpan w:val="9"/>
            <w:shd w:val="clear" w:color="auto" w:fill="auto"/>
            <w:vAlign w:val="center"/>
            <w:hideMark/>
          </w:tcPr>
          <w:p w14:paraId="4C71097B" w14:textId="77777777" w:rsidR="009C774A" w:rsidRPr="009C774A" w:rsidRDefault="009C774A" w:rsidP="0045529D">
            <w:pPr>
              <w:spacing w:before="120" w:after="120" w:line="240" w:lineRule="auto"/>
              <w:jc w:val="center"/>
              <w:rPr>
                <w:rFonts w:eastAsia="Times New Roman" w:cstheme="minorHAnsi"/>
                <w:b/>
                <w:bCs/>
                <w:sz w:val="20"/>
                <w:szCs w:val="20"/>
                <w:lang w:eastAsia="pt-BR"/>
              </w:rPr>
            </w:pPr>
            <w:r w:rsidRPr="009C774A">
              <w:rPr>
                <w:rFonts w:eastAsia="Times New Roman" w:cstheme="minorHAnsi"/>
                <w:b/>
                <w:bCs/>
                <w:sz w:val="20"/>
                <w:szCs w:val="20"/>
                <w:lang w:eastAsia="pt-BR"/>
              </w:rPr>
              <w:t>DECISÕES TOMADAS EM CIRCUITO DELIBERATIVO (17 a 23/11/2023)</w:t>
            </w:r>
          </w:p>
        </w:tc>
      </w:tr>
      <w:tr w:rsidR="0045529D" w:rsidRPr="009C774A" w14:paraId="20AA4767" w14:textId="77777777" w:rsidTr="0045529D">
        <w:tc>
          <w:tcPr>
            <w:tcW w:w="1413" w:type="dxa"/>
            <w:shd w:val="clear" w:color="auto" w:fill="auto"/>
            <w:vAlign w:val="center"/>
            <w:hideMark/>
          </w:tcPr>
          <w:p w14:paraId="4C815D99" w14:textId="77777777" w:rsidR="009C774A" w:rsidRPr="009C774A" w:rsidRDefault="009C774A" w:rsidP="009C774A">
            <w:pPr>
              <w:spacing w:after="0" w:line="240" w:lineRule="auto"/>
              <w:jc w:val="center"/>
              <w:rPr>
                <w:rFonts w:eastAsia="Times New Roman" w:cstheme="minorHAnsi"/>
                <w:b/>
                <w:bCs/>
                <w:sz w:val="20"/>
                <w:szCs w:val="20"/>
                <w:lang w:eastAsia="pt-BR"/>
              </w:rPr>
            </w:pPr>
            <w:r w:rsidRPr="009C774A">
              <w:rPr>
                <w:rFonts w:eastAsia="Times New Roman" w:cstheme="minorHAnsi"/>
                <w:b/>
                <w:bCs/>
                <w:sz w:val="20"/>
                <w:szCs w:val="20"/>
                <w:lang w:eastAsia="pt-BR"/>
              </w:rPr>
              <w:t>Circuito Deliberativo</w:t>
            </w:r>
          </w:p>
        </w:tc>
        <w:tc>
          <w:tcPr>
            <w:tcW w:w="1984" w:type="dxa"/>
            <w:shd w:val="clear" w:color="auto" w:fill="auto"/>
            <w:vAlign w:val="center"/>
            <w:hideMark/>
          </w:tcPr>
          <w:p w14:paraId="19F08E8D" w14:textId="77777777" w:rsidR="009C774A" w:rsidRPr="009C774A" w:rsidRDefault="009C774A" w:rsidP="009C774A">
            <w:pPr>
              <w:spacing w:after="0" w:line="240" w:lineRule="auto"/>
              <w:jc w:val="center"/>
              <w:rPr>
                <w:rFonts w:eastAsia="Times New Roman" w:cstheme="minorHAnsi"/>
                <w:b/>
                <w:bCs/>
                <w:sz w:val="20"/>
                <w:szCs w:val="20"/>
                <w:lang w:eastAsia="pt-BR"/>
              </w:rPr>
            </w:pPr>
            <w:r w:rsidRPr="009C774A">
              <w:rPr>
                <w:rFonts w:eastAsia="Times New Roman" w:cstheme="minorHAnsi"/>
                <w:b/>
                <w:bCs/>
                <w:sz w:val="20"/>
                <w:szCs w:val="20"/>
                <w:lang w:eastAsia="pt-BR"/>
              </w:rPr>
              <w:t>Processo</w:t>
            </w:r>
          </w:p>
        </w:tc>
        <w:tc>
          <w:tcPr>
            <w:tcW w:w="851" w:type="dxa"/>
            <w:shd w:val="clear" w:color="auto" w:fill="auto"/>
            <w:vAlign w:val="center"/>
            <w:hideMark/>
          </w:tcPr>
          <w:p w14:paraId="3C997424" w14:textId="77777777" w:rsidR="009C774A" w:rsidRPr="009C774A" w:rsidRDefault="009C774A" w:rsidP="009C774A">
            <w:pPr>
              <w:spacing w:after="0" w:line="240" w:lineRule="auto"/>
              <w:jc w:val="center"/>
              <w:rPr>
                <w:rFonts w:eastAsia="Times New Roman" w:cstheme="minorHAnsi"/>
                <w:b/>
                <w:bCs/>
                <w:sz w:val="20"/>
                <w:szCs w:val="20"/>
                <w:lang w:eastAsia="pt-BR"/>
              </w:rPr>
            </w:pPr>
            <w:r w:rsidRPr="009C774A">
              <w:rPr>
                <w:rFonts w:eastAsia="Times New Roman" w:cstheme="minorHAnsi"/>
                <w:b/>
                <w:bCs/>
                <w:sz w:val="20"/>
                <w:szCs w:val="20"/>
                <w:lang w:eastAsia="pt-BR"/>
              </w:rPr>
              <w:t>Unidade Autora</w:t>
            </w:r>
          </w:p>
        </w:tc>
        <w:tc>
          <w:tcPr>
            <w:tcW w:w="2977" w:type="dxa"/>
            <w:shd w:val="clear" w:color="auto" w:fill="auto"/>
            <w:vAlign w:val="center"/>
            <w:hideMark/>
          </w:tcPr>
          <w:p w14:paraId="66095667" w14:textId="77777777" w:rsidR="009C774A" w:rsidRPr="009C774A" w:rsidRDefault="009C774A" w:rsidP="009C774A">
            <w:pPr>
              <w:spacing w:after="0" w:line="240" w:lineRule="auto"/>
              <w:jc w:val="center"/>
              <w:rPr>
                <w:rFonts w:eastAsia="Times New Roman" w:cstheme="minorHAnsi"/>
                <w:b/>
                <w:bCs/>
                <w:sz w:val="20"/>
                <w:szCs w:val="20"/>
                <w:lang w:eastAsia="pt-BR"/>
              </w:rPr>
            </w:pPr>
            <w:r w:rsidRPr="009C774A">
              <w:rPr>
                <w:rFonts w:eastAsia="Times New Roman" w:cstheme="minorHAnsi"/>
                <w:b/>
                <w:bCs/>
                <w:sz w:val="20"/>
                <w:szCs w:val="20"/>
                <w:lang w:eastAsia="pt-BR"/>
              </w:rPr>
              <w:t>Assunto</w:t>
            </w:r>
          </w:p>
        </w:tc>
        <w:tc>
          <w:tcPr>
            <w:tcW w:w="992" w:type="dxa"/>
            <w:shd w:val="clear" w:color="auto" w:fill="auto"/>
            <w:vAlign w:val="center"/>
            <w:hideMark/>
          </w:tcPr>
          <w:p w14:paraId="0F4498A5" w14:textId="77777777" w:rsidR="009C774A" w:rsidRPr="009C774A" w:rsidRDefault="009C774A" w:rsidP="009C774A">
            <w:pPr>
              <w:spacing w:after="0" w:line="240" w:lineRule="auto"/>
              <w:jc w:val="center"/>
              <w:rPr>
                <w:rFonts w:eastAsia="Times New Roman" w:cstheme="minorHAnsi"/>
                <w:b/>
                <w:bCs/>
                <w:sz w:val="20"/>
                <w:szCs w:val="20"/>
                <w:lang w:eastAsia="pt-BR"/>
              </w:rPr>
            </w:pPr>
            <w:r w:rsidRPr="009C774A">
              <w:rPr>
                <w:rFonts w:eastAsia="Times New Roman" w:cstheme="minorHAnsi"/>
                <w:b/>
                <w:bCs/>
                <w:sz w:val="20"/>
                <w:szCs w:val="20"/>
                <w:lang w:eastAsia="pt-BR"/>
              </w:rPr>
              <w:t>Diretor Relator</w:t>
            </w:r>
          </w:p>
        </w:tc>
        <w:tc>
          <w:tcPr>
            <w:tcW w:w="1134" w:type="dxa"/>
            <w:shd w:val="clear" w:color="auto" w:fill="auto"/>
            <w:vAlign w:val="center"/>
            <w:hideMark/>
          </w:tcPr>
          <w:p w14:paraId="55A0A2A5" w14:textId="77777777" w:rsidR="009C774A" w:rsidRPr="009C774A" w:rsidRDefault="009C774A" w:rsidP="009C774A">
            <w:pPr>
              <w:spacing w:after="0" w:line="240" w:lineRule="auto"/>
              <w:jc w:val="center"/>
              <w:rPr>
                <w:rFonts w:eastAsia="Times New Roman" w:cstheme="minorHAnsi"/>
                <w:b/>
                <w:bCs/>
                <w:sz w:val="20"/>
                <w:szCs w:val="20"/>
                <w:lang w:eastAsia="pt-BR"/>
              </w:rPr>
            </w:pPr>
            <w:r w:rsidRPr="009C774A">
              <w:rPr>
                <w:rFonts w:eastAsia="Times New Roman" w:cstheme="minorHAnsi"/>
                <w:b/>
                <w:bCs/>
                <w:sz w:val="20"/>
                <w:szCs w:val="20"/>
                <w:lang w:eastAsia="pt-BR"/>
              </w:rPr>
              <w:t>Resolução de Diretoria</w:t>
            </w:r>
          </w:p>
        </w:tc>
        <w:tc>
          <w:tcPr>
            <w:tcW w:w="850" w:type="dxa"/>
            <w:shd w:val="clear" w:color="auto" w:fill="auto"/>
            <w:vAlign w:val="center"/>
            <w:hideMark/>
          </w:tcPr>
          <w:p w14:paraId="0E8C7055" w14:textId="77777777" w:rsidR="009C774A" w:rsidRPr="009C774A" w:rsidRDefault="009C774A" w:rsidP="009C774A">
            <w:pPr>
              <w:spacing w:after="0" w:line="240" w:lineRule="auto"/>
              <w:jc w:val="center"/>
              <w:rPr>
                <w:rFonts w:eastAsia="Times New Roman" w:cstheme="minorHAnsi"/>
                <w:b/>
                <w:bCs/>
                <w:sz w:val="20"/>
                <w:szCs w:val="20"/>
                <w:lang w:eastAsia="pt-BR"/>
              </w:rPr>
            </w:pPr>
            <w:r w:rsidRPr="009C774A">
              <w:rPr>
                <w:rFonts w:eastAsia="Times New Roman" w:cstheme="minorHAnsi"/>
                <w:b/>
                <w:bCs/>
                <w:sz w:val="20"/>
                <w:szCs w:val="20"/>
                <w:lang w:eastAsia="pt-BR"/>
              </w:rPr>
              <w:t xml:space="preserve">Data </w:t>
            </w:r>
          </w:p>
        </w:tc>
        <w:tc>
          <w:tcPr>
            <w:tcW w:w="3636" w:type="dxa"/>
            <w:shd w:val="clear" w:color="auto" w:fill="auto"/>
            <w:vAlign w:val="center"/>
            <w:hideMark/>
          </w:tcPr>
          <w:p w14:paraId="3CBE1EEE" w14:textId="77777777" w:rsidR="009C774A" w:rsidRPr="009C774A" w:rsidRDefault="009C774A" w:rsidP="009C774A">
            <w:pPr>
              <w:spacing w:after="0" w:line="240" w:lineRule="auto"/>
              <w:jc w:val="center"/>
              <w:rPr>
                <w:rFonts w:eastAsia="Times New Roman" w:cstheme="minorHAnsi"/>
                <w:b/>
                <w:bCs/>
                <w:sz w:val="20"/>
                <w:szCs w:val="20"/>
                <w:lang w:eastAsia="pt-BR"/>
              </w:rPr>
            </w:pPr>
            <w:r w:rsidRPr="009C774A">
              <w:rPr>
                <w:rFonts w:eastAsia="Times New Roman" w:cstheme="minorHAnsi"/>
                <w:b/>
                <w:bCs/>
                <w:sz w:val="20"/>
                <w:szCs w:val="20"/>
                <w:lang w:eastAsia="pt-BR"/>
              </w:rPr>
              <w:t>Decisão</w:t>
            </w:r>
          </w:p>
        </w:tc>
        <w:tc>
          <w:tcPr>
            <w:tcW w:w="723" w:type="dxa"/>
            <w:shd w:val="clear" w:color="auto" w:fill="auto"/>
            <w:vAlign w:val="center"/>
            <w:hideMark/>
          </w:tcPr>
          <w:p w14:paraId="64B57730" w14:textId="77777777" w:rsidR="009C774A" w:rsidRPr="009C774A" w:rsidRDefault="009C774A" w:rsidP="009C774A">
            <w:pPr>
              <w:spacing w:after="0" w:line="240" w:lineRule="auto"/>
              <w:jc w:val="center"/>
              <w:rPr>
                <w:rFonts w:eastAsia="Times New Roman" w:cstheme="minorHAnsi"/>
                <w:b/>
                <w:bCs/>
                <w:sz w:val="20"/>
                <w:szCs w:val="20"/>
                <w:lang w:eastAsia="pt-BR"/>
              </w:rPr>
            </w:pPr>
            <w:r w:rsidRPr="009C774A">
              <w:rPr>
                <w:rFonts w:eastAsia="Times New Roman" w:cstheme="minorHAnsi"/>
                <w:b/>
                <w:bCs/>
                <w:sz w:val="20"/>
                <w:szCs w:val="20"/>
                <w:lang w:eastAsia="pt-BR"/>
              </w:rPr>
              <w:t>Votação</w:t>
            </w:r>
          </w:p>
        </w:tc>
      </w:tr>
      <w:tr w:rsidR="009C774A" w:rsidRPr="009C774A" w14:paraId="526257DD" w14:textId="77777777" w:rsidTr="0045529D">
        <w:tc>
          <w:tcPr>
            <w:tcW w:w="1413" w:type="dxa"/>
            <w:shd w:val="clear" w:color="auto" w:fill="auto"/>
            <w:vAlign w:val="center"/>
            <w:hideMark/>
          </w:tcPr>
          <w:p w14:paraId="7265C607"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516/2023/SGE-CIRCUITO/SGE</w:t>
            </w:r>
          </w:p>
        </w:tc>
        <w:tc>
          <w:tcPr>
            <w:tcW w:w="1984" w:type="dxa"/>
            <w:shd w:val="clear" w:color="auto" w:fill="auto"/>
            <w:vAlign w:val="center"/>
            <w:hideMark/>
          </w:tcPr>
          <w:p w14:paraId="456ADE46"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48600.204384/2023-08</w:t>
            </w:r>
          </w:p>
        </w:tc>
        <w:tc>
          <w:tcPr>
            <w:tcW w:w="851" w:type="dxa"/>
            <w:shd w:val="clear" w:color="auto" w:fill="auto"/>
            <w:vAlign w:val="center"/>
            <w:hideMark/>
          </w:tcPr>
          <w:p w14:paraId="2FDDF447"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SGA</w:t>
            </w:r>
          </w:p>
        </w:tc>
        <w:tc>
          <w:tcPr>
            <w:tcW w:w="2977" w:type="dxa"/>
            <w:shd w:val="clear" w:color="auto" w:fill="auto"/>
            <w:vAlign w:val="center"/>
            <w:hideMark/>
          </w:tcPr>
          <w:p w14:paraId="70F12141"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Nomeação de comissão permanente para instauração de processo de responsabilização administrativa, nos termos do art. 158 da Lei nº 14.133/21.</w:t>
            </w:r>
          </w:p>
        </w:tc>
        <w:tc>
          <w:tcPr>
            <w:tcW w:w="992" w:type="dxa"/>
            <w:shd w:val="clear" w:color="auto" w:fill="auto"/>
            <w:vAlign w:val="center"/>
            <w:hideMark/>
          </w:tcPr>
          <w:p w14:paraId="6D95B62B"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Rodolfo Saboia</w:t>
            </w:r>
          </w:p>
        </w:tc>
        <w:tc>
          <w:tcPr>
            <w:tcW w:w="1134" w:type="dxa"/>
            <w:shd w:val="clear" w:color="auto" w:fill="auto"/>
            <w:noWrap/>
            <w:vAlign w:val="center"/>
            <w:hideMark/>
          </w:tcPr>
          <w:p w14:paraId="237A7DB1"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624/2023</w:t>
            </w:r>
          </w:p>
        </w:tc>
        <w:tc>
          <w:tcPr>
            <w:tcW w:w="850" w:type="dxa"/>
            <w:shd w:val="clear" w:color="auto" w:fill="auto"/>
            <w:vAlign w:val="center"/>
            <w:hideMark/>
          </w:tcPr>
          <w:p w14:paraId="2D34C2B3"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23/11/23</w:t>
            </w:r>
          </w:p>
        </w:tc>
        <w:tc>
          <w:tcPr>
            <w:tcW w:w="3636" w:type="dxa"/>
            <w:shd w:val="clear" w:color="auto" w:fill="auto"/>
            <w:vAlign w:val="center"/>
            <w:hideMark/>
          </w:tcPr>
          <w:p w14:paraId="5C1E06DF" w14:textId="21F22ACD"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A Diretoria da Agência Nacional do Petróleo, Gás Natural e Biocombustíveis - ANP, considerando o que consta no processo nº 48600.204384/2023-08 e no Despacho de Proposta para Deliberação da Diretoria nº 2/2023/SGA-ADM DF/SGA, resolve, por unanimidade:</w:t>
            </w:r>
            <w:r w:rsidR="00EC2A44">
              <w:rPr>
                <w:rFonts w:eastAsia="Times New Roman" w:cstheme="minorHAnsi"/>
                <w:sz w:val="20"/>
                <w:szCs w:val="20"/>
                <w:lang w:eastAsia="pt-BR"/>
              </w:rPr>
              <w:t xml:space="preserve"> </w:t>
            </w:r>
            <w:r w:rsidRPr="009C774A">
              <w:rPr>
                <w:rFonts w:eastAsia="Times New Roman" w:cstheme="minorHAnsi"/>
                <w:sz w:val="20"/>
                <w:szCs w:val="20"/>
                <w:lang w:eastAsia="pt-BR"/>
              </w:rPr>
              <w:t>Aprovar portaria visando à constituição da comissão permanente para instauração de processo de responsabilização administrativa, nos termos do art. 158 da Lei nº 14.133, de 1º de abril de 2021.</w:t>
            </w:r>
          </w:p>
        </w:tc>
        <w:tc>
          <w:tcPr>
            <w:tcW w:w="723" w:type="dxa"/>
            <w:shd w:val="clear" w:color="auto" w:fill="auto"/>
            <w:vAlign w:val="center"/>
            <w:hideMark/>
          </w:tcPr>
          <w:p w14:paraId="06FA7B8C"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28E09871" w14:textId="77777777" w:rsidTr="0045529D">
        <w:tc>
          <w:tcPr>
            <w:tcW w:w="1413" w:type="dxa"/>
            <w:shd w:val="clear" w:color="auto" w:fill="auto"/>
            <w:vAlign w:val="center"/>
            <w:hideMark/>
          </w:tcPr>
          <w:p w14:paraId="21D1A75B"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523/2023/SGE-CIRCUITO/SGE</w:t>
            </w:r>
          </w:p>
        </w:tc>
        <w:tc>
          <w:tcPr>
            <w:tcW w:w="1984" w:type="dxa"/>
            <w:shd w:val="clear" w:color="auto" w:fill="auto"/>
            <w:vAlign w:val="center"/>
            <w:hideMark/>
          </w:tcPr>
          <w:p w14:paraId="030E2162"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48610.205723/2018-89</w:t>
            </w:r>
          </w:p>
        </w:tc>
        <w:tc>
          <w:tcPr>
            <w:tcW w:w="851" w:type="dxa"/>
            <w:shd w:val="clear" w:color="auto" w:fill="auto"/>
            <w:vAlign w:val="center"/>
            <w:hideMark/>
          </w:tcPr>
          <w:p w14:paraId="50235F7A"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SBQ</w:t>
            </w:r>
          </w:p>
        </w:tc>
        <w:tc>
          <w:tcPr>
            <w:tcW w:w="2977" w:type="dxa"/>
            <w:shd w:val="clear" w:color="auto" w:fill="auto"/>
            <w:vAlign w:val="center"/>
            <w:hideMark/>
          </w:tcPr>
          <w:p w14:paraId="7812B1F9"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Alteração da composição do Grupo Técnico RenovaBio, instituído pela Portaria ANP nº 303, de 2 de agosto de 2018.</w:t>
            </w:r>
          </w:p>
        </w:tc>
        <w:tc>
          <w:tcPr>
            <w:tcW w:w="992" w:type="dxa"/>
            <w:shd w:val="clear" w:color="auto" w:fill="auto"/>
            <w:vAlign w:val="center"/>
            <w:hideMark/>
          </w:tcPr>
          <w:p w14:paraId="00428875"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Fernando Moura</w:t>
            </w:r>
          </w:p>
        </w:tc>
        <w:tc>
          <w:tcPr>
            <w:tcW w:w="1134" w:type="dxa"/>
            <w:shd w:val="clear" w:color="auto" w:fill="auto"/>
            <w:noWrap/>
            <w:vAlign w:val="center"/>
            <w:hideMark/>
          </w:tcPr>
          <w:p w14:paraId="1379B2AB"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623/2023</w:t>
            </w:r>
          </w:p>
        </w:tc>
        <w:tc>
          <w:tcPr>
            <w:tcW w:w="850" w:type="dxa"/>
            <w:shd w:val="clear" w:color="auto" w:fill="auto"/>
            <w:vAlign w:val="center"/>
            <w:hideMark/>
          </w:tcPr>
          <w:p w14:paraId="3EC80C82"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22/11/23</w:t>
            </w:r>
          </w:p>
        </w:tc>
        <w:tc>
          <w:tcPr>
            <w:tcW w:w="3636" w:type="dxa"/>
            <w:shd w:val="clear" w:color="auto" w:fill="auto"/>
            <w:vAlign w:val="center"/>
            <w:hideMark/>
          </w:tcPr>
          <w:p w14:paraId="1B94BCE3" w14:textId="34C6F4E1"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A Diretoria da Agência Nacional do Petróleo, Gás Natural e Biocombustíveis - ANP, considerando o que consta no processo nº 48610.205723/2018-89 e no Despacho de Proposta para Deliberação da Diretoria nº 21/2023/SBQ-CGR/SBQ (3497899), resolve, por unanimidade:</w:t>
            </w:r>
            <w:r w:rsidR="00EC2A44">
              <w:rPr>
                <w:rFonts w:eastAsia="Times New Roman" w:cstheme="minorHAnsi"/>
                <w:sz w:val="20"/>
                <w:szCs w:val="20"/>
                <w:lang w:eastAsia="pt-BR"/>
              </w:rPr>
              <w:t xml:space="preserve"> </w:t>
            </w:r>
            <w:r w:rsidRPr="009C774A">
              <w:rPr>
                <w:rFonts w:eastAsia="Times New Roman" w:cstheme="minorHAnsi"/>
                <w:sz w:val="20"/>
                <w:szCs w:val="20"/>
                <w:lang w:eastAsia="pt-BR"/>
              </w:rPr>
              <w:t>Aprovar a minuta de Portaria constante do documento SEI 3362093, a qual altera a composição do Grupo Técnico Renovabio, instituído pela Portaria ANP nº 303, de 2 de agosto de 2018.</w:t>
            </w:r>
          </w:p>
        </w:tc>
        <w:tc>
          <w:tcPr>
            <w:tcW w:w="723" w:type="dxa"/>
            <w:shd w:val="clear" w:color="auto" w:fill="auto"/>
            <w:vAlign w:val="center"/>
            <w:hideMark/>
          </w:tcPr>
          <w:p w14:paraId="341F1E77"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12F72A80" w14:textId="77777777" w:rsidTr="0045529D">
        <w:tc>
          <w:tcPr>
            <w:tcW w:w="1413" w:type="dxa"/>
            <w:shd w:val="clear" w:color="auto" w:fill="auto"/>
            <w:vAlign w:val="center"/>
            <w:hideMark/>
          </w:tcPr>
          <w:p w14:paraId="4B44FF64"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522/2023/SGE-CIRCUITO/SGE</w:t>
            </w:r>
          </w:p>
        </w:tc>
        <w:tc>
          <w:tcPr>
            <w:tcW w:w="1984" w:type="dxa"/>
            <w:shd w:val="clear" w:color="auto" w:fill="auto"/>
            <w:vAlign w:val="center"/>
            <w:hideMark/>
          </w:tcPr>
          <w:p w14:paraId="31067F16"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48610.213785/2021-60</w:t>
            </w:r>
          </w:p>
        </w:tc>
        <w:tc>
          <w:tcPr>
            <w:tcW w:w="851" w:type="dxa"/>
            <w:shd w:val="clear" w:color="auto" w:fill="auto"/>
            <w:vAlign w:val="center"/>
            <w:hideMark/>
          </w:tcPr>
          <w:p w14:paraId="61464E13"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NFP</w:t>
            </w:r>
          </w:p>
        </w:tc>
        <w:tc>
          <w:tcPr>
            <w:tcW w:w="2977" w:type="dxa"/>
            <w:shd w:val="clear" w:color="auto" w:fill="auto"/>
            <w:vAlign w:val="center"/>
            <w:hideMark/>
          </w:tcPr>
          <w:p w14:paraId="612E1BFF"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Recurso Administrativo interposto pela Petróleo Brasileiro S.A. contra a aplicação de penalidade em face de desatendimento do Regulamento Técnico de Medição aprovado pela Resolução Conjunta ANP/INMETRO nº 1, ocorrido na unidade marítima FPSO Cidade de Paraty.</w:t>
            </w:r>
          </w:p>
        </w:tc>
        <w:tc>
          <w:tcPr>
            <w:tcW w:w="992" w:type="dxa"/>
            <w:shd w:val="clear" w:color="auto" w:fill="auto"/>
            <w:vAlign w:val="center"/>
            <w:hideMark/>
          </w:tcPr>
          <w:p w14:paraId="40F4F175"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Fernando Moura</w:t>
            </w:r>
          </w:p>
        </w:tc>
        <w:tc>
          <w:tcPr>
            <w:tcW w:w="1134" w:type="dxa"/>
            <w:shd w:val="clear" w:color="auto" w:fill="auto"/>
            <w:noWrap/>
            <w:vAlign w:val="center"/>
            <w:hideMark/>
          </w:tcPr>
          <w:p w14:paraId="0FDFFDF5"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622/2023</w:t>
            </w:r>
          </w:p>
        </w:tc>
        <w:tc>
          <w:tcPr>
            <w:tcW w:w="850" w:type="dxa"/>
            <w:shd w:val="clear" w:color="auto" w:fill="auto"/>
            <w:vAlign w:val="center"/>
            <w:hideMark/>
          </w:tcPr>
          <w:p w14:paraId="1F1E5B6D"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22/11/23</w:t>
            </w:r>
          </w:p>
        </w:tc>
        <w:tc>
          <w:tcPr>
            <w:tcW w:w="3636" w:type="dxa"/>
            <w:shd w:val="clear" w:color="auto" w:fill="auto"/>
            <w:vAlign w:val="center"/>
            <w:hideMark/>
          </w:tcPr>
          <w:p w14:paraId="6AA619A5" w14:textId="4AF704F1"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A Diretoria da Agência Nacional do Petróleo, Gás Natural e Biocombustíveis - ANP, considerando o que consta no processo nº 48610.213785/2021-60, no Relatório de Análise de Recurso NFP (SEI nº 3427976) e no Parecer nº 305/2023/PFANP/PGF/AGU (3478983), resolve, por unanimidade:</w:t>
            </w:r>
            <w:r w:rsidRPr="009C774A">
              <w:rPr>
                <w:rFonts w:eastAsia="Times New Roman" w:cstheme="minorHAnsi"/>
                <w:sz w:val="20"/>
                <w:szCs w:val="20"/>
                <w:lang w:eastAsia="pt-BR"/>
              </w:rPr>
              <w:br/>
              <w:t>I - conhecer o presente recurso; e</w:t>
            </w:r>
            <w:r w:rsidRPr="009C774A">
              <w:rPr>
                <w:rFonts w:eastAsia="Times New Roman" w:cstheme="minorHAnsi"/>
                <w:sz w:val="20"/>
                <w:szCs w:val="20"/>
                <w:lang w:eastAsia="pt-BR"/>
              </w:rPr>
              <w:br/>
              <w:t>II - no mérito, negar seu provimento, em sede de segunda instância, com fundamento no disposto no art. 20 do Decreto nº 2.953/99.</w:t>
            </w:r>
          </w:p>
        </w:tc>
        <w:tc>
          <w:tcPr>
            <w:tcW w:w="723" w:type="dxa"/>
            <w:shd w:val="clear" w:color="auto" w:fill="auto"/>
            <w:vAlign w:val="center"/>
            <w:hideMark/>
          </w:tcPr>
          <w:p w14:paraId="0132BFDD"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64605C3B" w14:textId="77777777" w:rsidTr="0045529D">
        <w:tc>
          <w:tcPr>
            <w:tcW w:w="1413" w:type="dxa"/>
            <w:shd w:val="clear" w:color="auto" w:fill="auto"/>
            <w:vAlign w:val="center"/>
            <w:hideMark/>
          </w:tcPr>
          <w:p w14:paraId="2F26203B"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lastRenderedPageBreak/>
              <w:t>521/2023/SGE-CIRCUITO/SGE</w:t>
            </w:r>
          </w:p>
        </w:tc>
        <w:tc>
          <w:tcPr>
            <w:tcW w:w="1984" w:type="dxa"/>
            <w:shd w:val="clear" w:color="auto" w:fill="auto"/>
            <w:vAlign w:val="center"/>
            <w:hideMark/>
          </w:tcPr>
          <w:p w14:paraId="64AF5175"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48610.214199/2021-32</w:t>
            </w:r>
          </w:p>
        </w:tc>
        <w:tc>
          <w:tcPr>
            <w:tcW w:w="851" w:type="dxa"/>
            <w:shd w:val="clear" w:color="auto" w:fill="auto"/>
            <w:vAlign w:val="center"/>
            <w:hideMark/>
          </w:tcPr>
          <w:p w14:paraId="34D4EBC7"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NFP</w:t>
            </w:r>
          </w:p>
        </w:tc>
        <w:tc>
          <w:tcPr>
            <w:tcW w:w="2977" w:type="dxa"/>
            <w:shd w:val="clear" w:color="auto" w:fill="auto"/>
            <w:vAlign w:val="center"/>
            <w:hideMark/>
          </w:tcPr>
          <w:p w14:paraId="67661399"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Recurso Administrativo interposto pela Petróleo Brasileiro S.A. contra a aplicação de penalidade em face de desatendimento do Regulamento Técnico de Medição aprovado pela Resolução Conjunta ANP/INMETRO nº 1, ocorrido na unidade marítima P-69.</w:t>
            </w:r>
          </w:p>
        </w:tc>
        <w:tc>
          <w:tcPr>
            <w:tcW w:w="992" w:type="dxa"/>
            <w:shd w:val="clear" w:color="auto" w:fill="auto"/>
            <w:vAlign w:val="center"/>
            <w:hideMark/>
          </w:tcPr>
          <w:p w14:paraId="520ABA69"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Fernando Moura</w:t>
            </w:r>
          </w:p>
        </w:tc>
        <w:tc>
          <w:tcPr>
            <w:tcW w:w="1134" w:type="dxa"/>
            <w:shd w:val="clear" w:color="auto" w:fill="auto"/>
            <w:noWrap/>
            <w:vAlign w:val="center"/>
            <w:hideMark/>
          </w:tcPr>
          <w:p w14:paraId="009E2238"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621/2023</w:t>
            </w:r>
          </w:p>
        </w:tc>
        <w:tc>
          <w:tcPr>
            <w:tcW w:w="850" w:type="dxa"/>
            <w:shd w:val="clear" w:color="auto" w:fill="auto"/>
            <w:vAlign w:val="center"/>
            <w:hideMark/>
          </w:tcPr>
          <w:p w14:paraId="4D936A2D"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22/11/23</w:t>
            </w:r>
          </w:p>
        </w:tc>
        <w:tc>
          <w:tcPr>
            <w:tcW w:w="3636" w:type="dxa"/>
            <w:shd w:val="clear" w:color="auto" w:fill="auto"/>
            <w:vAlign w:val="center"/>
            <w:hideMark/>
          </w:tcPr>
          <w:p w14:paraId="2B5D2428" w14:textId="77777777"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A Diretoria da Agência Nacional do Petróleo, Gás Natural e Biocombustíveis - ANP, considerando o que consta no processo nº 48610.214199/2021-32, no Relatório de Análise de Recurso NFP (SEI nº 3400881) e no Parecer nº 299/2023/PFANP/PGF/AGU (SEI nº 3478455), resolve, por unanimidade:</w:t>
            </w:r>
            <w:r w:rsidRPr="009C774A">
              <w:rPr>
                <w:rFonts w:eastAsia="Times New Roman" w:cstheme="minorHAnsi"/>
                <w:sz w:val="20"/>
                <w:szCs w:val="20"/>
                <w:lang w:eastAsia="pt-BR"/>
              </w:rPr>
              <w:br/>
              <w:t>I - conhecer o presente recurso; e</w:t>
            </w:r>
            <w:r w:rsidRPr="009C774A">
              <w:rPr>
                <w:rFonts w:eastAsia="Times New Roman" w:cstheme="minorHAnsi"/>
                <w:sz w:val="20"/>
                <w:szCs w:val="20"/>
                <w:lang w:eastAsia="pt-BR"/>
              </w:rPr>
              <w:br/>
              <w:t>II - no mérito, negar seu provimento, em sede de segunda instância, com fundamento no disposto no art. 20 do Decreto nº 2.953/99.</w:t>
            </w:r>
          </w:p>
        </w:tc>
        <w:tc>
          <w:tcPr>
            <w:tcW w:w="723" w:type="dxa"/>
            <w:shd w:val="clear" w:color="auto" w:fill="auto"/>
            <w:vAlign w:val="center"/>
            <w:hideMark/>
          </w:tcPr>
          <w:p w14:paraId="2F40CF60"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36BC4F9C" w14:textId="77777777" w:rsidTr="0045529D">
        <w:tc>
          <w:tcPr>
            <w:tcW w:w="1413" w:type="dxa"/>
            <w:shd w:val="clear" w:color="auto" w:fill="auto"/>
            <w:vAlign w:val="center"/>
            <w:hideMark/>
          </w:tcPr>
          <w:p w14:paraId="5FBF32C7"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520/2023/SGE-CIRCUITO/SGE</w:t>
            </w:r>
          </w:p>
        </w:tc>
        <w:tc>
          <w:tcPr>
            <w:tcW w:w="1984" w:type="dxa"/>
            <w:shd w:val="clear" w:color="auto" w:fill="auto"/>
            <w:vAlign w:val="center"/>
            <w:hideMark/>
          </w:tcPr>
          <w:p w14:paraId="450BD2FC"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48610.214198/2021-98</w:t>
            </w:r>
          </w:p>
        </w:tc>
        <w:tc>
          <w:tcPr>
            <w:tcW w:w="851" w:type="dxa"/>
            <w:shd w:val="clear" w:color="auto" w:fill="auto"/>
            <w:vAlign w:val="center"/>
            <w:hideMark/>
          </w:tcPr>
          <w:p w14:paraId="71A9ED74"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NFP</w:t>
            </w:r>
          </w:p>
        </w:tc>
        <w:tc>
          <w:tcPr>
            <w:tcW w:w="2977" w:type="dxa"/>
            <w:shd w:val="clear" w:color="auto" w:fill="auto"/>
            <w:vAlign w:val="center"/>
            <w:hideMark/>
          </w:tcPr>
          <w:p w14:paraId="1F07682A"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Recurso Administrativo interposto pela Petróleo Brasileiro S.A. contra a aplicação de penalidade em face de desatendimento do Regulamento Técnico de Medição aprovado pela Resolução Conjunta ANP/INMETRO nº 1, ocorrido na unidade marítima P-67.</w:t>
            </w:r>
          </w:p>
        </w:tc>
        <w:tc>
          <w:tcPr>
            <w:tcW w:w="992" w:type="dxa"/>
            <w:shd w:val="clear" w:color="auto" w:fill="auto"/>
            <w:vAlign w:val="center"/>
            <w:hideMark/>
          </w:tcPr>
          <w:p w14:paraId="7A33D1D2"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Fernando Moura</w:t>
            </w:r>
          </w:p>
        </w:tc>
        <w:tc>
          <w:tcPr>
            <w:tcW w:w="1134" w:type="dxa"/>
            <w:shd w:val="clear" w:color="auto" w:fill="auto"/>
            <w:noWrap/>
            <w:vAlign w:val="center"/>
            <w:hideMark/>
          </w:tcPr>
          <w:p w14:paraId="310558D4"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620/2023</w:t>
            </w:r>
          </w:p>
        </w:tc>
        <w:tc>
          <w:tcPr>
            <w:tcW w:w="850" w:type="dxa"/>
            <w:shd w:val="clear" w:color="auto" w:fill="auto"/>
            <w:vAlign w:val="center"/>
            <w:hideMark/>
          </w:tcPr>
          <w:p w14:paraId="352D9A74"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22/11/23</w:t>
            </w:r>
          </w:p>
        </w:tc>
        <w:tc>
          <w:tcPr>
            <w:tcW w:w="3636" w:type="dxa"/>
            <w:shd w:val="clear" w:color="auto" w:fill="auto"/>
            <w:vAlign w:val="center"/>
            <w:hideMark/>
          </w:tcPr>
          <w:p w14:paraId="318B1B06" w14:textId="77777777"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A Diretoria da Agência Nacional do Petróleo, Gás Natural e Biocombustíveis - ANP, considerando o que consta no processo nº 48610.214198/2021-98, no Relatório de Análise de Recurso (SEI 3413538) e no Parecer nº 300/2023/PFANP/PGF/AGU (SEI 3478429) resolve, por unanimidade:</w:t>
            </w:r>
            <w:r w:rsidRPr="009C774A">
              <w:rPr>
                <w:rFonts w:eastAsia="Times New Roman" w:cstheme="minorHAnsi"/>
                <w:sz w:val="20"/>
                <w:szCs w:val="20"/>
                <w:lang w:eastAsia="pt-BR"/>
              </w:rPr>
              <w:br/>
              <w:t>I - conhecer o presente recurso; e</w:t>
            </w:r>
            <w:r w:rsidRPr="009C774A">
              <w:rPr>
                <w:rFonts w:eastAsia="Times New Roman" w:cstheme="minorHAnsi"/>
                <w:sz w:val="20"/>
                <w:szCs w:val="20"/>
                <w:lang w:eastAsia="pt-BR"/>
              </w:rPr>
              <w:br/>
              <w:t>II -  no mérito, negar seu provimento, em sede de segunda instância, com fundamento no disposto no art. 20 do Decreto nº 2.953/99.</w:t>
            </w:r>
          </w:p>
        </w:tc>
        <w:tc>
          <w:tcPr>
            <w:tcW w:w="723" w:type="dxa"/>
            <w:shd w:val="clear" w:color="auto" w:fill="auto"/>
            <w:vAlign w:val="center"/>
            <w:hideMark/>
          </w:tcPr>
          <w:p w14:paraId="40988893"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7264D660" w14:textId="77777777" w:rsidTr="0045529D">
        <w:tc>
          <w:tcPr>
            <w:tcW w:w="1413" w:type="dxa"/>
            <w:shd w:val="clear" w:color="auto" w:fill="auto"/>
            <w:vAlign w:val="center"/>
            <w:hideMark/>
          </w:tcPr>
          <w:p w14:paraId="7146F633"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519/2023/SGE-CIRCUITO/SGE</w:t>
            </w:r>
          </w:p>
        </w:tc>
        <w:tc>
          <w:tcPr>
            <w:tcW w:w="1984" w:type="dxa"/>
            <w:shd w:val="clear" w:color="auto" w:fill="auto"/>
            <w:vAlign w:val="center"/>
            <w:hideMark/>
          </w:tcPr>
          <w:p w14:paraId="4A5FFD42"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48610.215945/2022-96</w:t>
            </w:r>
          </w:p>
        </w:tc>
        <w:tc>
          <w:tcPr>
            <w:tcW w:w="851" w:type="dxa"/>
            <w:shd w:val="clear" w:color="auto" w:fill="auto"/>
            <w:vAlign w:val="center"/>
            <w:hideMark/>
          </w:tcPr>
          <w:p w14:paraId="5F83BB32"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NFP</w:t>
            </w:r>
          </w:p>
        </w:tc>
        <w:tc>
          <w:tcPr>
            <w:tcW w:w="2977" w:type="dxa"/>
            <w:shd w:val="clear" w:color="auto" w:fill="auto"/>
            <w:vAlign w:val="center"/>
            <w:hideMark/>
          </w:tcPr>
          <w:p w14:paraId="5BB14E6B"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Recálculo de volume de petróleo e gás natural produzido nos Campos de Albacora e Albacora Leste por emissão de Notificação de Falha no Sistema de Medição.</w:t>
            </w:r>
          </w:p>
        </w:tc>
        <w:tc>
          <w:tcPr>
            <w:tcW w:w="992" w:type="dxa"/>
            <w:shd w:val="clear" w:color="auto" w:fill="auto"/>
            <w:vAlign w:val="center"/>
            <w:hideMark/>
          </w:tcPr>
          <w:p w14:paraId="3C1A563C"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Fernando Moura</w:t>
            </w:r>
          </w:p>
        </w:tc>
        <w:tc>
          <w:tcPr>
            <w:tcW w:w="1134" w:type="dxa"/>
            <w:shd w:val="clear" w:color="auto" w:fill="auto"/>
            <w:noWrap/>
            <w:vAlign w:val="center"/>
            <w:hideMark/>
          </w:tcPr>
          <w:p w14:paraId="596AFCD5"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619/2023</w:t>
            </w:r>
          </w:p>
        </w:tc>
        <w:tc>
          <w:tcPr>
            <w:tcW w:w="850" w:type="dxa"/>
            <w:shd w:val="clear" w:color="auto" w:fill="auto"/>
            <w:vAlign w:val="center"/>
            <w:hideMark/>
          </w:tcPr>
          <w:p w14:paraId="78726AB1"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22/11/23</w:t>
            </w:r>
          </w:p>
        </w:tc>
        <w:tc>
          <w:tcPr>
            <w:tcW w:w="3636" w:type="dxa"/>
            <w:shd w:val="clear" w:color="auto" w:fill="auto"/>
            <w:vAlign w:val="center"/>
            <w:hideMark/>
          </w:tcPr>
          <w:p w14:paraId="5873F70B" w14:textId="77777777"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A Diretoria da Agência Nacional do Petróleo, Gás Natural e Biocombustíveis - ANP, considerando o que consta no processo nº 48610.215945/2022-96 e na Nota Técnica nº 26/2023/NFP/ANP-RJ (SEI 3267715), resolve, por unanimidade:</w:t>
            </w:r>
            <w:r w:rsidRPr="009C774A">
              <w:rPr>
                <w:rFonts w:eastAsia="Times New Roman" w:cstheme="minorHAnsi"/>
                <w:sz w:val="20"/>
                <w:szCs w:val="20"/>
                <w:lang w:eastAsia="pt-BR"/>
              </w:rPr>
              <w:br/>
              <w:t>I - aprovar a estimativa dos volumes de 10.492,409 m³ de petróleo e de 3.802,507 Mil m³ de gás natural, produzidos e não contabilizados fiscalmente nas instalações denominadas FPSO Petrobras 25, FPSO, Petrobras 31 e FPSO Petrobras 50, no período de janeiro de 2019 a junho de 2021.</w:t>
            </w:r>
            <w:r w:rsidRPr="009C774A">
              <w:rPr>
                <w:rFonts w:eastAsia="Times New Roman" w:cstheme="minorHAnsi"/>
                <w:sz w:val="20"/>
                <w:szCs w:val="20"/>
                <w:lang w:eastAsia="pt-BR"/>
              </w:rPr>
              <w:br/>
              <w:t xml:space="preserve">II - determinar a correção dos volumes de petróleo e de gás natural produzidos, </w:t>
            </w:r>
            <w:r w:rsidRPr="009C774A">
              <w:rPr>
                <w:rFonts w:eastAsia="Times New Roman" w:cstheme="minorHAnsi"/>
                <w:sz w:val="20"/>
                <w:szCs w:val="20"/>
                <w:lang w:eastAsia="pt-BR"/>
              </w:rPr>
              <w:lastRenderedPageBreak/>
              <w:t>referentes aos campos de Albacora e Albacora Leste; e</w:t>
            </w:r>
            <w:r w:rsidRPr="009C774A">
              <w:rPr>
                <w:rFonts w:eastAsia="Times New Roman" w:cstheme="minorHAnsi"/>
                <w:sz w:val="20"/>
                <w:szCs w:val="20"/>
                <w:lang w:eastAsia="pt-BR"/>
              </w:rPr>
              <w:br/>
              <w:t>III - remeter o processo para a Superintendência de Participações Governamentais (SPG) para as providências cabíveis.</w:t>
            </w:r>
          </w:p>
        </w:tc>
        <w:tc>
          <w:tcPr>
            <w:tcW w:w="723" w:type="dxa"/>
            <w:shd w:val="clear" w:color="auto" w:fill="auto"/>
            <w:vAlign w:val="center"/>
            <w:hideMark/>
          </w:tcPr>
          <w:p w14:paraId="73D94CD1"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lastRenderedPageBreak/>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5C53117B" w14:textId="77777777" w:rsidTr="0045529D">
        <w:tc>
          <w:tcPr>
            <w:tcW w:w="1413" w:type="dxa"/>
            <w:shd w:val="clear" w:color="auto" w:fill="auto"/>
            <w:vAlign w:val="center"/>
            <w:hideMark/>
          </w:tcPr>
          <w:p w14:paraId="218102CF"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518/2023/SGE-CIRCUITO/SGE</w:t>
            </w:r>
          </w:p>
        </w:tc>
        <w:tc>
          <w:tcPr>
            <w:tcW w:w="1984" w:type="dxa"/>
            <w:shd w:val="clear" w:color="auto" w:fill="auto"/>
            <w:vAlign w:val="center"/>
            <w:hideMark/>
          </w:tcPr>
          <w:p w14:paraId="6D558242"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48610.214191/2021-76</w:t>
            </w:r>
          </w:p>
        </w:tc>
        <w:tc>
          <w:tcPr>
            <w:tcW w:w="851" w:type="dxa"/>
            <w:shd w:val="clear" w:color="auto" w:fill="auto"/>
            <w:vAlign w:val="center"/>
            <w:hideMark/>
          </w:tcPr>
          <w:p w14:paraId="04730DA0"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NFP</w:t>
            </w:r>
          </w:p>
        </w:tc>
        <w:tc>
          <w:tcPr>
            <w:tcW w:w="2977" w:type="dxa"/>
            <w:shd w:val="clear" w:color="auto" w:fill="auto"/>
            <w:vAlign w:val="center"/>
            <w:hideMark/>
          </w:tcPr>
          <w:p w14:paraId="4CDE591D"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Recurso Administrativo interposto pela Petróleo Brasileiro S.A. contra a aplicação de penalidade em face de desatendimento do Regulamento Técnico de Medição aprovado pela Resolução Conjunta ANP/INMETRO nº 1, ocorrido na unidade marítima P-66.</w:t>
            </w:r>
          </w:p>
        </w:tc>
        <w:tc>
          <w:tcPr>
            <w:tcW w:w="992" w:type="dxa"/>
            <w:shd w:val="clear" w:color="auto" w:fill="auto"/>
            <w:vAlign w:val="center"/>
            <w:hideMark/>
          </w:tcPr>
          <w:p w14:paraId="090D8AE6"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Fernando Moura</w:t>
            </w:r>
          </w:p>
        </w:tc>
        <w:tc>
          <w:tcPr>
            <w:tcW w:w="1134" w:type="dxa"/>
            <w:shd w:val="clear" w:color="auto" w:fill="auto"/>
            <w:noWrap/>
            <w:vAlign w:val="center"/>
            <w:hideMark/>
          </w:tcPr>
          <w:p w14:paraId="67965977"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618/2023</w:t>
            </w:r>
          </w:p>
        </w:tc>
        <w:tc>
          <w:tcPr>
            <w:tcW w:w="850" w:type="dxa"/>
            <w:shd w:val="clear" w:color="auto" w:fill="auto"/>
            <w:vAlign w:val="center"/>
            <w:hideMark/>
          </w:tcPr>
          <w:p w14:paraId="0DF3281D"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22/11/23</w:t>
            </w:r>
          </w:p>
        </w:tc>
        <w:tc>
          <w:tcPr>
            <w:tcW w:w="3636" w:type="dxa"/>
            <w:shd w:val="clear" w:color="auto" w:fill="auto"/>
            <w:vAlign w:val="center"/>
            <w:hideMark/>
          </w:tcPr>
          <w:p w14:paraId="44569A01" w14:textId="77777777"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A Diretoria da Agência Nacional do Petróleo, Gás Natural e Biocombustíveis - ANP, considerando o que consta no processo nº 48610.214191/2021-76, no Relatório de Análise de Recurso (SEI 3413722) e no Parecer 295/2023/PFANP/PGF/AGU (3478630), resolve, por unanimidade:</w:t>
            </w:r>
            <w:r w:rsidRPr="009C774A">
              <w:rPr>
                <w:rFonts w:eastAsia="Times New Roman" w:cstheme="minorHAnsi"/>
                <w:sz w:val="20"/>
                <w:szCs w:val="20"/>
                <w:lang w:eastAsia="pt-BR"/>
              </w:rPr>
              <w:br/>
              <w:t>I - conhecer o presente recurso; e</w:t>
            </w:r>
            <w:r w:rsidRPr="009C774A">
              <w:rPr>
                <w:rFonts w:eastAsia="Times New Roman" w:cstheme="minorHAnsi"/>
                <w:sz w:val="20"/>
                <w:szCs w:val="20"/>
                <w:lang w:eastAsia="pt-BR"/>
              </w:rPr>
              <w:br/>
              <w:t>II - no mérito, negar seu provimento, em sede de segunda instância, com fundamento no disposto no art. 20 do Decreto nº 2.953/99.</w:t>
            </w:r>
          </w:p>
        </w:tc>
        <w:tc>
          <w:tcPr>
            <w:tcW w:w="723" w:type="dxa"/>
            <w:shd w:val="clear" w:color="auto" w:fill="auto"/>
            <w:vAlign w:val="center"/>
            <w:hideMark/>
          </w:tcPr>
          <w:p w14:paraId="495EFE6A"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49F67BDF" w14:textId="77777777" w:rsidTr="0045529D">
        <w:tc>
          <w:tcPr>
            <w:tcW w:w="1413" w:type="dxa"/>
            <w:shd w:val="clear" w:color="auto" w:fill="auto"/>
            <w:vAlign w:val="center"/>
            <w:hideMark/>
          </w:tcPr>
          <w:p w14:paraId="79D287E0"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517/2023/SGE-CIRCUITO/SGE</w:t>
            </w:r>
          </w:p>
        </w:tc>
        <w:tc>
          <w:tcPr>
            <w:tcW w:w="1984" w:type="dxa"/>
            <w:shd w:val="clear" w:color="auto" w:fill="auto"/>
            <w:vAlign w:val="center"/>
            <w:hideMark/>
          </w:tcPr>
          <w:p w14:paraId="1CB3A7AB"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48610.213622/2021-87</w:t>
            </w:r>
          </w:p>
        </w:tc>
        <w:tc>
          <w:tcPr>
            <w:tcW w:w="851" w:type="dxa"/>
            <w:shd w:val="clear" w:color="auto" w:fill="auto"/>
            <w:vAlign w:val="center"/>
            <w:hideMark/>
          </w:tcPr>
          <w:p w14:paraId="33341860"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NFP</w:t>
            </w:r>
          </w:p>
        </w:tc>
        <w:tc>
          <w:tcPr>
            <w:tcW w:w="2977" w:type="dxa"/>
            <w:shd w:val="clear" w:color="auto" w:fill="auto"/>
            <w:vAlign w:val="center"/>
            <w:hideMark/>
          </w:tcPr>
          <w:p w14:paraId="7097D8C3"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Recurso Administrativo interposto pela Petróleo Brasileiro S.A. contra a aplicação de penalidade em face de desatendimento do Regulamento Técnico de Medição aprovado pela Resolução Conjunta ANP/INMETRO nº 1, ocorrido na unidade marítima FPSO Cidade de São Vicente.</w:t>
            </w:r>
          </w:p>
        </w:tc>
        <w:tc>
          <w:tcPr>
            <w:tcW w:w="992" w:type="dxa"/>
            <w:shd w:val="clear" w:color="auto" w:fill="auto"/>
            <w:vAlign w:val="center"/>
            <w:hideMark/>
          </w:tcPr>
          <w:p w14:paraId="0C63B265"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Fernando Moura</w:t>
            </w:r>
          </w:p>
        </w:tc>
        <w:tc>
          <w:tcPr>
            <w:tcW w:w="1134" w:type="dxa"/>
            <w:shd w:val="clear" w:color="auto" w:fill="auto"/>
            <w:noWrap/>
            <w:vAlign w:val="center"/>
            <w:hideMark/>
          </w:tcPr>
          <w:p w14:paraId="67BF826A"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617/2023</w:t>
            </w:r>
          </w:p>
        </w:tc>
        <w:tc>
          <w:tcPr>
            <w:tcW w:w="850" w:type="dxa"/>
            <w:shd w:val="clear" w:color="auto" w:fill="auto"/>
            <w:vAlign w:val="center"/>
            <w:hideMark/>
          </w:tcPr>
          <w:p w14:paraId="38FAFF6A"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22/11/23</w:t>
            </w:r>
          </w:p>
        </w:tc>
        <w:tc>
          <w:tcPr>
            <w:tcW w:w="3636" w:type="dxa"/>
            <w:shd w:val="clear" w:color="auto" w:fill="auto"/>
            <w:vAlign w:val="center"/>
            <w:hideMark/>
          </w:tcPr>
          <w:p w14:paraId="1025565C" w14:textId="77777777"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A Diretoria da Agência Nacional do Petróleo, Gás Natural e Biocombustíveis - ANP, considerando o que consta no processo nº 48610.213622/2021-87, no Relatório de Análise de Recurso NFP (SEI nº 3442051) e no Parecer nº 331/2023/PFANP/PGF/AGU (SEI nº 3512723), resolve, por unanimidade:</w:t>
            </w:r>
            <w:r w:rsidRPr="009C774A">
              <w:rPr>
                <w:rFonts w:eastAsia="Times New Roman" w:cstheme="minorHAnsi"/>
                <w:sz w:val="20"/>
                <w:szCs w:val="20"/>
                <w:lang w:eastAsia="pt-BR"/>
              </w:rPr>
              <w:br/>
              <w:t>I - conhecer o presente recurso; e</w:t>
            </w:r>
            <w:r w:rsidRPr="009C774A">
              <w:rPr>
                <w:rFonts w:eastAsia="Times New Roman" w:cstheme="minorHAnsi"/>
                <w:sz w:val="20"/>
                <w:szCs w:val="20"/>
                <w:lang w:eastAsia="pt-BR"/>
              </w:rPr>
              <w:br/>
              <w:t>II - no mérito, negar seu provimento, em sede de segunda instância, com fundamento no disposto no art. 20 do Decreto nº 2.953/99.</w:t>
            </w:r>
          </w:p>
        </w:tc>
        <w:tc>
          <w:tcPr>
            <w:tcW w:w="723" w:type="dxa"/>
            <w:shd w:val="clear" w:color="auto" w:fill="auto"/>
            <w:vAlign w:val="center"/>
            <w:hideMark/>
          </w:tcPr>
          <w:p w14:paraId="036EBA87"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15910236" w14:textId="77777777" w:rsidTr="0045529D">
        <w:tc>
          <w:tcPr>
            <w:tcW w:w="1413" w:type="dxa"/>
            <w:shd w:val="clear" w:color="auto" w:fill="auto"/>
            <w:vAlign w:val="center"/>
            <w:hideMark/>
          </w:tcPr>
          <w:p w14:paraId="0FFB0802"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513/2023/SGE-CIRCUITO/SGE</w:t>
            </w:r>
          </w:p>
        </w:tc>
        <w:tc>
          <w:tcPr>
            <w:tcW w:w="1984" w:type="dxa"/>
            <w:shd w:val="clear" w:color="auto" w:fill="auto"/>
            <w:vAlign w:val="center"/>
            <w:hideMark/>
          </w:tcPr>
          <w:p w14:paraId="2C6F0114"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48610.225858/2022-47</w:t>
            </w:r>
          </w:p>
        </w:tc>
        <w:tc>
          <w:tcPr>
            <w:tcW w:w="851" w:type="dxa"/>
            <w:shd w:val="clear" w:color="auto" w:fill="auto"/>
            <w:vAlign w:val="center"/>
            <w:hideMark/>
          </w:tcPr>
          <w:p w14:paraId="398939A1"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STI</w:t>
            </w:r>
          </w:p>
        </w:tc>
        <w:tc>
          <w:tcPr>
            <w:tcW w:w="2977" w:type="dxa"/>
            <w:shd w:val="clear" w:color="auto" w:fill="auto"/>
            <w:vAlign w:val="center"/>
            <w:hideMark/>
          </w:tcPr>
          <w:p w14:paraId="60749567"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 xml:space="preserve">Recurso Administrativo contra decisão de aplicação de sanções decorrentes de descumprimento de obrigações no âmbito do Contrato Administrativo nº 9.033/21, firmado com a empresa BASIS Tecnologia da Informação S.A. </w:t>
            </w:r>
          </w:p>
        </w:tc>
        <w:tc>
          <w:tcPr>
            <w:tcW w:w="992" w:type="dxa"/>
            <w:shd w:val="clear" w:color="auto" w:fill="auto"/>
            <w:vAlign w:val="center"/>
            <w:hideMark/>
          </w:tcPr>
          <w:p w14:paraId="739467EE"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Rodolfo Saboia</w:t>
            </w:r>
          </w:p>
        </w:tc>
        <w:tc>
          <w:tcPr>
            <w:tcW w:w="1134" w:type="dxa"/>
            <w:shd w:val="clear" w:color="auto" w:fill="auto"/>
            <w:noWrap/>
            <w:vAlign w:val="center"/>
            <w:hideMark/>
          </w:tcPr>
          <w:p w14:paraId="1F641BA9"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616/2023</w:t>
            </w:r>
          </w:p>
        </w:tc>
        <w:tc>
          <w:tcPr>
            <w:tcW w:w="850" w:type="dxa"/>
            <w:shd w:val="clear" w:color="auto" w:fill="auto"/>
            <w:vAlign w:val="center"/>
            <w:hideMark/>
          </w:tcPr>
          <w:p w14:paraId="5E85E228"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20/11/23</w:t>
            </w:r>
          </w:p>
        </w:tc>
        <w:tc>
          <w:tcPr>
            <w:tcW w:w="3636" w:type="dxa"/>
            <w:shd w:val="clear" w:color="auto" w:fill="auto"/>
            <w:vAlign w:val="center"/>
            <w:hideMark/>
          </w:tcPr>
          <w:p w14:paraId="51420879" w14:textId="77777777"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 xml:space="preserve">A Diretoria da Agência Nacional do Petróleo, Gás Natural e Biocombustíveis - ANP, considerando o que consta no processo nº 48610.225858/2022-47, no Despacho de Proposta para Deliberação da Diretoria nº 15 (SEI nº 3392711), na Nota Técnica nº 98/2023/STI-CONT/STI/ANP-RJ (SEI nº 3388649) e no Parecer nº 314/2023/PFANP/PGF/AGU aprovado pelo </w:t>
            </w:r>
            <w:r w:rsidRPr="009C774A">
              <w:rPr>
                <w:rFonts w:eastAsia="Times New Roman" w:cstheme="minorHAnsi"/>
                <w:sz w:val="20"/>
                <w:szCs w:val="20"/>
                <w:lang w:eastAsia="pt-BR"/>
              </w:rPr>
              <w:lastRenderedPageBreak/>
              <w:t>Despacho nº 4089/2023/PFANP/PGF/AGU (SEI nº 3503831), resolve, por unanimidade:</w:t>
            </w:r>
            <w:r w:rsidRPr="009C774A">
              <w:rPr>
                <w:rFonts w:eastAsia="Times New Roman" w:cstheme="minorHAnsi"/>
                <w:sz w:val="20"/>
                <w:szCs w:val="20"/>
                <w:lang w:eastAsia="pt-BR"/>
              </w:rPr>
              <w:br/>
              <w:t>Conhecer do Recurso Administrativo interposto pela empresa Basis Tecnologia da Informação S.A. e, no mérito, negar-lhe provimento.</w:t>
            </w:r>
          </w:p>
        </w:tc>
        <w:tc>
          <w:tcPr>
            <w:tcW w:w="723" w:type="dxa"/>
            <w:shd w:val="clear" w:color="auto" w:fill="auto"/>
            <w:vAlign w:val="center"/>
            <w:hideMark/>
          </w:tcPr>
          <w:p w14:paraId="6D4BF208"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lastRenderedPageBreak/>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5D8757F6" w14:textId="77777777" w:rsidTr="0045529D">
        <w:tc>
          <w:tcPr>
            <w:tcW w:w="1413" w:type="dxa"/>
            <w:shd w:val="clear" w:color="auto" w:fill="auto"/>
            <w:vAlign w:val="center"/>
            <w:hideMark/>
          </w:tcPr>
          <w:p w14:paraId="770E9B45"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511/2023/SGE-CIRCUITO/SGE</w:t>
            </w:r>
          </w:p>
        </w:tc>
        <w:tc>
          <w:tcPr>
            <w:tcW w:w="1984" w:type="dxa"/>
            <w:shd w:val="clear" w:color="auto" w:fill="auto"/>
            <w:vAlign w:val="center"/>
            <w:hideMark/>
          </w:tcPr>
          <w:p w14:paraId="0667951D"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48610.218131/2023-94</w:t>
            </w:r>
          </w:p>
        </w:tc>
        <w:tc>
          <w:tcPr>
            <w:tcW w:w="851" w:type="dxa"/>
            <w:shd w:val="clear" w:color="auto" w:fill="auto"/>
            <w:vAlign w:val="center"/>
            <w:hideMark/>
          </w:tcPr>
          <w:p w14:paraId="4ED03481"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SPL</w:t>
            </w:r>
          </w:p>
        </w:tc>
        <w:tc>
          <w:tcPr>
            <w:tcW w:w="2977" w:type="dxa"/>
            <w:shd w:val="clear" w:color="auto" w:fill="auto"/>
            <w:vAlign w:val="center"/>
            <w:hideMark/>
          </w:tcPr>
          <w:p w14:paraId="247B10D5"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Mudança de concessionária dos Contratos de Concessão nº 48610.009127/2005-55 (BT-POT-54), nº 48000.003804/97-10 (Lagoa Aroeira), nº 48000.003808/97-62 (Macau), nº 48000.003817/97-53 (Porto Carão), nº 48000.003825/97-81 (Salina Cristal) e nº 48610.007998/2004 (BT-POT-32) em razão de incorporação da 3R Macau S.A. pela 3R Areia Branca S.A.</w:t>
            </w:r>
          </w:p>
        </w:tc>
        <w:tc>
          <w:tcPr>
            <w:tcW w:w="992" w:type="dxa"/>
            <w:shd w:val="clear" w:color="auto" w:fill="auto"/>
            <w:vAlign w:val="center"/>
            <w:hideMark/>
          </w:tcPr>
          <w:p w14:paraId="2041784C"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Symone Araújo</w:t>
            </w:r>
          </w:p>
        </w:tc>
        <w:tc>
          <w:tcPr>
            <w:tcW w:w="1134" w:type="dxa"/>
            <w:shd w:val="clear" w:color="auto" w:fill="auto"/>
            <w:noWrap/>
            <w:vAlign w:val="center"/>
            <w:hideMark/>
          </w:tcPr>
          <w:p w14:paraId="0AB0C8F0"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615/2023</w:t>
            </w:r>
          </w:p>
        </w:tc>
        <w:tc>
          <w:tcPr>
            <w:tcW w:w="850" w:type="dxa"/>
            <w:shd w:val="clear" w:color="auto" w:fill="auto"/>
            <w:vAlign w:val="center"/>
            <w:hideMark/>
          </w:tcPr>
          <w:p w14:paraId="3B19640C"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20/11/23</w:t>
            </w:r>
          </w:p>
        </w:tc>
        <w:tc>
          <w:tcPr>
            <w:tcW w:w="3636" w:type="dxa"/>
            <w:shd w:val="clear" w:color="auto" w:fill="auto"/>
            <w:vAlign w:val="center"/>
            <w:hideMark/>
          </w:tcPr>
          <w:p w14:paraId="581FF76D" w14:textId="43824616"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A Diretoria da Agência Nacional do Petróleo, Gás Natural e Biocombustíveis - ANP, considerando o que consta no processo nº 48610.218131/2023-94, no Despacho de Proposta para Deliberação da Diretoria nº 38/2023/SPL (SEI 3513055) e no Parecer nº 329/2023/PFANP/PGF/AGU, aprovado pelo Despacho nº 4117/2023/PFANP/PGF/AGU (SEI 3509279), resolve, por unanimidade:</w:t>
            </w:r>
            <w:r w:rsidR="00323755">
              <w:rPr>
                <w:rFonts w:eastAsia="Times New Roman" w:cstheme="minorHAnsi"/>
                <w:sz w:val="20"/>
                <w:szCs w:val="20"/>
                <w:lang w:eastAsia="pt-BR"/>
              </w:rPr>
              <w:t xml:space="preserve"> </w:t>
            </w:r>
            <w:r w:rsidRPr="009C774A">
              <w:rPr>
                <w:rFonts w:eastAsia="Times New Roman" w:cstheme="minorHAnsi"/>
                <w:sz w:val="20"/>
                <w:szCs w:val="20"/>
                <w:lang w:eastAsia="pt-BR"/>
              </w:rPr>
              <w:t>Aprovar o pedido de mudança de concessionária dos Contratos de Concessão nº 48610.009127/2005-55 (BT-POT-54), nº 48000.003804/97-10 (Lagoa Aroeira), nº 48000.003808/97-62 (Macau), nº 48000.003817/97-53 (Porto Carão), nº 48000.003825/97-81 (Salina Cristal) e nº 48610.007998/2004 (BT-POT-32), em razão de incorporação da 3R Macau S.A. pela 3R Areia Branca S.A., condicionada a, antes da assinatura dos termos aditivos, apresentação pela 3R Areia Branca S.A., assim como ao seu aceite pela ANP, de uma garantia financeira ou de um termo que assegure o descomissionamento para todos os campos envolvidos, atendendo à forma e aos requisitos estabelecidos pelo art. 60, § 4º, da Resolução ANP nº 854, de 27 de setembro de 2021.</w:t>
            </w:r>
          </w:p>
        </w:tc>
        <w:tc>
          <w:tcPr>
            <w:tcW w:w="723" w:type="dxa"/>
            <w:shd w:val="clear" w:color="auto" w:fill="auto"/>
            <w:vAlign w:val="center"/>
            <w:hideMark/>
          </w:tcPr>
          <w:p w14:paraId="5D63ECFC"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103EBC38" w14:textId="77777777" w:rsidTr="0045529D">
        <w:tc>
          <w:tcPr>
            <w:tcW w:w="1413" w:type="dxa"/>
            <w:shd w:val="clear" w:color="auto" w:fill="auto"/>
            <w:vAlign w:val="center"/>
            <w:hideMark/>
          </w:tcPr>
          <w:p w14:paraId="2C465F18"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510/2023/SGE-CIRCUITO/SGE</w:t>
            </w:r>
          </w:p>
        </w:tc>
        <w:tc>
          <w:tcPr>
            <w:tcW w:w="1984" w:type="dxa"/>
            <w:shd w:val="clear" w:color="auto" w:fill="auto"/>
            <w:vAlign w:val="center"/>
            <w:hideMark/>
          </w:tcPr>
          <w:p w14:paraId="22BAF6AF"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48610.218849/2023-81</w:t>
            </w:r>
          </w:p>
        </w:tc>
        <w:tc>
          <w:tcPr>
            <w:tcW w:w="851" w:type="dxa"/>
            <w:shd w:val="clear" w:color="auto" w:fill="auto"/>
            <w:vAlign w:val="center"/>
            <w:hideMark/>
          </w:tcPr>
          <w:p w14:paraId="79965EAE"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SPL</w:t>
            </w:r>
          </w:p>
        </w:tc>
        <w:tc>
          <w:tcPr>
            <w:tcW w:w="2977" w:type="dxa"/>
            <w:shd w:val="clear" w:color="auto" w:fill="auto"/>
            <w:vAlign w:val="center"/>
            <w:hideMark/>
          </w:tcPr>
          <w:p w14:paraId="18BB2184"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 xml:space="preserve">Mudança de concessionária dos Contratos de Concessão nº 48000.003795/97-12 (Fazenda Belém) e nº 48000.003801/97-13 (Icapuí) em razão de incorporação </w:t>
            </w:r>
            <w:r w:rsidRPr="009C774A">
              <w:rPr>
                <w:rFonts w:eastAsia="Times New Roman" w:cstheme="minorHAnsi"/>
                <w:sz w:val="20"/>
                <w:szCs w:val="20"/>
                <w:lang w:eastAsia="pt-BR"/>
              </w:rPr>
              <w:lastRenderedPageBreak/>
              <w:t>da 3R Fazenda Belém S.A. pela 3R Areia Branca S.A.</w:t>
            </w:r>
          </w:p>
        </w:tc>
        <w:tc>
          <w:tcPr>
            <w:tcW w:w="992" w:type="dxa"/>
            <w:shd w:val="clear" w:color="auto" w:fill="auto"/>
            <w:vAlign w:val="center"/>
            <w:hideMark/>
          </w:tcPr>
          <w:p w14:paraId="5E01726F"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lastRenderedPageBreak/>
              <w:t>Symone Araújo</w:t>
            </w:r>
          </w:p>
        </w:tc>
        <w:tc>
          <w:tcPr>
            <w:tcW w:w="1134" w:type="dxa"/>
            <w:shd w:val="clear" w:color="auto" w:fill="auto"/>
            <w:noWrap/>
            <w:vAlign w:val="center"/>
            <w:hideMark/>
          </w:tcPr>
          <w:p w14:paraId="788FEFFA"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614/2023</w:t>
            </w:r>
          </w:p>
        </w:tc>
        <w:tc>
          <w:tcPr>
            <w:tcW w:w="850" w:type="dxa"/>
            <w:shd w:val="clear" w:color="auto" w:fill="auto"/>
            <w:vAlign w:val="center"/>
            <w:hideMark/>
          </w:tcPr>
          <w:p w14:paraId="44F639FD"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20/11/23</w:t>
            </w:r>
          </w:p>
        </w:tc>
        <w:tc>
          <w:tcPr>
            <w:tcW w:w="3636" w:type="dxa"/>
            <w:shd w:val="clear" w:color="auto" w:fill="auto"/>
            <w:vAlign w:val="center"/>
            <w:hideMark/>
          </w:tcPr>
          <w:p w14:paraId="351B759A" w14:textId="77777777"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 xml:space="preserve">A Diretoria da Agência Nacional do Petróleo, Gás Natural e Biocombustíveis - ANP, considerando o que consta no processo nº 48610.218849/2023-81, no Despacho de Proposta para Deliberação da Diretoria nº </w:t>
            </w:r>
            <w:r w:rsidRPr="009C774A">
              <w:rPr>
                <w:rFonts w:eastAsia="Times New Roman" w:cstheme="minorHAnsi"/>
                <w:sz w:val="20"/>
                <w:szCs w:val="20"/>
                <w:lang w:eastAsia="pt-BR"/>
              </w:rPr>
              <w:lastRenderedPageBreak/>
              <w:t>33/2023/SPL (SEI 3418960) e no Parecer nº 291/2023/PFANP/PGF/AGU, aprovado pelo Despacho nº 3863/2023/PFANP/PGF/AGU (SEI 3446545), resolve, por unanimidade:</w:t>
            </w:r>
            <w:r w:rsidRPr="009C774A">
              <w:rPr>
                <w:rFonts w:eastAsia="Times New Roman" w:cstheme="minorHAnsi"/>
                <w:sz w:val="20"/>
                <w:szCs w:val="20"/>
                <w:lang w:eastAsia="pt-BR"/>
              </w:rPr>
              <w:br/>
              <w:t>Aprovar o pedido de mudança de concessionária dos Contratos de Concessão nº 48000.003795/97-12 (Fazenda Belém) e nº 48000.003801/97-13 (Icapuí), decorrente de incorporação da 3R Fazenda Belém S.A. pela 3R Areia Branca S.A., condicionada à, antes da assinatura dos termos aditivos, apresentação, pela 3R Areia Branca S.A., assim como ao seu aceite pela ANP, de uma garantia financeira ou de um termo que assegure o descomissionamento para todos os campos envolvidos, atendendo à forma e aos requisitos estabelecidos pelo art. 60, § 4º, da Resolução ANP nº 854, de 27 de setembro de 2021.</w:t>
            </w:r>
          </w:p>
        </w:tc>
        <w:tc>
          <w:tcPr>
            <w:tcW w:w="723" w:type="dxa"/>
            <w:shd w:val="clear" w:color="auto" w:fill="auto"/>
            <w:vAlign w:val="center"/>
            <w:hideMark/>
          </w:tcPr>
          <w:p w14:paraId="797B74DA"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lastRenderedPageBreak/>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r w:rsidR="009C774A" w:rsidRPr="009C774A" w14:paraId="7BF88C82" w14:textId="77777777" w:rsidTr="0045529D">
        <w:tc>
          <w:tcPr>
            <w:tcW w:w="1413" w:type="dxa"/>
            <w:shd w:val="clear" w:color="auto" w:fill="auto"/>
            <w:vAlign w:val="center"/>
            <w:hideMark/>
          </w:tcPr>
          <w:p w14:paraId="51C76EE8"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509/2023/SGE-CIRCUITO/SGE</w:t>
            </w:r>
          </w:p>
        </w:tc>
        <w:tc>
          <w:tcPr>
            <w:tcW w:w="1984" w:type="dxa"/>
            <w:shd w:val="clear" w:color="auto" w:fill="auto"/>
            <w:vAlign w:val="center"/>
            <w:hideMark/>
          </w:tcPr>
          <w:p w14:paraId="6AF6ADD2"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48610.228659/2022-91</w:t>
            </w:r>
          </w:p>
        </w:tc>
        <w:tc>
          <w:tcPr>
            <w:tcW w:w="851" w:type="dxa"/>
            <w:shd w:val="clear" w:color="auto" w:fill="auto"/>
            <w:vAlign w:val="center"/>
            <w:hideMark/>
          </w:tcPr>
          <w:p w14:paraId="14772E94"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SIM</w:t>
            </w:r>
          </w:p>
        </w:tc>
        <w:tc>
          <w:tcPr>
            <w:tcW w:w="2977" w:type="dxa"/>
            <w:shd w:val="clear" w:color="auto" w:fill="auto"/>
            <w:vAlign w:val="center"/>
            <w:hideMark/>
          </w:tcPr>
          <w:p w14:paraId="3B429CC9"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Análise do Recurso interposto pela NOVA TRANSPORTADORA DO SUDESTE S.A. (NTS) em razão da aplicação de multa por deixar de cumprir requisitos de transferência de custódia na estação de medição de Gás Natural no Manifold de Campos Elíseos consistente na conduta de não assegurar que os medidores tenham a classe de exatidão e a calibração executada na frequência determinada pelo Regulamento Técnico de Medição (RTM).</w:t>
            </w:r>
          </w:p>
        </w:tc>
        <w:tc>
          <w:tcPr>
            <w:tcW w:w="992" w:type="dxa"/>
            <w:shd w:val="clear" w:color="auto" w:fill="auto"/>
            <w:vAlign w:val="center"/>
            <w:hideMark/>
          </w:tcPr>
          <w:p w14:paraId="0585ADA1" w14:textId="77777777" w:rsidR="009C774A" w:rsidRPr="009C774A" w:rsidRDefault="009C774A" w:rsidP="009C774A">
            <w:pPr>
              <w:spacing w:after="0" w:line="240" w:lineRule="auto"/>
              <w:rPr>
                <w:rFonts w:eastAsia="Times New Roman" w:cstheme="minorHAnsi"/>
                <w:sz w:val="20"/>
                <w:szCs w:val="20"/>
                <w:lang w:eastAsia="pt-BR"/>
              </w:rPr>
            </w:pPr>
            <w:r w:rsidRPr="009C774A">
              <w:rPr>
                <w:rFonts w:eastAsia="Times New Roman" w:cstheme="minorHAnsi"/>
                <w:sz w:val="20"/>
                <w:szCs w:val="20"/>
                <w:lang w:eastAsia="pt-BR"/>
              </w:rPr>
              <w:t>Claudio Jorge de Souza</w:t>
            </w:r>
          </w:p>
        </w:tc>
        <w:tc>
          <w:tcPr>
            <w:tcW w:w="1134" w:type="dxa"/>
            <w:shd w:val="clear" w:color="auto" w:fill="auto"/>
            <w:noWrap/>
            <w:vAlign w:val="center"/>
            <w:hideMark/>
          </w:tcPr>
          <w:p w14:paraId="7462AE76"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613/2023</w:t>
            </w:r>
          </w:p>
        </w:tc>
        <w:tc>
          <w:tcPr>
            <w:tcW w:w="850" w:type="dxa"/>
            <w:shd w:val="clear" w:color="auto" w:fill="auto"/>
            <w:vAlign w:val="center"/>
            <w:hideMark/>
          </w:tcPr>
          <w:p w14:paraId="08CBCED2"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20/11/23</w:t>
            </w:r>
          </w:p>
        </w:tc>
        <w:tc>
          <w:tcPr>
            <w:tcW w:w="3636" w:type="dxa"/>
            <w:shd w:val="clear" w:color="auto" w:fill="auto"/>
            <w:vAlign w:val="center"/>
            <w:hideMark/>
          </w:tcPr>
          <w:p w14:paraId="0DC9FBC6" w14:textId="77777777" w:rsidR="009C774A" w:rsidRPr="009C774A" w:rsidRDefault="009C774A" w:rsidP="009C774A">
            <w:pPr>
              <w:spacing w:after="0" w:line="240" w:lineRule="auto"/>
              <w:jc w:val="both"/>
              <w:rPr>
                <w:rFonts w:eastAsia="Times New Roman" w:cstheme="minorHAnsi"/>
                <w:sz w:val="20"/>
                <w:szCs w:val="20"/>
                <w:lang w:eastAsia="pt-BR"/>
              </w:rPr>
            </w:pPr>
            <w:r w:rsidRPr="009C774A">
              <w:rPr>
                <w:rFonts w:eastAsia="Times New Roman" w:cstheme="minorHAnsi"/>
                <w:sz w:val="20"/>
                <w:szCs w:val="20"/>
                <w:lang w:eastAsia="pt-BR"/>
              </w:rPr>
              <w:t>A Diretoria da Agência Nacional do Petróleo, Gás Natural e Biocombustíveis - ANP, considerando o que consta no processo nº 48610.228659/2022-91, na Decisão SEI nº 2908515, no Relatório de Análise de Recurso SEI nº 3112781, e no Parecer nº 258/2023/PFANP/PGF/AGU (SEI nº 3362983), aprovado pelo Despacho nº 3435/2023/PFANP/PGF/AGU (SEI nº 3362989), resolve, por unanimidade:</w:t>
            </w:r>
            <w:r w:rsidRPr="009C774A">
              <w:rPr>
                <w:rFonts w:eastAsia="Times New Roman" w:cstheme="minorHAnsi"/>
                <w:sz w:val="20"/>
                <w:szCs w:val="20"/>
                <w:lang w:eastAsia="pt-BR"/>
              </w:rPr>
              <w:br/>
              <w:t>Conhecer o recurso e, no mérito, negar o seu provimento, mantendo a decisão recorrida que aplicou a multa de R$ 429.687,50 (quatrocentos e vinte nove mil seiscentos e oitenta sete reais e cinquenta centavos).</w:t>
            </w:r>
          </w:p>
        </w:tc>
        <w:tc>
          <w:tcPr>
            <w:tcW w:w="723" w:type="dxa"/>
            <w:shd w:val="clear" w:color="auto" w:fill="auto"/>
            <w:vAlign w:val="center"/>
            <w:hideMark/>
          </w:tcPr>
          <w:p w14:paraId="18CC9839" w14:textId="77777777" w:rsidR="009C774A" w:rsidRPr="009C774A" w:rsidRDefault="009C774A" w:rsidP="009C774A">
            <w:pPr>
              <w:spacing w:after="0" w:line="240" w:lineRule="auto"/>
              <w:jc w:val="center"/>
              <w:rPr>
                <w:rFonts w:eastAsia="Times New Roman" w:cstheme="minorHAnsi"/>
                <w:sz w:val="20"/>
                <w:szCs w:val="20"/>
                <w:lang w:eastAsia="pt-BR"/>
              </w:rPr>
            </w:pPr>
            <w:r w:rsidRPr="009C774A">
              <w:rPr>
                <w:rFonts w:eastAsia="Times New Roman" w:cstheme="minorHAnsi"/>
                <w:sz w:val="20"/>
                <w:szCs w:val="20"/>
                <w:lang w:eastAsia="pt-BR"/>
              </w:rPr>
              <w:t>DG</w:t>
            </w:r>
            <w:r w:rsidRPr="009C774A">
              <w:rPr>
                <w:rFonts w:eastAsia="Times New Roman" w:cstheme="minorHAnsi"/>
                <w:sz w:val="20"/>
                <w:szCs w:val="20"/>
                <w:lang w:eastAsia="pt-BR"/>
              </w:rPr>
              <w:br/>
              <w:t>DIR 1</w:t>
            </w:r>
            <w:r w:rsidRPr="009C774A">
              <w:rPr>
                <w:rFonts w:eastAsia="Times New Roman" w:cstheme="minorHAnsi"/>
                <w:sz w:val="20"/>
                <w:szCs w:val="20"/>
                <w:lang w:eastAsia="pt-BR"/>
              </w:rPr>
              <w:br/>
              <w:t>DIR 2</w:t>
            </w:r>
            <w:r w:rsidRPr="009C774A">
              <w:rPr>
                <w:rFonts w:eastAsia="Times New Roman" w:cstheme="minorHAnsi"/>
                <w:sz w:val="20"/>
                <w:szCs w:val="20"/>
                <w:lang w:eastAsia="pt-BR"/>
              </w:rPr>
              <w:br/>
              <w:t>DIR 3</w:t>
            </w:r>
            <w:r w:rsidRPr="009C774A">
              <w:rPr>
                <w:rFonts w:eastAsia="Times New Roman" w:cstheme="minorHAnsi"/>
                <w:sz w:val="20"/>
                <w:szCs w:val="20"/>
                <w:lang w:eastAsia="pt-BR"/>
              </w:rPr>
              <w:br/>
              <w:t>DIR 4</w:t>
            </w:r>
          </w:p>
        </w:tc>
      </w:tr>
    </w:tbl>
    <w:p w14:paraId="06B36BF7" w14:textId="00376D0E" w:rsidR="0092162E" w:rsidRPr="004D52F1" w:rsidRDefault="0092162E" w:rsidP="66682CC4"/>
    <w:sectPr w:rsidR="0092162E" w:rsidRPr="004D52F1"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C9F2" w14:textId="77777777" w:rsidR="00F51EA2" w:rsidRDefault="00F51EA2">
      <w:pPr>
        <w:spacing w:after="0" w:line="240" w:lineRule="auto"/>
      </w:pPr>
      <w:r>
        <w:separator/>
      </w:r>
    </w:p>
  </w:endnote>
  <w:endnote w:type="continuationSeparator" w:id="0">
    <w:p w14:paraId="3375BB7B" w14:textId="77777777" w:rsidR="00F51EA2" w:rsidRDefault="00F51EA2">
      <w:pPr>
        <w:spacing w:after="0" w:line="240" w:lineRule="auto"/>
      </w:pPr>
      <w:r>
        <w:continuationSeparator/>
      </w:r>
    </w:p>
  </w:endnote>
  <w:endnote w:type="continuationNotice" w:id="1">
    <w:p w14:paraId="6F963967" w14:textId="77777777" w:rsidR="00F51EA2" w:rsidRDefault="00F51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A5E3" w14:textId="77777777" w:rsidR="00F51EA2" w:rsidRDefault="00F51EA2">
      <w:pPr>
        <w:spacing w:after="0" w:line="240" w:lineRule="auto"/>
      </w:pPr>
      <w:r>
        <w:separator/>
      </w:r>
    </w:p>
  </w:footnote>
  <w:footnote w:type="continuationSeparator" w:id="0">
    <w:p w14:paraId="5372E1AA" w14:textId="77777777" w:rsidR="00F51EA2" w:rsidRDefault="00F51EA2">
      <w:pPr>
        <w:spacing w:after="0" w:line="240" w:lineRule="auto"/>
      </w:pPr>
      <w:r>
        <w:continuationSeparator/>
      </w:r>
    </w:p>
  </w:footnote>
  <w:footnote w:type="continuationNotice" w:id="1">
    <w:p w14:paraId="5EA8989F" w14:textId="77777777" w:rsidR="00F51EA2" w:rsidRDefault="00F51EA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A8B"/>
    <w:rsid w:val="00053B40"/>
    <w:rsid w:val="000718E2"/>
    <w:rsid w:val="00081112"/>
    <w:rsid w:val="000A5609"/>
    <w:rsid w:val="000A5C94"/>
    <w:rsid w:val="000C425E"/>
    <w:rsid w:val="000D49B2"/>
    <w:rsid w:val="0011777C"/>
    <w:rsid w:val="0014298E"/>
    <w:rsid w:val="0014548C"/>
    <w:rsid w:val="001764C9"/>
    <w:rsid w:val="001933AB"/>
    <w:rsid w:val="001A7022"/>
    <w:rsid w:val="001B39BC"/>
    <w:rsid w:val="001C2083"/>
    <w:rsid w:val="002217B7"/>
    <w:rsid w:val="00235E48"/>
    <w:rsid w:val="00240AD1"/>
    <w:rsid w:val="00243D8C"/>
    <w:rsid w:val="00251AAB"/>
    <w:rsid w:val="00264328"/>
    <w:rsid w:val="00272B99"/>
    <w:rsid w:val="00276118"/>
    <w:rsid w:val="00283E69"/>
    <w:rsid w:val="0028549A"/>
    <w:rsid w:val="002D6381"/>
    <w:rsid w:val="002F4FAC"/>
    <w:rsid w:val="00300A40"/>
    <w:rsid w:val="0031749B"/>
    <w:rsid w:val="00323755"/>
    <w:rsid w:val="0032443A"/>
    <w:rsid w:val="0034680D"/>
    <w:rsid w:val="00350A6E"/>
    <w:rsid w:val="0035221E"/>
    <w:rsid w:val="00383C00"/>
    <w:rsid w:val="00386B3B"/>
    <w:rsid w:val="003B0DF9"/>
    <w:rsid w:val="003B2AF2"/>
    <w:rsid w:val="003B5FF2"/>
    <w:rsid w:val="003C7610"/>
    <w:rsid w:val="003D0B0C"/>
    <w:rsid w:val="003D2AF9"/>
    <w:rsid w:val="003D709A"/>
    <w:rsid w:val="003E40BE"/>
    <w:rsid w:val="003F3B5B"/>
    <w:rsid w:val="00404259"/>
    <w:rsid w:val="00410E8B"/>
    <w:rsid w:val="00412CFB"/>
    <w:rsid w:val="004218F9"/>
    <w:rsid w:val="00422EFF"/>
    <w:rsid w:val="00424578"/>
    <w:rsid w:val="0043697C"/>
    <w:rsid w:val="004376CF"/>
    <w:rsid w:val="0045529D"/>
    <w:rsid w:val="004709CA"/>
    <w:rsid w:val="00490D1A"/>
    <w:rsid w:val="0049662F"/>
    <w:rsid w:val="004A42BA"/>
    <w:rsid w:val="004B2C83"/>
    <w:rsid w:val="004C6D98"/>
    <w:rsid w:val="004D4BE5"/>
    <w:rsid w:val="004D52F1"/>
    <w:rsid w:val="00515392"/>
    <w:rsid w:val="005177A6"/>
    <w:rsid w:val="005365EB"/>
    <w:rsid w:val="00537BA5"/>
    <w:rsid w:val="0054127E"/>
    <w:rsid w:val="005421F9"/>
    <w:rsid w:val="00544279"/>
    <w:rsid w:val="005450C1"/>
    <w:rsid w:val="005654DB"/>
    <w:rsid w:val="005803BE"/>
    <w:rsid w:val="00583F81"/>
    <w:rsid w:val="0059201B"/>
    <w:rsid w:val="00592AAB"/>
    <w:rsid w:val="005C6C23"/>
    <w:rsid w:val="005D6BA8"/>
    <w:rsid w:val="005E6DFF"/>
    <w:rsid w:val="006303EB"/>
    <w:rsid w:val="006365C9"/>
    <w:rsid w:val="00636611"/>
    <w:rsid w:val="00662B2E"/>
    <w:rsid w:val="0066566D"/>
    <w:rsid w:val="00677296"/>
    <w:rsid w:val="00677FA8"/>
    <w:rsid w:val="00683E2C"/>
    <w:rsid w:val="006937D4"/>
    <w:rsid w:val="006C53F7"/>
    <w:rsid w:val="006C64F3"/>
    <w:rsid w:val="006E2DB8"/>
    <w:rsid w:val="007027E9"/>
    <w:rsid w:val="00706901"/>
    <w:rsid w:val="00722F04"/>
    <w:rsid w:val="007234EA"/>
    <w:rsid w:val="00724FB2"/>
    <w:rsid w:val="00735548"/>
    <w:rsid w:val="00740990"/>
    <w:rsid w:val="00754830"/>
    <w:rsid w:val="007602EC"/>
    <w:rsid w:val="007664F5"/>
    <w:rsid w:val="00797B19"/>
    <w:rsid w:val="007B7D42"/>
    <w:rsid w:val="007D129E"/>
    <w:rsid w:val="00803054"/>
    <w:rsid w:val="00810036"/>
    <w:rsid w:val="008104E0"/>
    <w:rsid w:val="008223CB"/>
    <w:rsid w:val="008366F0"/>
    <w:rsid w:val="00837E67"/>
    <w:rsid w:val="00842003"/>
    <w:rsid w:val="00852FAB"/>
    <w:rsid w:val="00857457"/>
    <w:rsid w:val="00881146"/>
    <w:rsid w:val="008848DF"/>
    <w:rsid w:val="00887904"/>
    <w:rsid w:val="008A476E"/>
    <w:rsid w:val="008D1801"/>
    <w:rsid w:val="008E0C97"/>
    <w:rsid w:val="008F3D6E"/>
    <w:rsid w:val="008F4F21"/>
    <w:rsid w:val="0090672F"/>
    <w:rsid w:val="0092162E"/>
    <w:rsid w:val="00943236"/>
    <w:rsid w:val="009709E3"/>
    <w:rsid w:val="0097594B"/>
    <w:rsid w:val="009C4F37"/>
    <w:rsid w:val="009C774A"/>
    <w:rsid w:val="009D1659"/>
    <w:rsid w:val="009E5162"/>
    <w:rsid w:val="009F2511"/>
    <w:rsid w:val="009F4354"/>
    <w:rsid w:val="00A01A3D"/>
    <w:rsid w:val="00A0432E"/>
    <w:rsid w:val="00A27052"/>
    <w:rsid w:val="00A35025"/>
    <w:rsid w:val="00A445A9"/>
    <w:rsid w:val="00A92D13"/>
    <w:rsid w:val="00AA2E9C"/>
    <w:rsid w:val="00AB1B93"/>
    <w:rsid w:val="00AD0712"/>
    <w:rsid w:val="00AE29A3"/>
    <w:rsid w:val="00B12EB3"/>
    <w:rsid w:val="00B133FD"/>
    <w:rsid w:val="00B25C87"/>
    <w:rsid w:val="00B27F22"/>
    <w:rsid w:val="00B36EB7"/>
    <w:rsid w:val="00B4168B"/>
    <w:rsid w:val="00B438A5"/>
    <w:rsid w:val="00B63740"/>
    <w:rsid w:val="00B76142"/>
    <w:rsid w:val="00B832C1"/>
    <w:rsid w:val="00B85B37"/>
    <w:rsid w:val="00BB690B"/>
    <w:rsid w:val="00C02D7E"/>
    <w:rsid w:val="00C35641"/>
    <w:rsid w:val="00C8351F"/>
    <w:rsid w:val="00C97619"/>
    <w:rsid w:val="00CA053F"/>
    <w:rsid w:val="00CA20E3"/>
    <w:rsid w:val="00CA7358"/>
    <w:rsid w:val="00CD336A"/>
    <w:rsid w:val="00CF1774"/>
    <w:rsid w:val="00CF24FC"/>
    <w:rsid w:val="00D10E0D"/>
    <w:rsid w:val="00D1266A"/>
    <w:rsid w:val="00D2323E"/>
    <w:rsid w:val="00D5182D"/>
    <w:rsid w:val="00D54708"/>
    <w:rsid w:val="00D57291"/>
    <w:rsid w:val="00D63B20"/>
    <w:rsid w:val="00D65736"/>
    <w:rsid w:val="00DC3406"/>
    <w:rsid w:val="00DC53FE"/>
    <w:rsid w:val="00DD6F74"/>
    <w:rsid w:val="00DF2AC8"/>
    <w:rsid w:val="00DF44A1"/>
    <w:rsid w:val="00E1143E"/>
    <w:rsid w:val="00E21D16"/>
    <w:rsid w:val="00E230BA"/>
    <w:rsid w:val="00E3617A"/>
    <w:rsid w:val="00E474AD"/>
    <w:rsid w:val="00E77930"/>
    <w:rsid w:val="00E81015"/>
    <w:rsid w:val="00E873CE"/>
    <w:rsid w:val="00EA0C85"/>
    <w:rsid w:val="00EB277F"/>
    <w:rsid w:val="00EC2A44"/>
    <w:rsid w:val="00EC6C18"/>
    <w:rsid w:val="00EF1BD0"/>
    <w:rsid w:val="00F039FF"/>
    <w:rsid w:val="00F04685"/>
    <w:rsid w:val="00F048A6"/>
    <w:rsid w:val="00F46790"/>
    <w:rsid w:val="00F51EA2"/>
    <w:rsid w:val="00F671ED"/>
    <w:rsid w:val="00F74265"/>
    <w:rsid w:val="00F93281"/>
    <w:rsid w:val="00FA4ABE"/>
    <w:rsid w:val="00FB5277"/>
    <w:rsid w:val="00FB57DB"/>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3BFD250"/>
    <w:rsid w:val="34A76C9C"/>
    <w:rsid w:val="370B9E89"/>
    <w:rsid w:val="37C5E501"/>
    <w:rsid w:val="3A1B22FD"/>
    <w:rsid w:val="3ADF6CDB"/>
    <w:rsid w:val="3C97C9ED"/>
    <w:rsid w:val="3D80E15F"/>
    <w:rsid w:val="3D83B7A0"/>
    <w:rsid w:val="3DD5107F"/>
    <w:rsid w:val="40161F3B"/>
    <w:rsid w:val="41C44D7C"/>
    <w:rsid w:val="41D3EA51"/>
    <w:rsid w:val="4733FB5D"/>
    <w:rsid w:val="474C10A7"/>
    <w:rsid w:val="4762CA68"/>
    <w:rsid w:val="48578127"/>
    <w:rsid w:val="487CF6C5"/>
    <w:rsid w:val="495D3CDE"/>
    <w:rsid w:val="4A6B9C1F"/>
    <w:rsid w:val="4B0F3A6C"/>
    <w:rsid w:val="4C076C80"/>
    <w:rsid w:val="4D0E30B2"/>
    <w:rsid w:val="50C7DDB4"/>
    <w:rsid w:val="514200AD"/>
    <w:rsid w:val="51A63650"/>
    <w:rsid w:val="54459E62"/>
    <w:rsid w:val="59B97269"/>
    <w:rsid w:val="5A627639"/>
    <w:rsid w:val="5AC6E83E"/>
    <w:rsid w:val="5C02F3FC"/>
    <w:rsid w:val="5E138930"/>
    <w:rsid w:val="5E1BB0AA"/>
    <w:rsid w:val="5E340B80"/>
    <w:rsid w:val="62662CD0"/>
    <w:rsid w:val="630CDCB6"/>
    <w:rsid w:val="6355BF94"/>
    <w:rsid w:val="66682CC4"/>
    <w:rsid w:val="69D08C95"/>
    <w:rsid w:val="6AF9ECBE"/>
    <w:rsid w:val="6EA41EBE"/>
    <w:rsid w:val="6F1E3139"/>
    <w:rsid w:val="6F9F4254"/>
    <w:rsid w:val="713B12B5"/>
    <w:rsid w:val="71543B12"/>
    <w:rsid w:val="739E8B14"/>
    <w:rsid w:val="73F62C41"/>
    <w:rsid w:val="741D22F9"/>
    <w:rsid w:val="7472B377"/>
    <w:rsid w:val="757BB08E"/>
    <w:rsid w:val="77AA5439"/>
    <w:rsid w:val="781D3CA6"/>
    <w:rsid w:val="79046313"/>
    <w:rsid w:val="79276F54"/>
    <w:rsid w:val="7946249A"/>
    <w:rsid w:val="79799858"/>
    <w:rsid w:val="7A7DA3FC"/>
    <w:rsid w:val="7CAF850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D5F363FC-C547-4F4B-8D28-32AC1131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 w:type="character" w:customStyle="1" w:styleId="font381">
    <w:name w:val="font381"/>
    <w:basedOn w:val="Fontepargpadro"/>
    <w:rsid w:val="006365C9"/>
    <w:rPr>
      <w:rFonts w:ascii="Calibri" w:hAnsi="Calibri" w:cs="Calibri"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482553281">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858085661">
      <w:bodyDiv w:val="1"/>
      <w:marLeft w:val="0"/>
      <w:marRight w:val="0"/>
      <w:marTop w:val="0"/>
      <w:marBottom w:val="0"/>
      <w:divBdr>
        <w:top w:val="none" w:sz="0" w:space="0" w:color="auto"/>
        <w:left w:val="none" w:sz="0" w:space="0" w:color="auto"/>
        <w:bottom w:val="none" w:sz="0" w:space="0" w:color="auto"/>
        <w:right w:val="none" w:sz="0" w:space="0" w:color="auto"/>
      </w:divBdr>
    </w:div>
    <w:div w:id="921524747">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49918971">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13662766">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564213471">
      <w:bodyDiv w:val="1"/>
      <w:marLeft w:val="0"/>
      <w:marRight w:val="0"/>
      <w:marTop w:val="0"/>
      <w:marBottom w:val="0"/>
      <w:divBdr>
        <w:top w:val="none" w:sz="0" w:space="0" w:color="auto"/>
        <w:left w:val="none" w:sz="0" w:space="0" w:color="auto"/>
        <w:bottom w:val="none" w:sz="0" w:space="0" w:color="auto"/>
        <w:right w:val="none" w:sz="0" w:space="0" w:color="auto"/>
      </w:divBdr>
    </w:div>
    <w:div w:id="1705406422">
      <w:bodyDiv w:val="1"/>
      <w:marLeft w:val="0"/>
      <w:marRight w:val="0"/>
      <w:marTop w:val="0"/>
      <w:marBottom w:val="0"/>
      <w:divBdr>
        <w:top w:val="none" w:sz="0" w:space="0" w:color="auto"/>
        <w:left w:val="none" w:sz="0" w:space="0" w:color="auto"/>
        <w:bottom w:val="none" w:sz="0" w:space="0" w:color="auto"/>
        <w:right w:val="none" w:sz="0" w:space="0" w:color="auto"/>
      </w:divBdr>
    </w:div>
    <w:div w:id="1735273158">
      <w:bodyDiv w:val="1"/>
      <w:marLeft w:val="0"/>
      <w:marRight w:val="0"/>
      <w:marTop w:val="0"/>
      <w:marBottom w:val="0"/>
      <w:divBdr>
        <w:top w:val="none" w:sz="0" w:space="0" w:color="auto"/>
        <w:left w:val="none" w:sz="0" w:space="0" w:color="auto"/>
        <w:bottom w:val="none" w:sz="0" w:space="0" w:color="auto"/>
        <w:right w:val="none" w:sz="0" w:space="0" w:color="auto"/>
      </w:divBdr>
    </w:div>
    <w:div w:id="1777207895">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057317007">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2.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3.xml><?xml version="1.0" encoding="utf-8"?>
<ds:datastoreItem xmlns:ds="http://schemas.openxmlformats.org/officeDocument/2006/customXml" ds:itemID="{84CDE233-60F4-47A8-9C35-43A7917C1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2B502-66FB-472C-8440-B56F5B3F5312}">
  <ds:schemaRefs>
    <ds:schemaRef ds:uri="c78646fe-9350-4cb2-a54c-8c184bc32f30"/>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0b286060-fae2-4565-9c9f-a69cf3616d7b"/>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1778</Words>
  <Characters>9603</Characters>
  <Application>Microsoft Office Word</Application>
  <DocSecurity>0</DocSecurity>
  <Lines>80</Lines>
  <Paragraphs>22</Paragraphs>
  <ScaleCrop>false</ScaleCrop>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113</cp:revision>
  <dcterms:created xsi:type="dcterms:W3CDTF">2023-06-15T23:38:00Z</dcterms:created>
  <dcterms:modified xsi:type="dcterms:W3CDTF">2023-11-24T12:06:00Z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