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2124"/>
        <w:gridCol w:w="851"/>
        <w:gridCol w:w="2940"/>
        <w:gridCol w:w="886"/>
        <w:gridCol w:w="992"/>
        <w:gridCol w:w="855"/>
        <w:gridCol w:w="3769"/>
        <w:gridCol w:w="731"/>
      </w:tblGrid>
      <w:tr w:rsidR="009D1659" w:rsidRPr="00EF1BD0" w14:paraId="6981D220" w14:textId="77777777" w:rsidTr="00706901">
        <w:trPr>
          <w:trHeight w:val="20"/>
        </w:trPr>
        <w:tc>
          <w:tcPr>
            <w:tcW w:w="14560" w:type="dxa"/>
            <w:gridSpan w:val="9"/>
            <w:shd w:val="clear" w:color="auto" w:fill="auto"/>
            <w:vAlign w:val="center"/>
            <w:hideMark/>
          </w:tcPr>
          <w:p w14:paraId="18F426D1" w14:textId="77777777" w:rsidR="00E230BA" w:rsidRPr="00E230BA" w:rsidRDefault="00E230BA" w:rsidP="00EF1BD0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DECISÕES TOMADAS EM CIRCUITO DELIBERATIVO (27/10 a 02/11/2023)</w:t>
            </w:r>
          </w:p>
        </w:tc>
      </w:tr>
      <w:tr w:rsidR="009D1659" w:rsidRPr="00EF1BD0" w14:paraId="65619C21" w14:textId="77777777" w:rsidTr="00EF1BD0">
        <w:trPr>
          <w:trHeight w:val="20"/>
        </w:trPr>
        <w:tc>
          <w:tcPr>
            <w:tcW w:w="1412" w:type="dxa"/>
            <w:shd w:val="clear" w:color="auto" w:fill="auto"/>
            <w:vAlign w:val="center"/>
            <w:hideMark/>
          </w:tcPr>
          <w:p w14:paraId="34670A4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4" w:type="dxa"/>
            <w:shd w:val="clear" w:color="auto" w:fill="auto"/>
            <w:vAlign w:val="center"/>
            <w:hideMark/>
          </w:tcPr>
          <w:p w14:paraId="70028B9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B2812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940" w:type="dxa"/>
            <w:shd w:val="clear" w:color="auto" w:fill="auto"/>
            <w:vAlign w:val="center"/>
            <w:hideMark/>
          </w:tcPr>
          <w:p w14:paraId="5712099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14:paraId="6A06BDD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D049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14:paraId="4B95225D" w14:textId="42846AC1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3769" w:type="dxa"/>
            <w:shd w:val="clear" w:color="auto" w:fill="auto"/>
            <w:vAlign w:val="center"/>
            <w:hideMark/>
          </w:tcPr>
          <w:p w14:paraId="33543502" w14:textId="4A966DB2" w:rsidR="00E230BA" w:rsidRPr="00E230BA" w:rsidRDefault="005654DB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14:paraId="408264C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1764C9" w:rsidRPr="00EF1BD0" w14:paraId="01662A7F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6CAF9CC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488/2023/SGE-CIRCUITO/SGE</w:t>
            </w:r>
          </w:p>
        </w:tc>
        <w:tc>
          <w:tcPr>
            <w:tcW w:w="2124" w:type="dxa"/>
            <w:vAlign w:val="center"/>
            <w:hideMark/>
          </w:tcPr>
          <w:p w14:paraId="281DF1E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48610.201493/2023-46</w:t>
            </w:r>
          </w:p>
        </w:tc>
        <w:tc>
          <w:tcPr>
            <w:tcW w:w="851" w:type="dxa"/>
            <w:vAlign w:val="center"/>
            <w:hideMark/>
          </w:tcPr>
          <w:p w14:paraId="1FD7128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940" w:type="dxa"/>
            <w:vAlign w:val="center"/>
            <w:hideMark/>
          </w:tcPr>
          <w:p w14:paraId="18ED869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Garantia para descomissionamento apresentada pela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Gas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Bridge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Storage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S.A. para assegurar os recursos financeiros para o descomissionamento das instalações de produção de petróleo e gás natural dos campos relacionados ao Contrato de Concessão nº 48000.003518/97-82 (BCAM-40) na cessão de direitos.</w:t>
            </w:r>
          </w:p>
        </w:tc>
        <w:tc>
          <w:tcPr>
            <w:tcW w:w="886" w:type="dxa"/>
            <w:vAlign w:val="center"/>
            <w:hideMark/>
          </w:tcPr>
          <w:p w14:paraId="6B50999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0E20BD5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576/2023</w:t>
            </w:r>
          </w:p>
        </w:tc>
        <w:tc>
          <w:tcPr>
            <w:tcW w:w="855" w:type="dxa"/>
            <w:vAlign w:val="center"/>
            <w:hideMark/>
          </w:tcPr>
          <w:p w14:paraId="190CDF7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01/11/23</w:t>
            </w:r>
          </w:p>
        </w:tc>
        <w:tc>
          <w:tcPr>
            <w:tcW w:w="3769" w:type="dxa"/>
            <w:vAlign w:val="center"/>
            <w:hideMark/>
          </w:tcPr>
          <w:p w14:paraId="1DE5B3CC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48610.201493/2023-46, no Despacho de Proposta para Deliberação da Diretoria nº 75/2023/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SDPe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na Nota Técnica nº 202/2023/SDP/ANP-RJ,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 - aprovar a Carta de Crédito apresentada pela cessionária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Gas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Bridge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Storage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S.A. como instrumento de garantia financeira de descomissionamento do Campo de Manati, no valor de R$ 48.315.204,15 (quarenta e oito milhões trezentos e quinze mil duzentos e quatro reais e quinze centavos); e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 - considerar atendidos os condicionantes impostos pelas Resoluções de Diretoria nº 262/2021 e nº 484/2023 para a assinatura dos termos aditivos das cessões de direitos;</w:t>
            </w:r>
          </w:p>
        </w:tc>
        <w:tc>
          <w:tcPr>
            <w:tcW w:w="731" w:type="dxa"/>
            <w:vAlign w:val="center"/>
            <w:hideMark/>
          </w:tcPr>
          <w:p w14:paraId="102F4B3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3D4CC88E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4778FA9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477/2023/SGE-CIRCUITO/SGE</w:t>
            </w:r>
          </w:p>
        </w:tc>
        <w:tc>
          <w:tcPr>
            <w:tcW w:w="2124" w:type="dxa"/>
            <w:vAlign w:val="center"/>
            <w:hideMark/>
          </w:tcPr>
          <w:p w14:paraId="073346E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48600.202681/2019-24, 48600.000847/2018-99, 48611.201445/2020-03, 48620.202193/2020-12, 48620.204103/2020-28, 48650.200056/2020-96, 48620.201550/2020-25</w:t>
            </w:r>
          </w:p>
        </w:tc>
        <w:tc>
          <w:tcPr>
            <w:tcW w:w="851" w:type="dxa"/>
            <w:vAlign w:val="center"/>
            <w:hideMark/>
          </w:tcPr>
          <w:p w14:paraId="553315F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940" w:type="dxa"/>
            <w:vAlign w:val="center"/>
            <w:hideMark/>
          </w:tcPr>
          <w:p w14:paraId="23DF1BC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886" w:type="dxa"/>
            <w:vAlign w:val="center"/>
            <w:hideMark/>
          </w:tcPr>
          <w:p w14:paraId="4139296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48F5861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575/2023</w:t>
            </w:r>
          </w:p>
        </w:tc>
        <w:tc>
          <w:tcPr>
            <w:tcW w:w="855" w:type="dxa"/>
            <w:vAlign w:val="center"/>
            <w:hideMark/>
          </w:tcPr>
          <w:p w14:paraId="0E270DDC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01/11/23</w:t>
            </w:r>
          </w:p>
        </w:tc>
        <w:tc>
          <w:tcPr>
            <w:tcW w:w="3769" w:type="dxa"/>
            <w:vAlign w:val="center"/>
            <w:hideMark/>
          </w:tcPr>
          <w:p w14:paraId="0B4B660D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48600.202681/2019-24, 48600.000847/2018-99, 48611.201445/2020-03, 48620.202193/2020-12, 48620.204103/2020-28, 48650.200056/2020-96, 48620.201550/2020-25, no Despacho de Proposta para Deliberação da Diretoria nº 94/2023/SFI-CREV/SFI (3364648) e nos Despachos nº 101/2023/SFI-CREV/SFI/ANP-RJ (2836240), nº 0227/2022/SFI-CREV/SFI/ANP-RJ (2102198), nº 108/2023/SFI-CREV/SFI/ANP-RJ (2841982), nº 294/2023/SFI-CREV/SFI/ANP-RJ (3112860), nº 287/2023/SFI-CREV/SFI/ANP-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RJ (3105476), nº 103/2023/SFI-CREV/SFI/ANP-RJ (2839399) e nº 293/2023/SFI-CREV/SFI/ANP-RJ (3112614), 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 - negar provimento aos recursos interpostos pelos Revendedores de GLP ANIBAL CAETANO DO CARMO NETO, B. DE MORAIS MERCEARIA – ME, POSTO ONZE LTDA, AGOSTINHO CLARO DA SILVA FILHO, ADILSON RUGOLO - ME, VW CARVALHO DISTRIBUIDORA DE GÁS E ÁGUA MINERAL LTDA, com manutenção da decisão de 1ª instância, que determina a aplicação de pena pecuniária; e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 - negar conhecimento, por intempestividade, ao recurso interposto pelo Revendedor de GLP AMANDA GRAZIELLI CARDOSO RIBEIRO, com manutenção da decisão de 1ª instância, que determina a aplicação de pena pecuniária.</w:t>
            </w:r>
          </w:p>
        </w:tc>
        <w:tc>
          <w:tcPr>
            <w:tcW w:w="731" w:type="dxa"/>
            <w:vAlign w:val="center"/>
            <w:hideMark/>
          </w:tcPr>
          <w:p w14:paraId="6696ABE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70C375A7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45B6C60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475/2023/SGE-CIRCUITO/SGE</w:t>
            </w:r>
          </w:p>
        </w:tc>
        <w:tc>
          <w:tcPr>
            <w:tcW w:w="2124" w:type="dxa"/>
            <w:vAlign w:val="center"/>
            <w:hideMark/>
          </w:tcPr>
          <w:p w14:paraId="0FD8D21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48610.229344/2022-61</w:t>
            </w:r>
          </w:p>
        </w:tc>
        <w:tc>
          <w:tcPr>
            <w:tcW w:w="851" w:type="dxa"/>
            <w:vAlign w:val="center"/>
            <w:hideMark/>
          </w:tcPr>
          <w:p w14:paraId="0C008F6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940" w:type="dxa"/>
            <w:vAlign w:val="center"/>
            <w:hideMark/>
          </w:tcPr>
          <w:p w14:paraId="0C89399C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Despacho que torna públicas as metas individuais compulsórias de redução de emissões de gases causadores do efeito estufa para comercialização de combustíveis para o ano de 2023 acrescidas das metas não cumpridas relativas ao ano de 2022.</w:t>
            </w:r>
          </w:p>
        </w:tc>
        <w:tc>
          <w:tcPr>
            <w:tcW w:w="886" w:type="dxa"/>
            <w:vAlign w:val="center"/>
            <w:hideMark/>
          </w:tcPr>
          <w:p w14:paraId="0773C016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7E9CB81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574/2023</w:t>
            </w:r>
          </w:p>
        </w:tc>
        <w:tc>
          <w:tcPr>
            <w:tcW w:w="855" w:type="dxa"/>
            <w:vAlign w:val="center"/>
            <w:hideMark/>
          </w:tcPr>
          <w:p w14:paraId="5D507CF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31/10/23</w:t>
            </w:r>
          </w:p>
        </w:tc>
        <w:tc>
          <w:tcPr>
            <w:tcW w:w="3769" w:type="dxa"/>
            <w:vAlign w:val="center"/>
            <w:hideMark/>
          </w:tcPr>
          <w:p w14:paraId="73D5F0CE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48610.229344/2022-61, no Despacho de Proposta para Deliberação da Diretoria nº 20/2023/SBQ-CGR/SBQ (3488739), e na Nota Técnica nº 228/2023/SBQ-CGR/SBQ/ANP-RJ (3488549),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minuta de despacho (SEI 3488546), a fim de tornar públicas as metas individuais compulsórias de redução de emissões de gases causadores do efeito estufa para o ano de 2023, aplicáveis a todos os distribuidores que comercializaram combustíveis fósseis no ano de 2022, acrescidas das metas não cumpridas relativas ao ano passado, cujo prazo para cumprimento encerrou-se em 30 de setembro de 2023.</w:t>
            </w:r>
          </w:p>
        </w:tc>
        <w:tc>
          <w:tcPr>
            <w:tcW w:w="731" w:type="dxa"/>
            <w:vAlign w:val="center"/>
            <w:hideMark/>
          </w:tcPr>
          <w:p w14:paraId="7184051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33815317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15857A16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473/2023/SGE-CIRCUITO/SGE</w:t>
            </w:r>
          </w:p>
        </w:tc>
        <w:tc>
          <w:tcPr>
            <w:tcW w:w="2124" w:type="dxa"/>
            <w:vAlign w:val="center"/>
            <w:hideMark/>
          </w:tcPr>
          <w:p w14:paraId="3CA95F8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48610.012712/2015-12</w:t>
            </w:r>
          </w:p>
        </w:tc>
        <w:tc>
          <w:tcPr>
            <w:tcW w:w="851" w:type="dxa"/>
            <w:vAlign w:val="center"/>
            <w:hideMark/>
          </w:tcPr>
          <w:p w14:paraId="48C3A1F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940" w:type="dxa"/>
            <w:vAlign w:val="center"/>
            <w:hideMark/>
          </w:tcPr>
          <w:p w14:paraId="1428DF8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Reestruturação e Nomeação de Cargo Comissionado na SGE</w:t>
            </w:r>
          </w:p>
        </w:tc>
        <w:tc>
          <w:tcPr>
            <w:tcW w:w="886" w:type="dxa"/>
            <w:vAlign w:val="center"/>
            <w:hideMark/>
          </w:tcPr>
          <w:p w14:paraId="7F14790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4F75430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573/2023</w:t>
            </w:r>
          </w:p>
        </w:tc>
        <w:tc>
          <w:tcPr>
            <w:tcW w:w="855" w:type="dxa"/>
            <w:vAlign w:val="center"/>
            <w:hideMark/>
          </w:tcPr>
          <w:p w14:paraId="6099A39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012579E1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48610.012712/2015-12, e no Despacho de Proposta para Deliberação da Diretoria nº 134/2023/SGP-CDO/SGP,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Aprovar as alterações nos Anexos I, II e III do Regimento Interno da ANP, conforme informações compiladas nas tabelas abaixo: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Proposta de Estrutura SGE (Anexo III)II) Nomear ALINE PEREIRA DOS SANTOS no cargo comissionado de Assistente de Governança, CAS II, na SGE.</w:t>
            </w:r>
          </w:p>
        </w:tc>
        <w:tc>
          <w:tcPr>
            <w:tcW w:w="731" w:type="dxa"/>
            <w:vAlign w:val="center"/>
            <w:hideMark/>
          </w:tcPr>
          <w:p w14:paraId="15C14BB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4BC6B0EE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035D688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472/2023/SGE-CIRCUITO/SGE</w:t>
            </w:r>
          </w:p>
        </w:tc>
        <w:tc>
          <w:tcPr>
            <w:tcW w:w="2124" w:type="dxa"/>
            <w:vAlign w:val="center"/>
            <w:hideMark/>
          </w:tcPr>
          <w:p w14:paraId="317F794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48610.210551/2022-41</w:t>
            </w:r>
          </w:p>
        </w:tc>
        <w:tc>
          <w:tcPr>
            <w:tcW w:w="851" w:type="dxa"/>
            <w:vAlign w:val="center"/>
            <w:hideMark/>
          </w:tcPr>
          <w:p w14:paraId="025BF7B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940" w:type="dxa"/>
            <w:vAlign w:val="center"/>
            <w:hideMark/>
          </w:tcPr>
          <w:p w14:paraId="1D3AE6A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Resultado da análise do Plano de Desenvolvimento (PD) da Prorrogação Contratual da Fase de Produção do Campo de Jacuípe (Bacia do Recôncavo).</w:t>
            </w:r>
          </w:p>
        </w:tc>
        <w:tc>
          <w:tcPr>
            <w:tcW w:w="886" w:type="dxa"/>
            <w:vAlign w:val="center"/>
            <w:hideMark/>
          </w:tcPr>
          <w:p w14:paraId="77B0966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4C882B2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572/2023</w:t>
            </w:r>
          </w:p>
        </w:tc>
        <w:tc>
          <w:tcPr>
            <w:tcW w:w="855" w:type="dxa"/>
            <w:vAlign w:val="center"/>
            <w:hideMark/>
          </w:tcPr>
          <w:p w14:paraId="1EEB6A8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48629934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48610.210551/2022-41, no Despacho de Proposta para Deliberação da Diretoria nº 72/2023/SDP, na Nota Técnica nº 126/2023/SDP/ANP-RJ, no Parecer Técnico nº 31/2023/SDP-e-ANP e no Parecer Referencial nº 3/2023/PFANP/PGF/AGU, e na Instrução Normativa nº 11/2022, resolve, por unanimidade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 - aprovar o Plano de Desenvolvimento (PD) do Campo de Jacuípe - Bacia do Recôncavo (Contrato de Concessão nº 48000.003660/97-93), operado pela empresa SPE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Miranga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S.A.;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 - dar provimento ao pleito de Redução da Alíquota de Royalties, nos termos da Resolução ANP nº 749, de 21 de setembro de 2018, cuja curva de referência encontra-se discriminada no Anexo do Parecer Técnico nº 31/2023/SDP-e-ANP (SEI nº 3374885);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 - dar provimento ao pleito de Prorrogação Contratual da Fase de Produção do Campo de Jacuípe, nos termos do Parágrafo 8.2 da Cláusula Oitava do Contrato de Concessão, passando a considerar a data de 5 de agosto de 2052 como novo limite contratual;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IV - determinar ao concessionário que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apresente, no âmbito do Programa Anual de Trabalho e Orçamento (PAT), referente ao exercício de 2025, um cronograma de atividades, o qual deverá contemplar a perfuração, no quinquênio, de novos poços com o objetivo de comprovar eventuais acumulações na porção sudoeste do campo ou, alternativamente, que proponha a adequação da sua Área de Desenvolvimento ao disposto no Parágrafo 9.2 da Cláusula Nona do Contrato de Concessão nº 48000.003660/97-93; e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V - determinar que a eventual revisão do escopo e/ou do prazo para o atendimento da supracitada determinação seja avaliada, pela Superintendência de Desenvolvimento e Produção (SDP), no âmbito dos Programas Anuais de Trabalho e Orçamento (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PATs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), conforme a atribuição estabelecida pela alínea c) do inciso II do art. 110 da Portaria ANP nº 265, de 10 de setembro de 2020.</w:t>
            </w:r>
          </w:p>
        </w:tc>
        <w:tc>
          <w:tcPr>
            <w:tcW w:w="731" w:type="dxa"/>
            <w:vAlign w:val="center"/>
            <w:hideMark/>
          </w:tcPr>
          <w:p w14:paraId="55492C7F" w14:textId="233D8795" w:rsidR="005803BE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  <w:p w14:paraId="099C49C5" w14:textId="00871839" w:rsidR="00E230BA" w:rsidRPr="00E230BA" w:rsidRDefault="005803BE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DIR 2 Ausente da votação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059276AF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207E744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471/2023/SGE-CIRCUITO/SGE</w:t>
            </w:r>
          </w:p>
        </w:tc>
        <w:tc>
          <w:tcPr>
            <w:tcW w:w="2124" w:type="dxa"/>
            <w:vAlign w:val="center"/>
            <w:hideMark/>
          </w:tcPr>
          <w:p w14:paraId="2E407FA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48610.215040/2021-35</w:t>
            </w:r>
          </w:p>
        </w:tc>
        <w:tc>
          <w:tcPr>
            <w:tcW w:w="851" w:type="dxa"/>
            <w:vAlign w:val="center"/>
            <w:hideMark/>
          </w:tcPr>
          <w:p w14:paraId="7B6DB65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940" w:type="dxa"/>
            <w:vAlign w:val="center"/>
            <w:hideMark/>
          </w:tcPr>
          <w:p w14:paraId="3AF8A91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Resultado da análise da revisão do Plano de Desenvolvimento (PD) da Prorrogação Contratual da Fase de Produção do Campo de Rio Mossoró (Bacia Potiguar / Contrato de Concessão nº 48000.003824/97-19)</w:t>
            </w:r>
          </w:p>
        </w:tc>
        <w:tc>
          <w:tcPr>
            <w:tcW w:w="886" w:type="dxa"/>
            <w:vAlign w:val="center"/>
            <w:hideMark/>
          </w:tcPr>
          <w:p w14:paraId="707C3C8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692C2C4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571/2023</w:t>
            </w:r>
          </w:p>
        </w:tc>
        <w:tc>
          <w:tcPr>
            <w:tcW w:w="855" w:type="dxa"/>
            <w:vAlign w:val="center"/>
            <w:hideMark/>
          </w:tcPr>
          <w:p w14:paraId="5EABF3E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05B93A78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48610.215040/2021-35, no Despacho de Proposta para Deliberação da Diretoria nº 73/2023/SDP, na Nota Técnica nº 106/2023/SDP/ANP-RJ, no Parecer Técnico nº 28/2023/SDP-e-ANP, no Parecer Referencial nº 3/2023/PFANP/PGF/AGU, e no disposto na Instrução Normativa nº 11/2022, resolve, por unanimidade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 - aprovar a revisão do Plano de Desenvolvimento (PD) do Campo de Rio Mossoró - Bacia Potiguar (Contrato de Concessão nº 48000.003824/97-19), operado pela empresa Potiguar E&amp;P S.A.;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II - dar provimento ao pleito de Redução da Alíquota de Royalties, nos termos da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Resolução ANP nº 749, de 21 de setembro de 2018, cuja curva de referência encontra-se discriminada no Anexo do Parecer Técnico nº 28/2023/SDP-e-ANP (SEI nº 3321822);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III - dar provimento ao pleito de Prorrogação Contratual da Fase de Produção do Campo de Rio Mossoró, nos termos do Parágrafo 8.2 da Cláusula Oitava do Contrato de Concessão, passando a considerar a data de 5 de agosto de 2052 como novo limite contratual;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IV - determinar ao concessionário que apresente, no âmbito do Programa Anual de Trabalho e Orçamento (PAT) referente ao exercício de 2025, um cronograma de atividades que deverá contemplar a perfuração, no quinquênio, de novos poços com o objetivo de comprovar eventuais acumulações na porção sul do campo ou, alternativamente, que proponha a adequação da sua Área de Desenvolvimento ao disposto no Parágrafo 9.2 da Cláusula Nona do Contrato de Concessão nº 48000.003824/97-19; e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V - determinar que a eventual revisão do escopo e/ou do prazo para o atendimento da supracitada determinação seja avaliada, pela Superintendência de Desenvolvimento e Produção (SDP), no âmbito dos Programas Anuais de Trabalho e Orçamento (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PATs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), conforme a atribuição estabelecida pela alínea c) do inciso II do art. 110 da Portaria ANP nº 265, de 10 de setembro de 2020.</w:t>
            </w:r>
          </w:p>
        </w:tc>
        <w:tc>
          <w:tcPr>
            <w:tcW w:w="731" w:type="dxa"/>
            <w:vAlign w:val="center"/>
            <w:hideMark/>
          </w:tcPr>
          <w:p w14:paraId="6FCECBDB" w14:textId="0A8730CE" w:rsidR="005803BE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  <w:p w14:paraId="2E04B4A2" w14:textId="2FB2D5CD" w:rsidR="00E230BA" w:rsidRPr="00E230BA" w:rsidRDefault="005803BE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DIR 2 Ausente da votação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6745B649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5EDFC42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470/2023/SGE-CIRCUITO/SGE</w:t>
            </w:r>
          </w:p>
        </w:tc>
        <w:tc>
          <w:tcPr>
            <w:tcW w:w="2124" w:type="dxa"/>
            <w:vAlign w:val="center"/>
            <w:hideMark/>
          </w:tcPr>
          <w:p w14:paraId="49750F4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48610.227052/2023-74</w:t>
            </w:r>
          </w:p>
        </w:tc>
        <w:tc>
          <w:tcPr>
            <w:tcW w:w="851" w:type="dxa"/>
            <w:vAlign w:val="center"/>
            <w:hideMark/>
          </w:tcPr>
          <w:p w14:paraId="2AD8852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940" w:type="dxa"/>
            <w:vAlign w:val="center"/>
            <w:hideMark/>
          </w:tcPr>
          <w:p w14:paraId="4F78883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Solicitação de Anexação de Áreas - Campos de Lagoa Piabanha e Lagoa Parda Norte - Bacia do Espírito Santo.</w:t>
            </w:r>
          </w:p>
        </w:tc>
        <w:tc>
          <w:tcPr>
            <w:tcW w:w="886" w:type="dxa"/>
            <w:vAlign w:val="center"/>
            <w:hideMark/>
          </w:tcPr>
          <w:p w14:paraId="5E0DE95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56BE70A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570/2023</w:t>
            </w:r>
          </w:p>
        </w:tc>
        <w:tc>
          <w:tcPr>
            <w:tcW w:w="855" w:type="dxa"/>
            <w:vAlign w:val="center"/>
            <w:hideMark/>
          </w:tcPr>
          <w:p w14:paraId="62F45E4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53D2B38C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48610.227052/2023-74, no Despacho de Proposta para Deliberação da Diretoria nº 70/2023/SDP, na Nota Técnica nº 195/2023/SDP/ANP-RJ, no Parecer nº 288/2023/PFANP/PGF/AGU e no Despacho nº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3817/2023/PFANP/PGF/AGU, resolve, por unanimidade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anexação da totalidade da Área de Desenvolvimento do Campo de Lagoa Piabanha (Contrato de Concessão nº 48000.003755/97-06) à da Concessão de Lagoa Parda Norte (Contrato de Concessão nº 48000.003754/97-35), localizados na Bacia do Espírito Santo e operados pela empresa Capixaba Energia Ltda.</w:t>
            </w:r>
          </w:p>
        </w:tc>
        <w:tc>
          <w:tcPr>
            <w:tcW w:w="731" w:type="dxa"/>
            <w:vAlign w:val="center"/>
            <w:hideMark/>
          </w:tcPr>
          <w:p w14:paraId="0EE85339" w14:textId="7F6801DC" w:rsidR="005803BE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  <w:p w14:paraId="553EDA33" w14:textId="41DD34A8" w:rsidR="00E230BA" w:rsidRPr="00E230BA" w:rsidRDefault="005803BE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DIR 2 Ausente da votação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614A52E0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786EED9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468/2023/SGE-CIRCUITO/SGE</w:t>
            </w:r>
          </w:p>
        </w:tc>
        <w:tc>
          <w:tcPr>
            <w:tcW w:w="2124" w:type="dxa"/>
            <w:vAlign w:val="center"/>
            <w:hideMark/>
          </w:tcPr>
          <w:p w14:paraId="529E1A0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48600.201951/2022-85</w:t>
            </w:r>
          </w:p>
        </w:tc>
        <w:tc>
          <w:tcPr>
            <w:tcW w:w="851" w:type="dxa"/>
            <w:vAlign w:val="center"/>
            <w:hideMark/>
          </w:tcPr>
          <w:p w14:paraId="1659DD7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940" w:type="dxa"/>
            <w:vAlign w:val="center"/>
            <w:hideMark/>
          </w:tcPr>
          <w:p w14:paraId="1091939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PROGRAMA DE MONITORAMENTO E QUALIDADE DO BIODIESEL E ÓLEO DIESEL A -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PMQBio</w:t>
            </w:r>
            <w:proofErr w:type="spellEnd"/>
          </w:p>
        </w:tc>
        <w:tc>
          <w:tcPr>
            <w:tcW w:w="886" w:type="dxa"/>
            <w:vAlign w:val="center"/>
            <w:hideMark/>
          </w:tcPr>
          <w:p w14:paraId="3BD7E9A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652AEDA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569/2023</w:t>
            </w:r>
          </w:p>
        </w:tc>
        <w:tc>
          <w:tcPr>
            <w:tcW w:w="855" w:type="dxa"/>
            <w:vAlign w:val="center"/>
            <w:hideMark/>
          </w:tcPr>
          <w:p w14:paraId="3AEB040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6506E991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48600.201951/2022-85, no Despacho de Proposta para Deliberação da Diretoria nº 6/2023/SBQ-CPT-CLI/SBQ (3454047), nas Notas Técnicas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27, 34 e 39/2023/SBQ-CPT-CLI/SBQ/ANP-DF (3252588, 3396288 e 3447757) e no Parecer e Despachos emitidos pela Procuradoria Federal junto à ANP (3446561, 3446573 e 3446583), resolve, por unanimidade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Aprovar a realização do processo licitatório prescrito no art. 6º da Resolução ANP nº 860, de 6 de dezembro de 2021, consoante os termos do Edital nº 28/2023, com vistas ao credenciamento de laboratórios para a execução do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PMQBio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em todas as regiões do país.</w:t>
            </w:r>
          </w:p>
        </w:tc>
        <w:tc>
          <w:tcPr>
            <w:tcW w:w="731" w:type="dxa"/>
            <w:vAlign w:val="center"/>
            <w:hideMark/>
          </w:tcPr>
          <w:p w14:paraId="48116566" w14:textId="541C4982" w:rsidR="005803BE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  <w:p w14:paraId="553B5C21" w14:textId="69762C51" w:rsidR="00E230BA" w:rsidRPr="00E230BA" w:rsidRDefault="005803BE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DIR 2 Ausente da votação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48336F09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7B5A42F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467/2023/SGE-CIRCUITO/SGE</w:t>
            </w:r>
          </w:p>
        </w:tc>
        <w:tc>
          <w:tcPr>
            <w:tcW w:w="2124" w:type="dxa"/>
            <w:vAlign w:val="center"/>
            <w:hideMark/>
          </w:tcPr>
          <w:p w14:paraId="50C938D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48600.001132/2018-53, 48610.208683/2020-41, 48610.218283/2020-44, 48611.200332/2020-82, 48611.200647/2020-20, 48611.200097/2020-49, 48610.214374/2020-19, 48620.000536/2018-91</w:t>
            </w:r>
          </w:p>
        </w:tc>
        <w:tc>
          <w:tcPr>
            <w:tcW w:w="851" w:type="dxa"/>
            <w:vAlign w:val="center"/>
            <w:hideMark/>
          </w:tcPr>
          <w:p w14:paraId="52970C1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940" w:type="dxa"/>
            <w:vAlign w:val="center"/>
            <w:hideMark/>
          </w:tcPr>
          <w:p w14:paraId="07B7A2B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886" w:type="dxa"/>
            <w:vAlign w:val="center"/>
            <w:hideMark/>
          </w:tcPr>
          <w:p w14:paraId="2AEA814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016E541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568/2023</w:t>
            </w:r>
          </w:p>
        </w:tc>
        <w:tc>
          <w:tcPr>
            <w:tcW w:w="855" w:type="dxa"/>
            <w:vAlign w:val="center"/>
            <w:hideMark/>
          </w:tcPr>
          <w:p w14:paraId="009DB5C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30/10/23</w:t>
            </w:r>
          </w:p>
        </w:tc>
        <w:tc>
          <w:tcPr>
            <w:tcW w:w="3769" w:type="dxa"/>
            <w:vAlign w:val="center"/>
            <w:hideMark/>
          </w:tcPr>
          <w:p w14:paraId="3D535395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48600.001132/2018-53, 48610.208683/2020-41, 48610.218283/2020-44, 48611.200332/2020-82, 48611.200647/2020-20, 48611.200097/2020-49, 48610.214374/2020-19 e 48620.000536/2018-91, no Despacho de Proposta para Deliberação da Diretoria nº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93/2023/SFI-CREV/SFI (3364246) e nos Despachos nº 221/2023/SFI-CREV/SFI/ANP-RJ (3021913), nº 231/2023/SFI-CREV/SFI/ANP-RJ (3034200) nº 229/2023/SFI-CREV/SFI/ANP-RJ (3030500), nº 274/2023/SFI-CREV/SFI/ANP-RJ (3087687), nº 219/2023/SFI-CREV/SFI/ANP-RJ (3018624), nº 366/2023/SFI-CREV/SFI/ANP-RJ (3177549), nº 353/2023/SFI-CREV/SFI/ANP-RJ (3163275) e nº 016/2023/SFI-CREV/SFI/ANP-RJ (2732861), resolve, por unanimidade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Negar provimento aos recursos interpostos pelos Revendedores Varejistas de Combustíveis PETRO FORTE COMBUSTÍVEIS LTDA, POSTO BONSUCESSO LTDA, RENOVA COMÉRCIO DE COMBUSTÍVEL E SERVIÇOS LTDA, M SEABRA &amp; CIA LTDA, TORRES COMÉRCIO E DERIVADOS DE PETRÓLEO LTDA, PETROMERC DERIVADOS DE PETRÓLEO LTDA, J R CORDEIRO COMBUSTÍVEIS LTDA – EPP, SETA COMÉRCIO DE DERIVADOS DE PETRÓLEO LTDA, com manutenção da decisão de 1ª instância, que determina a aplicação de pena pecuniária.</w:t>
            </w:r>
          </w:p>
        </w:tc>
        <w:tc>
          <w:tcPr>
            <w:tcW w:w="731" w:type="dxa"/>
            <w:vAlign w:val="center"/>
            <w:hideMark/>
          </w:tcPr>
          <w:p w14:paraId="026A69CC" w14:textId="50987589" w:rsidR="005803BE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  <w:p w14:paraId="40BA5A9F" w14:textId="32DD0626" w:rsidR="00E230BA" w:rsidRPr="00E230BA" w:rsidRDefault="005803BE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DIR 2 Ausente da votação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6D45FB43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78378DF9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469/2023/SGE-CIRCUITO/SGE</w:t>
            </w:r>
          </w:p>
        </w:tc>
        <w:tc>
          <w:tcPr>
            <w:tcW w:w="2124" w:type="dxa"/>
            <w:vAlign w:val="center"/>
            <w:hideMark/>
          </w:tcPr>
          <w:p w14:paraId="064E844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48610.221729/2021-07</w:t>
            </w:r>
          </w:p>
        </w:tc>
        <w:tc>
          <w:tcPr>
            <w:tcW w:w="851" w:type="dxa"/>
            <w:vAlign w:val="center"/>
            <w:hideMark/>
          </w:tcPr>
          <w:p w14:paraId="0D34F37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940" w:type="dxa"/>
            <w:vAlign w:val="center"/>
            <w:hideMark/>
          </w:tcPr>
          <w:p w14:paraId="436C7F4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Segundo aditamento para reajuste e prorrogação da vigência do Contrato nº 1.026/21 firmado com a UFRN para execução do PMQC nos estados da Paraíba e Rio Grande do Norte.</w:t>
            </w:r>
          </w:p>
        </w:tc>
        <w:tc>
          <w:tcPr>
            <w:tcW w:w="886" w:type="dxa"/>
            <w:vAlign w:val="center"/>
            <w:hideMark/>
          </w:tcPr>
          <w:p w14:paraId="345CCF3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2" w:type="dxa"/>
            <w:noWrap/>
            <w:vAlign w:val="center"/>
            <w:hideMark/>
          </w:tcPr>
          <w:p w14:paraId="67856E4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567/2023</w:t>
            </w:r>
          </w:p>
        </w:tc>
        <w:tc>
          <w:tcPr>
            <w:tcW w:w="855" w:type="dxa"/>
            <w:vAlign w:val="center"/>
            <w:hideMark/>
          </w:tcPr>
          <w:p w14:paraId="04E5889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74B50188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48610.221729/2021-07, no Despacho de Proposta para Deliberação da Diretoria nº 15/2023/SBQ-CGC/SBQ (3464568), na Nota Técnica nº 19/2023/SBQ-CGC/SBQ/ANP-RJ (3375231) e no Parecer nº 387/2023/SFO/ANP-RJ (3446178),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Autorizar a celebração do 2º aditivo ao Contrato nº 1.026/21 para prorrogar sua vigência pelo período adicional de 12 (doze) meses, de 19 de novembro de 2023 a 19 de novembro de 2024, e reajustar os valores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unitários do contrato em aproximadamente 3,99%, referente ao índice do IPCA/IBGE, do período de agosto/2022 a julho/2023, sendo o valor total do Aditivo de R$ 2.553.865,17 (dois milhões e quinhentos e cinquenta e três mil oitocentos e sessenta e cinco reais e dezessete centavos).</w:t>
            </w:r>
          </w:p>
        </w:tc>
        <w:tc>
          <w:tcPr>
            <w:tcW w:w="731" w:type="dxa"/>
            <w:vAlign w:val="center"/>
            <w:hideMark/>
          </w:tcPr>
          <w:p w14:paraId="5F08BCF5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7B0152D4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30C527A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466/2023/SGE-CIRCUITO/SGE</w:t>
            </w:r>
          </w:p>
        </w:tc>
        <w:tc>
          <w:tcPr>
            <w:tcW w:w="2124" w:type="dxa"/>
            <w:vAlign w:val="center"/>
            <w:hideMark/>
          </w:tcPr>
          <w:p w14:paraId="168E5A1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48610.205767/2019-90</w:t>
            </w:r>
          </w:p>
        </w:tc>
        <w:tc>
          <w:tcPr>
            <w:tcW w:w="851" w:type="dxa"/>
            <w:vAlign w:val="center"/>
            <w:hideMark/>
          </w:tcPr>
          <w:p w14:paraId="6E227E2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940" w:type="dxa"/>
            <w:vAlign w:val="center"/>
            <w:hideMark/>
          </w:tcPr>
          <w:p w14:paraId="3C4E12D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7º Termo Aditivo ao Contrato nº 9.035/19, de prestação de serviços continuados de apoio administrativo e serviços auxiliares no Escritório Central da ANP.</w:t>
            </w:r>
          </w:p>
        </w:tc>
        <w:tc>
          <w:tcPr>
            <w:tcW w:w="886" w:type="dxa"/>
            <w:vAlign w:val="center"/>
            <w:hideMark/>
          </w:tcPr>
          <w:p w14:paraId="1A36251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2A38B7EC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566/2023</w:t>
            </w:r>
          </w:p>
        </w:tc>
        <w:tc>
          <w:tcPr>
            <w:tcW w:w="855" w:type="dxa"/>
            <w:vAlign w:val="center"/>
            <w:hideMark/>
          </w:tcPr>
          <w:p w14:paraId="5CF49BC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2F09AA64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48610.205767/2019-90, no Despacho de Proposta para Deliberação da Diretoria nº 5/2023/SGP-CAP/SGP (SEI nº 3428864), na Nota Técnica nº 73/2023/SGP-CAP/SGP/ANP-RJ (SEI 3414505), no Parecer nº 304/2023/PFANP/PGF/AGU (3478418), aprovado pelo Despacho nº 04022/2023/PFANP/PGF/AGU (3478419) e no Parecer nº 384/2023/SFO/ANP-RJ (SEI nº 3441655),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o aditamento ao Contrato nº 9.035/19, firmado entre a ANP e a empresa Plataforma Terceirização de Serviços EIRELI, para prestação de serviços continuados de apoio administrativo e serviços auxiliares, acrescendo 2 (dois) postos de Recepcionista Especializada e 1 (um) posto de Secretária a partir de 1º de novembro de 2023.</w:t>
            </w:r>
          </w:p>
        </w:tc>
        <w:tc>
          <w:tcPr>
            <w:tcW w:w="731" w:type="dxa"/>
            <w:vAlign w:val="center"/>
            <w:hideMark/>
          </w:tcPr>
          <w:p w14:paraId="20DA8A8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1CA8958C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7CD37D8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465/2023/SGE-CIRCUITO/SGE</w:t>
            </w:r>
          </w:p>
        </w:tc>
        <w:tc>
          <w:tcPr>
            <w:tcW w:w="2124" w:type="dxa"/>
            <w:vAlign w:val="center"/>
            <w:hideMark/>
          </w:tcPr>
          <w:p w14:paraId="5883C79C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48610.201578/2019-48</w:t>
            </w:r>
          </w:p>
        </w:tc>
        <w:tc>
          <w:tcPr>
            <w:tcW w:w="851" w:type="dxa"/>
            <w:vAlign w:val="center"/>
            <w:hideMark/>
          </w:tcPr>
          <w:p w14:paraId="528D999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940" w:type="dxa"/>
            <w:vAlign w:val="center"/>
            <w:hideMark/>
          </w:tcPr>
          <w:p w14:paraId="1D4A219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Aprovação das minutas da Instrução Normativa da Política de Segurança da Informação e Comunicações (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Posic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), da Portaria de instituição da Equipe de Prevenção, Tratamento e Resposta a Incidentes Cibernéticos (ETIR) e da Portaria de alteração da Portaria ANP nº 102, de 1º de fevereiro de 2022.</w:t>
            </w:r>
          </w:p>
        </w:tc>
        <w:tc>
          <w:tcPr>
            <w:tcW w:w="886" w:type="dxa"/>
            <w:vAlign w:val="center"/>
            <w:hideMark/>
          </w:tcPr>
          <w:p w14:paraId="3FF7F26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261C258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565/2023</w:t>
            </w:r>
          </w:p>
        </w:tc>
        <w:tc>
          <w:tcPr>
            <w:tcW w:w="855" w:type="dxa"/>
            <w:vAlign w:val="center"/>
            <w:hideMark/>
          </w:tcPr>
          <w:p w14:paraId="20D77A8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0584CE36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48610.201578/2019-48, no Despacho de Proposta para Deliberação da Diretoria nº 10/2023/SGE (SEI 3453897), no Parecer nº 260/2023/PFANP/PGF/AGU (SEI 3362965) aprovado pelo Despacho PRG nº 3434/2023/PFANP/PGF/AGU (SEI 3362973) e na Nota Técnica nº 5/2023/SGE/ANP-RJ (3453444),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 xml:space="preserve">Aprovar a minuta da Instrução Normativa da Política de Segurança da Informação e Comunicações - </w:t>
            </w:r>
            <w:proofErr w:type="spellStart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Posic</w:t>
            </w:r>
            <w:proofErr w:type="spellEnd"/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da ANP (SEI 3372575); a minuta da Portaria de instituição da Equipe de Prevenção, Tratamento e Resposta a Incidentes Cibernéticos - ETIR da ANP (SEI 3437475); e a minuta da Portaria de alteração da Portaria ANP nº 102, de 2022 (SEI 3437364)</w:t>
            </w:r>
          </w:p>
        </w:tc>
        <w:tc>
          <w:tcPr>
            <w:tcW w:w="731" w:type="dxa"/>
            <w:vAlign w:val="center"/>
            <w:hideMark/>
          </w:tcPr>
          <w:p w14:paraId="52E7AB6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46DAFFE2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0A7DD5A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464/2023/SGE-CIRCUITO/SGE</w:t>
            </w:r>
          </w:p>
        </w:tc>
        <w:tc>
          <w:tcPr>
            <w:tcW w:w="2124" w:type="dxa"/>
            <w:vAlign w:val="center"/>
            <w:hideMark/>
          </w:tcPr>
          <w:p w14:paraId="18795D0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48610.016648/2011-15</w:t>
            </w:r>
          </w:p>
        </w:tc>
        <w:tc>
          <w:tcPr>
            <w:tcW w:w="851" w:type="dxa"/>
            <w:vAlign w:val="center"/>
            <w:hideMark/>
          </w:tcPr>
          <w:p w14:paraId="02F3943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940" w:type="dxa"/>
            <w:vAlign w:val="center"/>
            <w:hideMark/>
          </w:tcPr>
          <w:p w14:paraId="5589C95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Estabelecer a metodologia de desenvolvimento do novo Sistema de Informações Gerenciais de Exploração e Produção - SIGEP e criar o subcomitê de acompanhamento, vinculado ao Comitê de TI.</w:t>
            </w:r>
          </w:p>
        </w:tc>
        <w:tc>
          <w:tcPr>
            <w:tcW w:w="886" w:type="dxa"/>
            <w:vAlign w:val="center"/>
            <w:hideMark/>
          </w:tcPr>
          <w:p w14:paraId="21FCD8E9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7C1A1AC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564/2023</w:t>
            </w:r>
          </w:p>
        </w:tc>
        <w:tc>
          <w:tcPr>
            <w:tcW w:w="855" w:type="dxa"/>
            <w:vAlign w:val="center"/>
            <w:hideMark/>
          </w:tcPr>
          <w:p w14:paraId="1081ACEB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59D3736F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48610.016648/2011-15 e no Despacho de Proposta para Deliberação da Diretoria nº 2/2023/STI (SEI 3431874), resolve, por maioria entre os votantes: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I) aprovar a metodologia de desenvolvimento do novo Sistema de Informações Gerenciais de Exploração e Produção - SIGEP e a criação do subcomitê de acompanhamento do projeto, vinculado ao Comitê de TI; e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II) determinar à SFO que apresente à Diretoria Colegiada, por meio do Relator Natural, proposta de alocação dos recursos orçamentários disponíveis à ANP para o orçamento de 2024.</w:t>
            </w:r>
          </w:p>
        </w:tc>
        <w:tc>
          <w:tcPr>
            <w:tcW w:w="731" w:type="dxa"/>
            <w:vAlign w:val="center"/>
            <w:hideMark/>
          </w:tcPr>
          <w:p w14:paraId="0985F606" w14:textId="77777777" w:rsidR="00D5182D" w:rsidRPr="00EF1BD0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</w:p>
          <w:p w14:paraId="20004EC8" w14:textId="0841D576" w:rsidR="00E230BA" w:rsidRPr="00E230BA" w:rsidRDefault="00D5182D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F1BD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</w:t>
            </w:r>
            <w:r w:rsidR="00E230BA" w:rsidRPr="00E230BA">
              <w:rPr>
                <w:rFonts w:eastAsia="Times New Roman" w:cstheme="minorHAnsi"/>
                <w:sz w:val="20"/>
                <w:szCs w:val="20"/>
                <w:lang w:eastAsia="pt-BR"/>
              </w:rPr>
              <w:t>DG e DIR 4 ausentes da votação alternativa</w:t>
            </w:r>
            <w:r w:rsidRPr="00EF1BD0">
              <w:rPr>
                <w:rFonts w:eastAsia="Times New Roman" w:cstheme="minorHAnsi"/>
                <w:sz w:val="20"/>
                <w:szCs w:val="20"/>
                <w:lang w:eastAsia="pt-BR"/>
              </w:rPr>
              <w:t>)</w:t>
            </w:r>
          </w:p>
        </w:tc>
      </w:tr>
      <w:tr w:rsidR="001764C9" w:rsidRPr="00EF1BD0" w14:paraId="3FD562C7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5A9767E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463/2023/SGE-CIRCUITO/SGE</w:t>
            </w:r>
          </w:p>
        </w:tc>
        <w:tc>
          <w:tcPr>
            <w:tcW w:w="2124" w:type="dxa"/>
            <w:vAlign w:val="center"/>
            <w:hideMark/>
          </w:tcPr>
          <w:p w14:paraId="7D79EAD9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48610.203227/2023-58</w:t>
            </w:r>
          </w:p>
        </w:tc>
        <w:tc>
          <w:tcPr>
            <w:tcW w:w="851" w:type="dxa"/>
            <w:vAlign w:val="center"/>
            <w:hideMark/>
          </w:tcPr>
          <w:p w14:paraId="4933702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SCI</w:t>
            </w:r>
          </w:p>
        </w:tc>
        <w:tc>
          <w:tcPr>
            <w:tcW w:w="2940" w:type="dxa"/>
            <w:vAlign w:val="center"/>
            <w:hideMark/>
          </w:tcPr>
          <w:p w14:paraId="55637D89" w14:textId="0D59A10F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Deliberação da Diretoria Colegiada sobre a concorrência nº 20/2023, para contratação de serviços de comunicação corporativa.</w:t>
            </w:r>
          </w:p>
        </w:tc>
        <w:tc>
          <w:tcPr>
            <w:tcW w:w="886" w:type="dxa"/>
            <w:vAlign w:val="center"/>
            <w:hideMark/>
          </w:tcPr>
          <w:p w14:paraId="64D3CF0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2CBA2CB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563/2023</w:t>
            </w:r>
          </w:p>
        </w:tc>
        <w:tc>
          <w:tcPr>
            <w:tcW w:w="855" w:type="dxa"/>
            <w:vAlign w:val="center"/>
            <w:hideMark/>
          </w:tcPr>
          <w:p w14:paraId="7D5234E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55C48C9C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48610.203227/2023-58, no Despacho de Proposta para Deliberação da Diretoria 6 (SEI nº 3444915), no Parecer nº 214/2023/SFO/ANP-RJ (SEI nº 3199406) e no Parecer nº 278/2023/PFANP/PGF/AGU, aprovado pelo Despacho nº 3760/2023/PFANP/PGF/AGU (SEI nº 3421595),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 xml:space="preserve">Aprovar a realização da Concorrência nº 20/2023 para serviços de comunicação 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corporativa e a constituição da comissão especial designada para esta licitação.</w:t>
            </w:r>
          </w:p>
        </w:tc>
        <w:tc>
          <w:tcPr>
            <w:tcW w:w="731" w:type="dxa"/>
            <w:vAlign w:val="center"/>
            <w:hideMark/>
          </w:tcPr>
          <w:p w14:paraId="70531EE6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0C9D239E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783B44A1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462/2023/SGE-CIRCUITO/SGE</w:t>
            </w:r>
          </w:p>
        </w:tc>
        <w:tc>
          <w:tcPr>
            <w:tcW w:w="2124" w:type="dxa"/>
            <w:vAlign w:val="center"/>
            <w:hideMark/>
          </w:tcPr>
          <w:p w14:paraId="14C4DA9D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48610.228254/2023-33</w:t>
            </w:r>
          </w:p>
        </w:tc>
        <w:tc>
          <w:tcPr>
            <w:tcW w:w="851" w:type="dxa"/>
            <w:vAlign w:val="center"/>
            <w:hideMark/>
          </w:tcPr>
          <w:p w14:paraId="5F0371E7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2940" w:type="dxa"/>
            <w:vAlign w:val="center"/>
            <w:hideMark/>
          </w:tcPr>
          <w:p w14:paraId="2235A5F4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Indicações da Diretoria Colegiada da ANP para a composição da lista de substituição.</w:t>
            </w:r>
          </w:p>
        </w:tc>
        <w:tc>
          <w:tcPr>
            <w:tcW w:w="886" w:type="dxa"/>
            <w:vAlign w:val="center"/>
            <w:hideMark/>
          </w:tcPr>
          <w:p w14:paraId="7F2C3EDA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5F7440C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562/2023</w:t>
            </w:r>
          </w:p>
        </w:tc>
        <w:tc>
          <w:tcPr>
            <w:tcW w:w="855" w:type="dxa"/>
            <w:vAlign w:val="center"/>
            <w:hideMark/>
          </w:tcPr>
          <w:p w14:paraId="09E52D38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38046F8C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48610.228254/2023-33 e no Despacho de Proposta para Deliberação da Diretoria nº 11/2023/SGE,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Aprovar a relação dos servidores a serem indicados à Presidência da República para compor a lista de substituição de que trata o art. 10 da Lei nº 9.986, de 18 de julho de 2000.</w:t>
            </w:r>
          </w:p>
        </w:tc>
        <w:tc>
          <w:tcPr>
            <w:tcW w:w="731" w:type="dxa"/>
            <w:vAlign w:val="center"/>
            <w:hideMark/>
          </w:tcPr>
          <w:p w14:paraId="1D381C29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764C9" w:rsidRPr="00EF1BD0" w14:paraId="5E82BF41" w14:textId="77777777" w:rsidTr="00EF1BD0">
        <w:trPr>
          <w:trHeight w:val="20"/>
        </w:trPr>
        <w:tc>
          <w:tcPr>
            <w:tcW w:w="1412" w:type="dxa"/>
            <w:vAlign w:val="center"/>
            <w:hideMark/>
          </w:tcPr>
          <w:p w14:paraId="036C2C4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461/2023/SGE-CIRCUITO/SGE</w:t>
            </w:r>
          </w:p>
        </w:tc>
        <w:tc>
          <w:tcPr>
            <w:tcW w:w="2124" w:type="dxa"/>
            <w:vAlign w:val="center"/>
            <w:hideMark/>
          </w:tcPr>
          <w:p w14:paraId="67EA9AD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48610.226147/2022-90</w:t>
            </w:r>
          </w:p>
        </w:tc>
        <w:tc>
          <w:tcPr>
            <w:tcW w:w="851" w:type="dxa"/>
            <w:vAlign w:val="center"/>
            <w:hideMark/>
          </w:tcPr>
          <w:p w14:paraId="2E442E0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940" w:type="dxa"/>
            <w:vAlign w:val="center"/>
            <w:hideMark/>
          </w:tcPr>
          <w:p w14:paraId="08A5EA22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Contratação de serviços técnicos especializados - Serviços de Análise de Requisitos, Sistemas e Processos.</w:t>
            </w:r>
          </w:p>
        </w:tc>
        <w:tc>
          <w:tcPr>
            <w:tcW w:w="886" w:type="dxa"/>
            <w:vAlign w:val="center"/>
            <w:hideMark/>
          </w:tcPr>
          <w:p w14:paraId="6013C0F0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2" w:type="dxa"/>
            <w:noWrap/>
            <w:vAlign w:val="center"/>
            <w:hideMark/>
          </w:tcPr>
          <w:p w14:paraId="70DDA5EE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561/2023</w:t>
            </w:r>
          </w:p>
        </w:tc>
        <w:tc>
          <w:tcPr>
            <w:tcW w:w="855" w:type="dxa"/>
            <w:vAlign w:val="center"/>
            <w:hideMark/>
          </w:tcPr>
          <w:p w14:paraId="02338723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27/10/23</w:t>
            </w:r>
          </w:p>
        </w:tc>
        <w:tc>
          <w:tcPr>
            <w:tcW w:w="3769" w:type="dxa"/>
            <w:vAlign w:val="center"/>
            <w:hideMark/>
          </w:tcPr>
          <w:p w14:paraId="0DD3FDF1" w14:textId="77777777" w:rsidR="00E230BA" w:rsidRPr="00E230BA" w:rsidRDefault="00E230BA" w:rsidP="00EF1B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48610.226147/2022-90, no Despacho de Proposta para Deliberação da Diretoria nº 16 (SEI nº 2548564), no Termo de Referência - Projeto Básico nº 43/2023 (SEI nº 3325072), na Nota Técnica nº 85/2023/STI-CONT/STI/ANP-RJ (SEI nº 3295439), no Parecer nº 298/2023/SFO/ANP-RJ (SEI nº 3347923) e no Parecer nº 1155/2023/NLC/ETRLIC/PGF/AGU aprovado pelo Despachos nº 3646/2023/PFANP/PGF/AGU e nº 3757/2023/PFANP/PGF/AGU (SEI nº 3421632) resolve, por unanimidade: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Autorizar a realização de pregão eletrônico para contratação de serviços técnicos especializados em tecnologia da informação relativos ao grupo de especialização, processos e desenvolvimento de sistemas, pelo período inicial de 12 meses.</w:t>
            </w:r>
          </w:p>
        </w:tc>
        <w:tc>
          <w:tcPr>
            <w:tcW w:w="731" w:type="dxa"/>
            <w:vAlign w:val="center"/>
            <w:hideMark/>
          </w:tcPr>
          <w:p w14:paraId="18C1D12F" w14:textId="77777777" w:rsidR="00E230BA" w:rsidRPr="00E230BA" w:rsidRDefault="00E230BA" w:rsidP="00EF1B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DG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E230B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56E239B6" w:rsidR="0092162E" w:rsidRPr="00A445A9" w:rsidRDefault="0092162E" w:rsidP="00A445A9">
      <w:pPr>
        <w:spacing w:after="0" w:line="240" w:lineRule="auto"/>
        <w:rPr>
          <w:rFonts w:cstheme="minorHAnsi"/>
          <w:sz w:val="20"/>
          <w:szCs w:val="20"/>
        </w:rPr>
      </w:pPr>
    </w:p>
    <w:sectPr w:rsidR="0092162E" w:rsidRPr="00A445A9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C9F2" w14:textId="77777777" w:rsidR="00F51EA2" w:rsidRDefault="00F51EA2">
      <w:pPr>
        <w:spacing w:after="0" w:line="240" w:lineRule="auto"/>
      </w:pPr>
      <w:r>
        <w:separator/>
      </w:r>
    </w:p>
  </w:endnote>
  <w:endnote w:type="continuationSeparator" w:id="0">
    <w:p w14:paraId="3375BB7B" w14:textId="77777777" w:rsidR="00F51EA2" w:rsidRDefault="00F51EA2">
      <w:pPr>
        <w:spacing w:after="0" w:line="240" w:lineRule="auto"/>
      </w:pPr>
      <w:r>
        <w:continuationSeparator/>
      </w:r>
    </w:p>
  </w:endnote>
  <w:endnote w:type="continuationNotice" w:id="1">
    <w:p w14:paraId="6F963967" w14:textId="77777777" w:rsidR="00F51EA2" w:rsidRDefault="00F51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A5E3" w14:textId="77777777" w:rsidR="00F51EA2" w:rsidRDefault="00F51EA2">
      <w:pPr>
        <w:spacing w:after="0" w:line="240" w:lineRule="auto"/>
      </w:pPr>
      <w:r>
        <w:separator/>
      </w:r>
    </w:p>
  </w:footnote>
  <w:footnote w:type="continuationSeparator" w:id="0">
    <w:p w14:paraId="5372E1AA" w14:textId="77777777" w:rsidR="00F51EA2" w:rsidRDefault="00F51EA2">
      <w:pPr>
        <w:spacing w:after="0" w:line="240" w:lineRule="auto"/>
      </w:pPr>
      <w:r>
        <w:continuationSeparator/>
      </w:r>
    </w:p>
  </w:footnote>
  <w:footnote w:type="continuationNotice" w:id="1">
    <w:p w14:paraId="5EA8989F" w14:textId="77777777" w:rsidR="00F51EA2" w:rsidRDefault="00F51EA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609"/>
    <w:rsid w:val="000A5C94"/>
    <w:rsid w:val="000C425E"/>
    <w:rsid w:val="000D49B2"/>
    <w:rsid w:val="0011777C"/>
    <w:rsid w:val="0014298E"/>
    <w:rsid w:val="0014548C"/>
    <w:rsid w:val="001764C9"/>
    <w:rsid w:val="001933AB"/>
    <w:rsid w:val="001A7022"/>
    <w:rsid w:val="001B39BC"/>
    <w:rsid w:val="001C2083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1749B"/>
    <w:rsid w:val="0032443A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F3B5B"/>
    <w:rsid w:val="00404259"/>
    <w:rsid w:val="00410E8B"/>
    <w:rsid w:val="00412CFB"/>
    <w:rsid w:val="004218F9"/>
    <w:rsid w:val="00422EFF"/>
    <w:rsid w:val="00424578"/>
    <w:rsid w:val="0043697C"/>
    <w:rsid w:val="004376CF"/>
    <w:rsid w:val="004709CA"/>
    <w:rsid w:val="00490D1A"/>
    <w:rsid w:val="0049662F"/>
    <w:rsid w:val="004A42BA"/>
    <w:rsid w:val="004B2C83"/>
    <w:rsid w:val="004C6D98"/>
    <w:rsid w:val="004D4BE5"/>
    <w:rsid w:val="00515392"/>
    <w:rsid w:val="005177A6"/>
    <w:rsid w:val="005365EB"/>
    <w:rsid w:val="00537BA5"/>
    <w:rsid w:val="0054127E"/>
    <w:rsid w:val="005421F9"/>
    <w:rsid w:val="00544279"/>
    <w:rsid w:val="005450C1"/>
    <w:rsid w:val="005654DB"/>
    <w:rsid w:val="005803BE"/>
    <w:rsid w:val="00583F81"/>
    <w:rsid w:val="0059201B"/>
    <w:rsid w:val="00592AAB"/>
    <w:rsid w:val="005C6C23"/>
    <w:rsid w:val="005D6BA8"/>
    <w:rsid w:val="006303EB"/>
    <w:rsid w:val="006365C9"/>
    <w:rsid w:val="00636611"/>
    <w:rsid w:val="00662B2E"/>
    <w:rsid w:val="0066566D"/>
    <w:rsid w:val="00677296"/>
    <w:rsid w:val="00677FA8"/>
    <w:rsid w:val="00683E2C"/>
    <w:rsid w:val="006937D4"/>
    <w:rsid w:val="006C53F7"/>
    <w:rsid w:val="006C64F3"/>
    <w:rsid w:val="006E2DB8"/>
    <w:rsid w:val="007027E9"/>
    <w:rsid w:val="00706901"/>
    <w:rsid w:val="00722F04"/>
    <w:rsid w:val="007234EA"/>
    <w:rsid w:val="00724FB2"/>
    <w:rsid w:val="00735548"/>
    <w:rsid w:val="00740990"/>
    <w:rsid w:val="00754830"/>
    <w:rsid w:val="007602EC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42003"/>
    <w:rsid w:val="00852FAB"/>
    <w:rsid w:val="00857457"/>
    <w:rsid w:val="00881146"/>
    <w:rsid w:val="008848DF"/>
    <w:rsid w:val="00887904"/>
    <w:rsid w:val="008D1801"/>
    <w:rsid w:val="008E0C97"/>
    <w:rsid w:val="008F3D6E"/>
    <w:rsid w:val="008F4F21"/>
    <w:rsid w:val="0090672F"/>
    <w:rsid w:val="0092162E"/>
    <w:rsid w:val="00943236"/>
    <w:rsid w:val="009709E3"/>
    <w:rsid w:val="0097594B"/>
    <w:rsid w:val="009C4F37"/>
    <w:rsid w:val="009D1659"/>
    <w:rsid w:val="009E5162"/>
    <w:rsid w:val="009F2511"/>
    <w:rsid w:val="009F4354"/>
    <w:rsid w:val="00A01A3D"/>
    <w:rsid w:val="00A0432E"/>
    <w:rsid w:val="00A27052"/>
    <w:rsid w:val="00A35025"/>
    <w:rsid w:val="00A445A9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76142"/>
    <w:rsid w:val="00B832C1"/>
    <w:rsid w:val="00B85B37"/>
    <w:rsid w:val="00BB690B"/>
    <w:rsid w:val="00C02D7E"/>
    <w:rsid w:val="00C35641"/>
    <w:rsid w:val="00C8351F"/>
    <w:rsid w:val="00C97619"/>
    <w:rsid w:val="00CA053F"/>
    <w:rsid w:val="00CA20E3"/>
    <w:rsid w:val="00CA7358"/>
    <w:rsid w:val="00CD336A"/>
    <w:rsid w:val="00CF1774"/>
    <w:rsid w:val="00CF24FC"/>
    <w:rsid w:val="00D10E0D"/>
    <w:rsid w:val="00D1266A"/>
    <w:rsid w:val="00D2323E"/>
    <w:rsid w:val="00D5182D"/>
    <w:rsid w:val="00D54708"/>
    <w:rsid w:val="00D57291"/>
    <w:rsid w:val="00D63B20"/>
    <w:rsid w:val="00D65736"/>
    <w:rsid w:val="00DC3406"/>
    <w:rsid w:val="00DC53FE"/>
    <w:rsid w:val="00DD6F74"/>
    <w:rsid w:val="00DF2AC8"/>
    <w:rsid w:val="00E1143E"/>
    <w:rsid w:val="00E21D16"/>
    <w:rsid w:val="00E230BA"/>
    <w:rsid w:val="00E3617A"/>
    <w:rsid w:val="00E474AD"/>
    <w:rsid w:val="00E81015"/>
    <w:rsid w:val="00E873CE"/>
    <w:rsid w:val="00EA0C85"/>
    <w:rsid w:val="00EB277F"/>
    <w:rsid w:val="00EC6C18"/>
    <w:rsid w:val="00EF1BD0"/>
    <w:rsid w:val="00F039FF"/>
    <w:rsid w:val="00F04685"/>
    <w:rsid w:val="00F46790"/>
    <w:rsid w:val="00F51EA2"/>
    <w:rsid w:val="00F671ED"/>
    <w:rsid w:val="00F74265"/>
    <w:rsid w:val="00F93281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2B502-66FB-472C-8440-B56F5B3F5312}">
  <ds:schemaRefs>
    <ds:schemaRef ds:uri="c78646fe-9350-4cb2-a54c-8c184bc32f3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0b286060-fae2-4565-9c9f-a69cf3616d7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5CDA94-58B8-48F3-AE98-2C4F1A10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3055</Words>
  <Characters>16502</Characters>
  <Application>Microsoft Office Word</Application>
  <DocSecurity>0</DocSecurity>
  <Lines>137</Lines>
  <Paragraphs>39</Paragraphs>
  <ScaleCrop>false</ScaleCrop>
  <Company/>
  <LinksUpToDate>false</LinksUpToDate>
  <CharactersWithSpaces>19518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97</cp:revision>
  <dcterms:created xsi:type="dcterms:W3CDTF">2023-06-15T23:38:00Z</dcterms:created>
  <dcterms:modified xsi:type="dcterms:W3CDTF">2023-11-03T13:45:00Z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