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1413"/>
        <w:gridCol w:w="2126"/>
        <w:gridCol w:w="851"/>
        <w:gridCol w:w="2948"/>
        <w:gridCol w:w="1162"/>
        <w:gridCol w:w="1042"/>
        <w:gridCol w:w="898"/>
        <w:gridCol w:w="3401"/>
        <w:gridCol w:w="719"/>
      </w:tblGrid>
      <w:tr w:rsidR="006937D4" w:rsidRPr="006937D4" w14:paraId="1EC490B8" w14:textId="77777777" w:rsidTr="006937D4">
        <w:trPr>
          <w:trHeight w:val="20"/>
        </w:trPr>
        <w:tc>
          <w:tcPr>
            <w:tcW w:w="14560" w:type="dxa"/>
            <w:gridSpan w:val="9"/>
            <w:shd w:val="clear" w:color="auto" w:fill="2E74B5" w:themeFill="accent5" w:themeFillShade="BF"/>
            <w:tcMar>
              <w:top w:w="15" w:type="dxa"/>
              <w:left w:w="15" w:type="dxa"/>
              <w:right w:w="15" w:type="dxa"/>
            </w:tcMar>
            <w:vAlign w:val="center"/>
          </w:tcPr>
          <w:p w14:paraId="4AFF92E4" w14:textId="1F952923" w:rsidR="7CAF8503" w:rsidRPr="006937D4" w:rsidRDefault="7CAF8503" w:rsidP="006937D4">
            <w:pPr>
              <w:spacing w:before="120" w:after="120" w:line="240" w:lineRule="auto"/>
              <w:jc w:val="center"/>
              <w:rPr>
                <w:rFonts w:cstheme="minorHAnsi"/>
                <w:color w:val="FFFFFF" w:themeColor="background1"/>
                <w:sz w:val="20"/>
                <w:szCs w:val="20"/>
              </w:rPr>
            </w:pPr>
            <w:r w:rsidRPr="006937D4">
              <w:rPr>
                <w:rFonts w:eastAsia="Calibri" w:cstheme="minorHAnsi"/>
                <w:b/>
                <w:bCs/>
                <w:color w:val="FFFFFF" w:themeColor="background1"/>
                <w:sz w:val="20"/>
                <w:szCs w:val="20"/>
              </w:rPr>
              <w:t>DECISÕES TOMADAS EM CIRCUITO DELIBERATIVO (01 a 07/09/2023)</w:t>
            </w:r>
          </w:p>
        </w:tc>
      </w:tr>
      <w:tr w:rsidR="001A7022" w:rsidRPr="001A7022" w14:paraId="6FE89821" w14:textId="77777777" w:rsidTr="006937D4">
        <w:trPr>
          <w:trHeight w:val="20"/>
        </w:trPr>
        <w:tc>
          <w:tcPr>
            <w:tcW w:w="1413" w:type="dxa"/>
            <w:shd w:val="clear" w:color="auto" w:fill="D5DCE4" w:themeFill="text2" w:themeFillTint="33"/>
            <w:tcMar>
              <w:top w:w="15" w:type="dxa"/>
              <w:left w:w="15" w:type="dxa"/>
              <w:right w:w="15" w:type="dxa"/>
            </w:tcMar>
            <w:vAlign w:val="center"/>
          </w:tcPr>
          <w:p w14:paraId="610BB241" w14:textId="433E1536"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Circuito Deliberativo</w:t>
            </w:r>
          </w:p>
        </w:tc>
        <w:tc>
          <w:tcPr>
            <w:tcW w:w="2126" w:type="dxa"/>
            <w:shd w:val="clear" w:color="auto" w:fill="D5DCE4" w:themeFill="text2" w:themeFillTint="33"/>
            <w:tcMar>
              <w:top w:w="15" w:type="dxa"/>
              <w:left w:w="15" w:type="dxa"/>
              <w:right w:w="15" w:type="dxa"/>
            </w:tcMar>
            <w:vAlign w:val="center"/>
          </w:tcPr>
          <w:p w14:paraId="6924AD96" w14:textId="150A4904"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Processo</w:t>
            </w:r>
          </w:p>
        </w:tc>
        <w:tc>
          <w:tcPr>
            <w:tcW w:w="851" w:type="dxa"/>
            <w:shd w:val="clear" w:color="auto" w:fill="D5DCE4" w:themeFill="text2" w:themeFillTint="33"/>
            <w:tcMar>
              <w:top w:w="15" w:type="dxa"/>
              <w:left w:w="15" w:type="dxa"/>
              <w:right w:w="15" w:type="dxa"/>
            </w:tcMar>
            <w:vAlign w:val="center"/>
          </w:tcPr>
          <w:p w14:paraId="5AB7993C" w14:textId="13177C9D"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Unidade Autora</w:t>
            </w:r>
          </w:p>
        </w:tc>
        <w:tc>
          <w:tcPr>
            <w:tcW w:w="2948" w:type="dxa"/>
            <w:shd w:val="clear" w:color="auto" w:fill="D5DCE4" w:themeFill="text2" w:themeFillTint="33"/>
            <w:tcMar>
              <w:top w:w="15" w:type="dxa"/>
              <w:left w:w="15" w:type="dxa"/>
              <w:right w:w="15" w:type="dxa"/>
            </w:tcMar>
            <w:vAlign w:val="center"/>
          </w:tcPr>
          <w:p w14:paraId="1D3837D2" w14:textId="4267BC84"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Assunto</w:t>
            </w:r>
          </w:p>
        </w:tc>
        <w:tc>
          <w:tcPr>
            <w:tcW w:w="1162" w:type="dxa"/>
            <w:shd w:val="clear" w:color="auto" w:fill="D5DCE4" w:themeFill="text2" w:themeFillTint="33"/>
            <w:tcMar>
              <w:top w:w="15" w:type="dxa"/>
              <w:left w:w="15" w:type="dxa"/>
              <w:right w:w="15" w:type="dxa"/>
            </w:tcMar>
            <w:vAlign w:val="center"/>
          </w:tcPr>
          <w:p w14:paraId="4D9E5AAD" w14:textId="6D007A05"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Diretor Relator</w:t>
            </w:r>
          </w:p>
        </w:tc>
        <w:tc>
          <w:tcPr>
            <w:tcW w:w="1042" w:type="dxa"/>
            <w:shd w:val="clear" w:color="auto" w:fill="D5DCE4" w:themeFill="text2" w:themeFillTint="33"/>
            <w:tcMar>
              <w:top w:w="15" w:type="dxa"/>
              <w:left w:w="15" w:type="dxa"/>
              <w:right w:w="15" w:type="dxa"/>
            </w:tcMar>
            <w:vAlign w:val="center"/>
          </w:tcPr>
          <w:p w14:paraId="05632FA0" w14:textId="363E2092"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Resolução de Diretoria</w:t>
            </w:r>
          </w:p>
        </w:tc>
        <w:tc>
          <w:tcPr>
            <w:tcW w:w="898" w:type="dxa"/>
            <w:shd w:val="clear" w:color="auto" w:fill="D5DCE4" w:themeFill="text2" w:themeFillTint="33"/>
            <w:tcMar>
              <w:top w:w="15" w:type="dxa"/>
              <w:left w:w="15" w:type="dxa"/>
              <w:right w:w="15" w:type="dxa"/>
            </w:tcMar>
            <w:vAlign w:val="center"/>
          </w:tcPr>
          <w:p w14:paraId="11450A31" w14:textId="769A4418"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 xml:space="preserve">Data </w:t>
            </w:r>
          </w:p>
        </w:tc>
        <w:tc>
          <w:tcPr>
            <w:tcW w:w="3401" w:type="dxa"/>
            <w:shd w:val="clear" w:color="auto" w:fill="D5DCE4" w:themeFill="text2" w:themeFillTint="33"/>
            <w:tcMar>
              <w:top w:w="15" w:type="dxa"/>
              <w:left w:w="15" w:type="dxa"/>
              <w:right w:w="15" w:type="dxa"/>
            </w:tcMar>
            <w:vAlign w:val="center"/>
          </w:tcPr>
          <w:p w14:paraId="02754E4D" w14:textId="175381FD"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Decisão</w:t>
            </w:r>
          </w:p>
        </w:tc>
        <w:tc>
          <w:tcPr>
            <w:tcW w:w="719" w:type="dxa"/>
            <w:shd w:val="clear" w:color="auto" w:fill="D5DCE4" w:themeFill="text2" w:themeFillTint="33"/>
            <w:tcMar>
              <w:top w:w="15" w:type="dxa"/>
              <w:left w:w="15" w:type="dxa"/>
              <w:right w:w="15" w:type="dxa"/>
            </w:tcMar>
            <w:vAlign w:val="center"/>
          </w:tcPr>
          <w:p w14:paraId="30E74CA0" w14:textId="389187EF" w:rsidR="7CAF8503" w:rsidRPr="001A7022" w:rsidRDefault="7CAF8503" w:rsidP="00857457">
            <w:pPr>
              <w:spacing w:after="0" w:line="240" w:lineRule="auto"/>
              <w:jc w:val="center"/>
              <w:rPr>
                <w:rFonts w:cstheme="minorHAnsi"/>
                <w:sz w:val="20"/>
                <w:szCs w:val="20"/>
              </w:rPr>
            </w:pPr>
            <w:r w:rsidRPr="001A7022">
              <w:rPr>
                <w:rFonts w:eastAsia="Calibri" w:cstheme="minorHAnsi"/>
                <w:b/>
                <w:bCs/>
                <w:sz w:val="20"/>
                <w:szCs w:val="20"/>
              </w:rPr>
              <w:t>Votação</w:t>
            </w:r>
          </w:p>
        </w:tc>
      </w:tr>
      <w:tr w:rsidR="001A7022" w:rsidRPr="001A7022" w14:paraId="29A072B1" w14:textId="77777777" w:rsidTr="006937D4">
        <w:trPr>
          <w:trHeight w:val="20"/>
        </w:trPr>
        <w:tc>
          <w:tcPr>
            <w:tcW w:w="1413" w:type="dxa"/>
            <w:tcMar>
              <w:top w:w="15" w:type="dxa"/>
              <w:left w:w="15" w:type="dxa"/>
              <w:right w:w="15" w:type="dxa"/>
            </w:tcMar>
            <w:vAlign w:val="center"/>
          </w:tcPr>
          <w:p w14:paraId="45D9FD18" w14:textId="24D8A652"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384/2023/SGE-CIRCUITO/SGE</w:t>
            </w:r>
          </w:p>
        </w:tc>
        <w:tc>
          <w:tcPr>
            <w:tcW w:w="2126" w:type="dxa"/>
            <w:tcMar>
              <w:top w:w="15" w:type="dxa"/>
              <w:left w:w="15" w:type="dxa"/>
              <w:right w:w="15" w:type="dxa"/>
            </w:tcMar>
            <w:vAlign w:val="center"/>
          </w:tcPr>
          <w:p w14:paraId="64D4D145" w14:textId="4ED7C671"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48610.228469/2023-54</w:t>
            </w:r>
          </w:p>
        </w:tc>
        <w:tc>
          <w:tcPr>
            <w:tcW w:w="851" w:type="dxa"/>
            <w:tcMar>
              <w:top w:w="15" w:type="dxa"/>
              <w:left w:w="15" w:type="dxa"/>
              <w:right w:w="15" w:type="dxa"/>
            </w:tcMar>
            <w:vAlign w:val="center"/>
          </w:tcPr>
          <w:p w14:paraId="23F2AF27" w14:textId="388B9A09"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Dir IV</w:t>
            </w:r>
          </w:p>
        </w:tc>
        <w:tc>
          <w:tcPr>
            <w:tcW w:w="2948" w:type="dxa"/>
            <w:tcMar>
              <w:top w:w="15" w:type="dxa"/>
              <w:left w:w="15" w:type="dxa"/>
              <w:right w:w="15" w:type="dxa"/>
            </w:tcMar>
            <w:vAlign w:val="center"/>
          </w:tcPr>
          <w:p w14:paraId="42ADF3FD" w14:textId="1E1D4463"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Análise de Recurso de 2ª Instância SIC - Solicitação de Disponibilização de Acesso à Documentos Relacionados sobre Leilões de Energia</w:t>
            </w:r>
          </w:p>
        </w:tc>
        <w:tc>
          <w:tcPr>
            <w:tcW w:w="1162" w:type="dxa"/>
            <w:tcMar>
              <w:top w:w="15" w:type="dxa"/>
              <w:left w:w="15" w:type="dxa"/>
              <w:right w:w="15" w:type="dxa"/>
            </w:tcMar>
            <w:vAlign w:val="center"/>
          </w:tcPr>
          <w:p w14:paraId="42415A32" w14:textId="57580B47"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Cláudio Jorge de Souza</w:t>
            </w:r>
          </w:p>
        </w:tc>
        <w:tc>
          <w:tcPr>
            <w:tcW w:w="1042" w:type="dxa"/>
            <w:tcMar>
              <w:top w:w="15" w:type="dxa"/>
              <w:left w:w="15" w:type="dxa"/>
              <w:right w:w="15" w:type="dxa"/>
            </w:tcMar>
            <w:vAlign w:val="center"/>
          </w:tcPr>
          <w:p w14:paraId="3E79C222" w14:textId="311F0B6A"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471/2023</w:t>
            </w:r>
          </w:p>
        </w:tc>
        <w:tc>
          <w:tcPr>
            <w:tcW w:w="898" w:type="dxa"/>
            <w:tcMar>
              <w:top w:w="15" w:type="dxa"/>
              <w:left w:w="15" w:type="dxa"/>
              <w:right w:w="15" w:type="dxa"/>
            </w:tcMar>
            <w:vAlign w:val="center"/>
          </w:tcPr>
          <w:p w14:paraId="78C23B37" w14:textId="1090BAE5"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w:t>
            </w:r>
            <w:r w:rsidR="7CAF8503" w:rsidRPr="001A7022">
              <w:rPr>
                <w:rFonts w:eastAsia="Calibri" w:cstheme="minorHAnsi"/>
                <w:sz w:val="20"/>
                <w:szCs w:val="20"/>
              </w:rPr>
              <w:t>/23</w:t>
            </w:r>
          </w:p>
        </w:tc>
        <w:tc>
          <w:tcPr>
            <w:tcW w:w="3401" w:type="dxa"/>
            <w:tcMar>
              <w:top w:w="15" w:type="dxa"/>
              <w:left w:w="15" w:type="dxa"/>
              <w:right w:w="15" w:type="dxa"/>
            </w:tcMar>
            <w:vAlign w:val="center"/>
          </w:tcPr>
          <w:p w14:paraId="2B754EA7" w14:textId="217F686A"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48610.228469/2023-54, resolve, por unanimidade entre os votantes:</w:t>
            </w:r>
            <w:r w:rsidRPr="001A7022">
              <w:rPr>
                <w:rFonts w:cstheme="minorHAnsi"/>
                <w:sz w:val="20"/>
                <w:szCs w:val="20"/>
              </w:rPr>
              <w:br/>
            </w:r>
            <w:r w:rsidRPr="001A7022">
              <w:rPr>
                <w:rFonts w:eastAsia="Calibri" w:cstheme="minorHAnsi"/>
                <w:sz w:val="20"/>
                <w:szCs w:val="20"/>
              </w:rPr>
              <w:t xml:space="preserve"> Ratificar a posição da Superintendência de Infraestrutura e Movimentação (SIM), de modo que a Ouvidoria da ANP possa efetuar o registro da resposta ao recurso de 2ª instância na Plataforma Integrada de Ouvidoria e Acesso à Informação dentro do prazo estabelecido de 5 dias, cujo prazo limite é de 4 de setembro de 2023.</w:t>
            </w:r>
          </w:p>
        </w:tc>
        <w:tc>
          <w:tcPr>
            <w:tcW w:w="719" w:type="dxa"/>
            <w:tcMar>
              <w:top w:w="15" w:type="dxa"/>
              <w:left w:w="15" w:type="dxa"/>
              <w:right w:w="15" w:type="dxa"/>
            </w:tcMar>
            <w:vAlign w:val="center"/>
          </w:tcPr>
          <w:p w14:paraId="182F117C" w14:textId="77777777" w:rsidR="00F46790" w:rsidRDefault="7CAF8503" w:rsidP="00857457">
            <w:pPr>
              <w:spacing w:after="0" w:line="240" w:lineRule="auto"/>
              <w:jc w:val="center"/>
              <w:rPr>
                <w:rFonts w:eastAsia="Calibri"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p w14:paraId="13B5B8B9" w14:textId="67045B0A"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 xml:space="preserve">DIR 2 </w:t>
            </w:r>
            <w:r w:rsidR="007602EC">
              <w:rPr>
                <w:rFonts w:eastAsia="Calibri" w:cstheme="minorHAnsi"/>
                <w:sz w:val="20"/>
                <w:szCs w:val="20"/>
              </w:rPr>
              <w:t>(</w:t>
            </w:r>
            <w:r w:rsidRPr="001A7022">
              <w:rPr>
                <w:rFonts w:eastAsia="Calibri" w:cstheme="minorHAnsi"/>
                <w:sz w:val="20"/>
                <w:szCs w:val="20"/>
              </w:rPr>
              <w:t>Ausente por motivo de férias</w:t>
            </w:r>
            <w:r w:rsidR="007602EC">
              <w:rPr>
                <w:rFonts w:eastAsia="Calibri" w:cstheme="minorHAnsi"/>
                <w:sz w:val="20"/>
                <w:szCs w:val="20"/>
              </w:rPr>
              <w:t>)</w:t>
            </w:r>
          </w:p>
        </w:tc>
      </w:tr>
      <w:tr w:rsidR="001A7022" w:rsidRPr="001A7022" w14:paraId="38C665FD" w14:textId="77777777" w:rsidTr="006937D4">
        <w:trPr>
          <w:trHeight w:val="20"/>
        </w:trPr>
        <w:tc>
          <w:tcPr>
            <w:tcW w:w="1413" w:type="dxa"/>
            <w:tcMar>
              <w:top w:w="15" w:type="dxa"/>
              <w:left w:w="15" w:type="dxa"/>
              <w:right w:w="15" w:type="dxa"/>
            </w:tcMar>
            <w:vAlign w:val="center"/>
          </w:tcPr>
          <w:p w14:paraId="3C7344CA" w14:textId="63D946F6"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381/2023/SGE-CIRCUITO/SGE</w:t>
            </w:r>
          </w:p>
        </w:tc>
        <w:tc>
          <w:tcPr>
            <w:tcW w:w="2126" w:type="dxa"/>
            <w:tcMar>
              <w:top w:w="15" w:type="dxa"/>
              <w:left w:w="15" w:type="dxa"/>
              <w:right w:w="15" w:type="dxa"/>
            </w:tcMar>
            <w:vAlign w:val="center"/>
          </w:tcPr>
          <w:p w14:paraId="7800F087" w14:textId="5C9310A8"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48620.001428/2016-74, 48620.000102/2017-19 e 48620.000076/2017-11</w:t>
            </w:r>
          </w:p>
        </w:tc>
        <w:tc>
          <w:tcPr>
            <w:tcW w:w="851" w:type="dxa"/>
            <w:tcMar>
              <w:top w:w="15" w:type="dxa"/>
              <w:left w:w="15" w:type="dxa"/>
              <w:right w:w="15" w:type="dxa"/>
            </w:tcMar>
            <w:vAlign w:val="center"/>
          </w:tcPr>
          <w:p w14:paraId="7A86DD61" w14:textId="1E9D3B4B"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SFI</w:t>
            </w:r>
          </w:p>
        </w:tc>
        <w:tc>
          <w:tcPr>
            <w:tcW w:w="2948" w:type="dxa"/>
            <w:tcMar>
              <w:top w:w="15" w:type="dxa"/>
              <w:left w:w="15" w:type="dxa"/>
              <w:right w:w="15" w:type="dxa"/>
            </w:tcMar>
            <w:vAlign w:val="center"/>
          </w:tcPr>
          <w:p w14:paraId="1473623F" w14:textId="02C68861"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Julgamento de Recursos Administrativos em Fase de Segunda Instância Administrativa.</w:t>
            </w:r>
          </w:p>
        </w:tc>
        <w:tc>
          <w:tcPr>
            <w:tcW w:w="1162" w:type="dxa"/>
            <w:tcMar>
              <w:top w:w="15" w:type="dxa"/>
              <w:left w:w="15" w:type="dxa"/>
              <w:right w:w="15" w:type="dxa"/>
            </w:tcMar>
            <w:vAlign w:val="center"/>
          </w:tcPr>
          <w:p w14:paraId="0310EAE6" w14:textId="6499EAB7"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7812660F" w14:textId="20BCA5DA"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470/2023</w:t>
            </w:r>
          </w:p>
        </w:tc>
        <w:tc>
          <w:tcPr>
            <w:tcW w:w="898" w:type="dxa"/>
            <w:tcMar>
              <w:top w:w="15" w:type="dxa"/>
              <w:left w:w="15" w:type="dxa"/>
              <w:right w:w="15" w:type="dxa"/>
            </w:tcMar>
            <w:vAlign w:val="center"/>
          </w:tcPr>
          <w:p w14:paraId="03F5712B" w14:textId="37FC1951"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51419E27" w14:textId="3B149F3F"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 xml:space="preserve">A Diretoria da Agência Nacional do Petróleo, Gás Natural e Biocombustíveis - ANP, considerando o que consta nos processos </w:t>
            </w:r>
            <w:proofErr w:type="spellStart"/>
            <w:r w:rsidRPr="001A7022">
              <w:rPr>
                <w:rFonts w:eastAsia="Calibri" w:cstheme="minorHAnsi"/>
                <w:sz w:val="20"/>
                <w:szCs w:val="20"/>
              </w:rPr>
              <w:t>nºs</w:t>
            </w:r>
            <w:proofErr w:type="spellEnd"/>
            <w:r w:rsidRPr="001A7022">
              <w:rPr>
                <w:rFonts w:eastAsia="Calibri" w:cstheme="minorHAnsi"/>
                <w:sz w:val="20"/>
                <w:szCs w:val="20"/>
              </w:rPr>
              <w:t xml:space="preserve"> 48620.001428/2016-74, 48620.000102/2017-19 e 48620.000076/2017-11, no Despacho de Proposta para Deliberação da Diretoria nº 86/2023/SFI-CREV/SFI (3318139), e nos Despacho nº 178/2020/SFI-CREV/SFI-NDF/SFI/ANP-DF (0921644), Despacho nº 236/2020/SFI-CREV/SFI/ANP-RJ (0951885) e Despacho nº 237/2020/SFI-CREV/SFI/ANP-RJ (0951976), resolve, por unanimidade:</w:t>
            </w:r>
            <w:r w:rsidRPr="001A7022">
              <w:rPr>
                <w:rFonts w:cstheme="minorHAnsi"/>
                <w:sz w:val="20"/>
                <w:szCs w:val="20"/>
              </w:rPr>
              <w:br/>
            </w:r>
            <w:r w:rsidRPr="001A7022">
              <w:rPr>
                <w:rFonts w:eastAsia="Calibri" w:cstheme="minorHAnsi"/>
                <w:sz w:val="20"/>
                <w:szCs w:val="20"/>
              </w:rPr>
              <w:t xml:space="preserve"> Dar provimento parcial aos recursos interpostos pelo Distribuidor de Combustíveis Líquidos PETROMAIS DISTRIBUIDORA DE PETRÓLEO LTDA nos processos nº 48620.000102/2017-19, 48620.000076/2017-11 e 48620.001428/2016-74 para afastar os agravamentos referentes à condição econômica e à gravidade da infração, fixando a pena pecuniária no valor correspondente à pena mínima somada com os agravamentos por antecedentes aplicados em cada decisão recorrida, totalizando R$ 1.220.000,00 (um milhão duzentos e vinte mil reais), e a manutenção da pena de revogação da autorização.</w:t>
            </w:r>
          </w:p>
        </w:tc>
        <w:tc>
          <w:tcPr>
            <w:tcW w:w="719" w:type="dxa"/>
            <w:tcMar>
              <w:top w:w="15" w:type="dxa"/>
              <w:left w:w="15" w:type="dxa"/>
              <w:right w:w="15" w:type="dxa"/>
            </w:tcMar>
            <w:vAlign w:val="center"/>
          </w:tcPr>
          <w:p w14:paraId="0BE10790" w14:textId="5D16A49C"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623381E6" w14:textId="77777777" w:rsidTr="006937D4">
        <w:trPr>
          <w:trHeight w:val="20"/>
        </w:trPr>
        <w:tc>
          <w:tcPr>
            <w:tcW w:w="1413" w:type="dxa"/>
            <w:tcMar>
              <w:top w:w="15" w:type="dxa"/>
              <w:left w:w="15" w:type="dxa"/>
              <w:right w:w="15" w:type="dxa"/>
            </w:tcMar>
            <w:vAlign w:val="center"/>
          </w:tcPr>
          <w:p w14:paraId="0902C740" w14:textId="4871E865"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380/2023/SGE-CIRCUITO/SGE</w:t>
            </w:r>
          </w:p>
        </w:tc>
        <w:tc>
          <w:tcPr>
            <w:tcW w:w="2126" w:type="dxa"/>
            <w:tcMar>
              <w:top w:w="15" w:type="dxa"/>
              <w:left w:w="15" w:type="dxa"/>
              <w:right w:w="15" w:type="dxa"/>
            </w:tcMar>
            <w:vAlign w:val="center"/>
          </w:tcPr>
          <w:p w14:paraId="107D04EF" w14:textId="22CE2784"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48620.001440/2014-17</w:t>
            </w:r>
          </w:p>
        </w:tc>
        <w:tc>
          <w:tcPr>
            <w:tcW w:w="851" w:type="dxa"/>
            <w:tcMar>
              <w:top w:w="15" w:type="dxa"/>
              <w:left w:w="15" w:type="dxa"/>
              <w:right w:w="15" w:type="dxa"/>
            </w:tcMar>
            <w:vAlign w:val="center"/>
          </w:tcPr>
          <w:p w14:paraId="04109944" w14:textId="2CE7A723"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SFI</w:t>
            </w:r>
          </w:p>
        </w:tc>
        <w:tc>
          <w:tcPr>
            <w:tcW w:w="2948" w:type="dxa"/>
            <w:tcMar>
              <w:top w:w="15" w:type="dxa"/>
              <w:left w:w="15" w:type="dxa"/>
              <w:right w:w="15" w:type="dxa"/>
            </w:tcMar>
            <w:vAlign w:val="center"/>
          </w:tcPr>
          <w:p w14:paraId="2DB4497B" w14:textId="30BD7906"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Julgamento de Pedido de Revisão Interposto em fase de Segunda Instância Administrativa.</w:t>
            </w:r>
          </w:p>
        </w:tc>
        <w:tc>
          <w:tcPr>
            <w:tcW w:w="1162" w:type="dxa"/>
            <w:tcMar>
              <w:top w:w="15" w:type="dxa"/>
              <w:left w:w="15" w:type="dxa"/>
              <w:right w:w="15" w:type="dxa"/>
            </w:tcMar>
            <w:vAlign w:val="center"/>
          </w:tcPr>
          <w:p w14:paraId="5C9A9355" w14:textId="02057C57"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65D4BFF9" w14:textId="12A34DC8"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469/2023</w:t>
            </w:r>
          </w:p>
        </w:tc>
        <w:tc>
          <w:tcPr>
            <w:tcW w:w="898" w:type="dxa"/>
            <w:tcMar>
              <w:top w:w="15" w:type="dxa"/>
              <w:left w:w="15" w:type="dxa"/>
              <w:right w:w="15" w:type="dxa"/>
            </w:tcMar>
            <w:vAlign w:val="center"/>
          </w:tcPr>
          <w:p w14:paraId="6BCD39B6" w14:textId="5FDBF1E1"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6C809473" w14:textId="5372CB2A"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48620.001440/2014-17, no Despacho de Proposta para Deliberação da Diretoria nº 90/2023/SFI-CREV/SFI (3333305), e no Despacho nº 156/2020/SFI-CREV/SFI-NDF/SFI/ANP-DF (0908673), resolve, por unanimidade:</w:t>
            </w:r>
            <w:r w:rsidRPr="001A7022">
              <w:rPr>
                <w:rFonts w:cstheme="minorHAnsi"/>
                <w:sz w:val="20"/>
                <w:szCs w:val="20"/>
              </w:rPr>
              <w:br/>
            </w:r>
            <w:r w:rsidRPr="001A7022">
              <w:rPr>
                <w:rFonts w:eastAsia="Calibri" w:cstheme="minorHAnsi"/>
                <w:sz w:val="20"/>
                <w:szCs w:val="20"/>
              </w:rPr>
              <w:t xml:space="preserve"> Dar provimento parcial ao pedido de revisão, afastando os agravamentos por condição econômica e por gravidade, reduzindo a pena de multa para o valor de R$ 36.000,00 (trinta e seis mil reais), e afastando a pena de suspensão por 10 dias.</w:t>
            </w:r>
          </w:p>
        </w:tc>
        <w:tc>
          <w:tcPr>
            <w:tcW w:w="719" w:type="dxa"/>
            <w:tcMar>
              <w:top w:w="15" w:type="dxa"/>
              <w:left w:w="15" w:type="dxa"/>
              <w:right w:w="15" w:type="dxa"/>
            </w:tcMar>
            <w:vAlign w:val="center"/>
          </w:tcPr>
          <w:p w14:paraId="38482E5B" w14:textId="387161AA"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6904B568" w14:textId="77777777" w:rsidTr="006937D4">
        <w:trPr>
          <w:trHeight w:val="20"/>
        </w:trPr>
        <w:tc>
          <w:tcPr>
            <w:tcW w:w="1413" w:type="dxa"/>
            <w:tcMar>
              <w:top w:w="15" w:type="dxa"/>
              <w:left w:w="15" w:type="dxa"/>
              <w:right w:w="15" w:type="dxa"/>
            </w:tcMar>
            <w:vAlign w:val="center"/>
          </w:tcPr>
          <w:p w14:paraId="16FF4DB8" w14:textId="39EC4490"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379/2023/SGE-CIRCUITO/SGE</w:t>
            </w:r>
          </w:p>
        </w:tc>
        <w:tc>
          <w:tcPr>
            <w:tcW w:w="2126" w:type="dxa"/>
            <w:tcMar>
              <w:top w:w="15" w:type="dxa"/>
              <w:left w:w="15" w:type="dxa"/>
              <w:right w:w="15" w:type="dxa"/>
            </w:tcMar>
            <w:vAlign w:val="center"/>
          </w:tcPr>
          <w:p w14:paraId="17571387" w14:textId="6AF6689A"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48611.201384/2019-32</w:t>
            </w:r>
          </w:p>
        </w:tc>
        <w:tc>
          <w:tcPr>
            <w:tcW w:w="851" w:type="dxa"/>
            <w:tcMar>
              <w:top w:w="15" w:type="dxa"/>
              <w:left w:w="15" w:type="dxa"/>
              <w:right w:w="15" w:type="dxa"/>
            </w:tcMar>
            <w:vAlign w:val="center"/>
          </w:tcPr>
          <w:p w14:paraId="3EC29519" w14:textId="0255BE4D"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SFI</w:t>
            </w:r>
          </w:p>
        </w:tc>
        <w:tc>
          <w:tcPr>
            <w:tcW w:w="2948" w:type="dxa"/>
            <w:tcMar>
              <w:top w:w="15" w:type="dxa"/>
              <w:left w:w="15" w:type="dxa"/>
              <w:right w:w="15" w:type="dxa"/>
            </w:tcMar>
            <w:vAlign w:val="center"/>
          </w:tcPr>
          <w:p w14:paraId="7B9CFBFD" w14:textId="2AE99742"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Julgamento de Recurso Administrativo em Fase de Segunda Instância Administrativa.</w:t>
            </w:r>
          </w:p>
        </w:tc>
        <w:tc>
          <w:tcPr>
            <w:tcW w:w="1162" w:type="dxa"/>
            <w:tcMar>
              <w:top w:w="15" w:type="dxa"/>
              <w:left w:w="15" w:type="dxa"/>
              <w:right w:w="15" w:type="dxa"/>
            </w:tcMar>
            <w:vAlign w:val="center"/>
          </w:tcPr>
          <w:p w14:paraId="67094228" w14:textId="51B2F293"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0D4B6629" w14:textId="0F543C32"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468/2023</w:t>
            </w:r>
          </w:p>
        </w:tc>
        <w:tc>
          <w:tcPr>
            <w:tcW w:w="898" w:type="dxa"/>
            <w:tcMar>
              <w:top w:w="15" w:type="dxa"/>
              <w:left w:w="15" w:type="dxa"/>
              <w:right w:w="15" w:type="dxa"/>
            </w:tcMar>
            <w:vAlign w:val="center"/>
          </w:tcPr>
          <w:p w14:paraId="49095990" w14:textId="58FFDC20"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0B59CA69" w14:textId="124D7628"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48611.201384/2019-32, no Despacho de Proposta para Deliberação da Diretoria nº 85/2023/SFI-CREV/SFI (3318125), na Decisão SFI-NSA-SJP (1699889), no Despacho nº 128/2022/SFI-NSA-SJP/SFI/ANP-BA (1937584), no Parecer nº 18/2020/PFANP/PGF/AGU e no Despacho nº 154/2020/PFANP/PGF/AGU (0611705), resolve, por unanimidade:</w:t>
            </w:r>
            <w:r w:rsidRPr="001A7022">
              <w:rPr>
                <w:rFonts w:cstheme="minorHAnsi"/>
                <w:sz w:val="20"/>
                <w:szCs w:val="20"/>
              </w:rPr>
              <w:br/>
            </w:r>
            <w:r w:rsidRPr="001A7022">
              <w:rPr>
                <w:rFonts w:eastAsia="Calibri" w:cstheme="minorHAnsi"/>
                <w:sz w:val="20"/>
                <w:szCs w:val="20"/>
              </w:rPr>
              <w:t xml:space="preserve"> Negar provimento ao recurso interposto pelo Distribuidor de Combustíveis Líquidos DISLUB COMBUSTÍVEIS S.A., mantendo integralmente a decisão de 1ª instância, que determina aplicação de multa no valor de R$ 44.000,00 (quarenta e quatro mil reais).</w:t>
            </w:r>
          </w:p>
        </w:tc>
        <w:tc>
          <w:tcPr>
            <w:tcW w:w="719" w:type="dxa"/>
            <w:tcMar>
              <w:top w:w="15" w:type="dxa"/>
              <w:left w:w="15" w:type="dxa"/>
              <w:right w:w="15" w:type="dxa"/>
            </w:tcMar>
            <w:vAlign w:val="center"/>
          </w:tcPr>
          <w:p w14:paraId="481506A4" w14:textId="28CD26F3"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4BDA2582" w14:textId="77777777" w:rsidTr="006937D4">
        <w:trPr>
          <w:trHeight w:val="20"/>
        </w:trPr>
        <w:tc>
          <w:tcPr>
            <w:tcW w:w="1413" w:type="dxa"/>
            <w:tcMar>
              <w:top w:w="15" w:type="dxa"/>
              <w:left w:w="15" w:type="dxa"/>
              <w:right w:w="15" w:type="dxa"/>
            </w:tcMar>
            <w:vAlign w:val="center"/>
          </w:tcPr>
          <w:p w14:paraId="0BDBF0BB" w14:textId="4F9C5CDF"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378/2023/SGE-CIRCUITO/SGE</w:t>
            </w:r>
          </w:p>
        </w:tc>
        <w:tc>
          <w:tcPr>
            <w:tcW w:w="2126" w:type="dxa"/>
            <w:tcMar>
              <w:top w:w="15" w:type="dxa"/>
              <w:left w:w="15" w:type="dxa"/>
              <w:right w:w="15" w:type="dxa"/>
            </w:tcMar>
            <w:vAlign w:val="center"/>
          </w:tcPr>
          <w:p w14:paraId="29F4B8C5" w14:textId="0D3257F8"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48620.200267/2020-86</w:t>
            </w:r>
          </w:p>
        </w:tc>
        <w:tc>
          <w:tcPr>
            <w:tcW w:w="851" w:type="dxa"/>
            <w:tcMar>
              <w:top w:w="15" w:type="dxa"/>
              <w:left w:w="15" w:type="dxa"/>
              <w:right w:w="15" w:type="dxa"/>
            </w:tcMar>
            <w:vAlign w:val="center"/>
          </w:tcPr>
          <w:p w14:paraId="432803EA" w14:textId="6C1ACA5E"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SFI</w:t>
            </w:r>
          </w:p>
        </w:tc>
        <w:tc>
          <w:tcPr>
            <w:tcW w:w="2948" w:type="dxa"/>
            <w:tcMar>
              <w:top w:w="15" w:type="dxa"/>
              <w:left w:w="15" w:type="dxa"/>
              <w:right w:w="15" w:type="dxa"/>
            </w:tcMar>
            <w:vAlign w:val="center"/>
          </w:tcPr>
          <w:p w14:paraId="7E32FC81" w14:textId="1990B3C1"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Julgamento de Recurso Administrativo em Fase de Segunda Instância Administrativa.</w:t>
            </w:r>
          </w:p>
        </w:tc>
        <w:tc>
          <w:tcPr>
            <w:tcW w:w="1162" w:type="dxa"/>
            <w:tcMar>
              <w:top w:w="15" w:type="dxa"/>
              <w:left w:w="15" w:type="dxa"/>
              <w:right w:w="15" w:type="dxa"/>
            </w:tcMar>
            <w:vAlign w:val="center"/>
          </w:tcPr>
          <w:p w14:paraId="6B0092B7" w14:textId="530C2537"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280A67EC" w14:textId="0ED85406"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467/2023</w:t>
            </w:r>
          </w:p>
        </w:tc>
        <w:tc>
          <w:tcPr>
            <w:tcW w:w="898" w:type="dxa"/>
            <w:tcMar>
              <w:top w:w="15" w:type="dxa"/>
              <w:left w:w="15" w:type="dxa"/>
              <w:right w:w="15" w:type="dxa"/>
            </w:tcMar>
            <w:vAlign w:val="center"/>
          </w:tcPr>
          <w:p w14:paraId="604A2E49" w14:textId="7ACB0316"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7184E40B" w14:textId="4588FF04"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48620.200267/2020-86, no Despacho de Proposta para Deliberação da Diretoria nº 84/2023/SFI-CREV/SFI (3318115) e no Relatório de Análise de Recurso SFI-NSP-SJP (2295743), resolve, por unanimidade:</w:t>
            </w:r>
            <w:r w:rsidRPr="001A7022">
              <w:rPr>
                <w:rFonts w:cstheme="minorHAnsi"/>
                <w:sz w:val="20"/>
                <w:szCs w:val="20"/>
              </w:rPr>
              <w:br/>
            </w:r>
            <w:r w:rsidRPr="001A7022">
              <w:rPr>
                <w:rFonts w:eastAsia="Calibri" w:cstheme="minorHAnsi"/>
                <w:sz w:val="20"/>
                <w:szCs w:val="20"/>
              </w:rPr>
              <w:t xml:space="preserve"> Negar provimento ao recurso interposto pelo Distribuidor de Combustíveis Líquidos PETROBALL DISTRIBUIDORA DE PETRÓLEO LTDA, mantendo integralmente a decisão de 1ª instância, que determina aplicação de multa no valor de R$ 44.000,00.</w:t>
            </w:r>
          </w:p>
        </w:tc>
        <w:tc>
          <w:tcPr>
            <w:tcW w:w="719" w:type="dxa"/>
            <w:tcMar>
              <w:top w:w="15" w:type="dxa"/>
              <w:left w:w="15" w:type="dxa"/>
              <w:right w:w="15" w:type="dxa"/>
            </w:tcMar>
            <w:vAlign w:val="center"/>
          </w:tcPr>
          <w:p w14:paraId="2A53A7FD" w14:textId="7A12B9D5"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096D8B58" w14:textId="77777777" w:rsidTr="006937D4">
        <w:trPr>
          <w:trHeight w:val="20"/>
        </w:trPr>
        <w:tc>
          <w:tcPr>
            <w:tcW w:w="1413" w:type="dxa"/>
            <w:tcMar>
              <w:top w:w="15" w:type="dxa"/>
              <w:left w:w="15" w:type="dxa"/>
              <w:right w:w="15" w:type="dxa"/>
            </w:tcMar>
            <w:vAlign w:val="center"/>
          </w:tcPr>
          <w:p w14:paraId="694FD571" w14:textId="42607D5F"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377/2023/SGE-CIRCUITO/SGE</w:t>
            </w:r>
          </w:p>
        </w:tc>
        <w:tc>
          <w:tcPr>
            <w:tcW w:w="2126" w:type="dxa"/>
            <w:tcMar>
              <w:top w:w="15" w:type="dxa"/>
              <w:left w:w="15" w:type="dxa"/>
              <w:right w:w="15" w:type="dxa"/>
            </w:tcMar>
            <w:vAlign w:val="center"/>
          </w:tcPr>
          <w:p w14:paraId="2F5CF836" w14:textId="58CAF0CC"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48611.000323/2018-79, 48650.200049/2020-94, 48620.200327/2020-61, 48600.204487/2019-83 e 48610.213579/2020-79</w:t>
            </w:r>
          </w:p>
        </w:tc>
        <w:tc>
          <w:tcPr>
            <w:tcW w:w="851" w:type="dxa"/>
            <w:tcMar>
              <w:top w:w="15" w:type="dxa"/>
              <w:left w:w="15" w:type="dxa"/>
              <w:right w:w="15" w:type="dxa"/>
            </w:tcMar>
            <w:vAlign w:val="center"/>
          </w:tcPr>
          <w:p w14:paraId="24C4C472" w14:textId="648E3D1D"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SFI</w:t>
            </w:r>
          </w:p>
        </w:tc>
        <w:tc>
          <w:tcPr>
            <w:tcW w:w="2948" w:type="dxa"/>
            <w:tcMar>
              <w:top w:w="15" w:type="dxa"/>
              <w:left w:w="15" w:type="dxa"/>
              <w:right w:w="15" w:type="dxa"/>
            </w:tcMar>
            <w:vAlign w:val="center"/>
          </w:tcPr>
          <w:p w14:paraId="00BC0E0C" w14:textId="38D92DA2"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Julgamento de Recursos Administrativos em Fase de Segunda Instância Administrativa.</w:t>
            </w:r>
          </w:p>
        </w:tc>
        <w:tc>
          <w:tcPr>
            <w:tcW w:w="1162" w:type="dxa"/>
            <w:tcMar>
              <w:top w:w="15" w:type="dxa"/>
              <w:left w:w="15" w:type="dxa"/>
              <w:right w:w="15" w:type="dxa"/>
            </w:tcMar>
            <w:vAlign w:val="center"/>
          </w:tcPr>
          <w:p w14:paraId="5114E4B3" w14:textId="150DC881"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63AE2A62" w14:textId="1D73266A"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466/2023</w:t>
            </w:r>
          </w:p>
        </w:tc>
        <w:tc>
          <w:tcPr>
            <w:tcW w:w="898" w:type="dxa"/>
            <w:tcMar>
              <w:top w:w="15" w:type="dxa"/>
              <w:left w:w="15" w:type="dxa"/>
              <w:right w:w="15" w:type="dxa"/>
            </w:tcMar>
            <w:vAlign w:val="center"/>
          </w:tcPr>
          <w:p w14:paraId="678F013C" w14:textId="6306C55B"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7E59D573" w14:textId="4D38998F"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 xml:space="preserve">A Diretoria da Agência Nacional do Petróleo, Gás Natural e Biocombustíveis - ANP, considerando o que consta nos processos </w:t>
            </w:r>
            <w:proofErr w:type="spellStart"/>
            <w:r w:rsidRPr="001A7022">
              <w:rPr>
                <w:rFonts w:eastAsia="Calibri" w:cstheme="minorHAnsi"/>
                <w:sz w:val="20"/>
                <w:szCs w:val="20"/>
              </w:rPr>
              <w:t>nºs</w:t>
            </w:r>
            <w:proofErr w:type="spellEnd"/>
            <w:r w:rsidRPr="001A7022">
              <w:rPr>
                <w:rFonts w:eastAsia="Calibri" w:cstheme="minorHAnsi"/>
                <w:sz w:val="20"/>
                <w:szCs w:val="20"/>
              </w:rPr>
              <w:t xml:space="preserve"> 48611.000323/2018-79, 48650.200049/2020-94, 48620.200327/2020-61, 48600.204487/2019-83 e 48610.213579/2020-79, no Despacho de Proposta para Deliberação da Diretoria nº 72/2023/SFI-CREV/SFI (3240466) e nos Despachos nº 70/2023/SFI-CREV/SFI/ANP-RJ (2811748), nº 136/2023/SFI-CREV/SFI/ANP-RJ (2880708), nº 125/2023/SFI-CREV/SFI/ANP-RJ (2865545), nº 74/2023/SFI-CREV/SFI/ANP-RJ (2816015), nº 117/2023/SFI-CREV/SFI/ANP-RJ (2857936), resolve, por unanimidade:</w:t>
            </w:r>
            <w:r w:rsidRPr="001A7022">
              <w:rPr>
                <w:rFonts w:cstheme="minorHAnsi"/>
                <w:sz w:val="20"/>
                <w:szCs w:val="20"/>
              </w:rPr>
              <w:br/>
            </w:r>
            <w:r w:rsidRPr="001A7022">
              <w:rPr>
                <w:rFonts w:eastAsia="Calibri" w:cstheme="minorHAnsi"/>
                <w:sz w:val="20"/>
                <w:szCs w:val="20"/>
              </w:rPr>
              <w:t xml:space="preserve"> Negar provimento aos recursos interpostos pelos Revendedores varejistas de Combustíveis COMERCIAL YELLOW CARD LTDA, AUTO POSTO SANTA TEREZINHA LTDA, SC COMBUSTÍVEIS LTDA, AUTO POSTO TREVISAN EIRELI, ASSUNÇÃO &amp; VALLE LTDA, com manutenção da decisão de 1ª instância, que determina a aplicação de pena pecuniária.</w:t>
            </w:r>
          </w:p>
        </w:tc>
        <w:tc>
          <w:tcPr>
            <w:tcW w:w="719" w:type="dxa"/>
            <w:tcMar>
              <w:top w:w="15" w:type="dxa"/>
              <w:left w:w="15" w:type="dxa"/>
              <w:right w:w="15" w:type="dxa"/>
            </w:tcMar>
            <w:vAlign w:val="center"/>
          </w:tcPr>
          <w:p w14:paraId="60F3405B" w14:textId="25C219DE"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7293E360" w14:textId="77777777" w:rsidTr="006937D4">
        <w:trPr>
          <w:trHeight w:val="20"/>
        </w:trPr>
        <w:tc>
          <w:tcPr>
            <w:tcW w:w="1413" w:type="dxa"/>
            <w:tcMar>
              <w:top w:w="15" w:type="dxa"/>
              <w:left w:w="15" w:type="dxa"/>
              <w:right w:w="15" w:type="dxa"/>
            </w:tcMar>
            <w:vAlign w:val="center"/>
          </w:tcPr>
          <w:p w14:paraId="7D67A289" w14:textId="0B6B8C16"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376/2023/SGE-CIRCUITO/SGE</w:t>
            </w:r>
          </w:p>
        </w:tc>
        <w:tc>
          <w:tcPr>
            <w:tcW w:w="2126" w:type="dxa"/>
            <w:tcMar>
              <w:top w:w="15" w:type="dxa"/>
              <w:left w:w="15" w:type="dxa"/>
              <w:right w:w="15" w:type="dxa"/>
            </w:tcMar>
            <w:vAlign w:val="center"/>
          </w:tcPr>
          <w:p w14:paraId="14E5B55A" w14:textId="45A5A85C"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48611.201030/2020-21</w:t>
            </w:r>
          </w:p>
        </w:tc>
        <w:tc>
          <w:tcPr>
            <w:tcW w:w="851" w:type="dxa"/>
            <w:tcMar>
              <w:top w:w="15" w:type="dxa"/>
              <w:left w:w="15" w:type="dxa"/>
              <w:right w:w="15" w:type="dxa"/>
            </w:tcMar>
            <w:vAlign w:val="center"/>
          </w:tcPr>
          <w:p w14:paraId="78DD107B" w14:textId="328B651F"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SFI</w:t>
            </w:r>
          </w:p>
        </w:tc>
        <w:tc>
          <w:tcPr>
            <w:tcW w:w="2948" w:type="dxa"/>
            <w:tcMar>
              <w:top w:w="15" w:type="dxa"/>
              <w:left w:w="15" w:type="dxa"/>
              <w:right w:w="15" w:type="dxa"/>
            </w:tcMar>
            <w:vAlign w:val="center"/>
          </w:tcPr>
          <w:p w14:paraId="537E3FEE" w14:textId="53D25BD1"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Julgamento de Recurso Administrativo Interposto em Fase de Segunda Instância Administrativa.</w:t>
            </w:r>
          </w:p>
        </w:tc>
        <w:tc>
          <w:tcPr>
            <w:tcW w:w="1162" w:type="dxa"/>
            <w:tcMar>
              <w:top w:w="15" w:type="dxa"/>
              <w:left w:w="15" w:type="dxa"/>
              <w:right w:w="15" w:type="dxa"/>
            </w:tcMar>
            <w:vAlign w:val="center"/>
          </w:tcPr>
          <w:p w14:paraId="180C526B" w14:textId="543FD1A9"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076DB8AD" w14:textId="33B631FD"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465/2023</w:t>
            </w:r>
          </w:p>
        </w:tc>
        <w:tc>
          <w:tcPr>
            <w:tcW w:w="898" w:type="dxa"/>
            <w:tcMar>
              <w:top w:w="15" w:type="dxa"/>
              <w:left w:w="15" w:type="dxa"/>
              <w:right w:w="15" w:type="dxa"/>
            </w:tcMar>
            <w:vAlign w:val="center"/>
          </w:tcPr>
          <w:p w14:paraId="430411D6" w14:textId="220867E7"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35B0AAAC" w14:textId="2F9EB839"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48611.201030/2020-21, no Despacho de Proposta para Deliberação da Diretoria nº 62/2023/SFI-CREV/SFI (3201077), no Despacho nº 1615/2021/SFI-NSA-SJP/SFI/ANP-BA (1606356) e no Despacho nº 378/2023/SFI-CREV/SFI/ANP-RJ (3195934), resolve, por unanimidade:</w:t>
            </w:r>
            <w:r w:rsidRPr="001A7022">
              <w:rPr>
                <w:rFonts w:cstheme="minorHAnsi"/>
                <w:sz w:val="20"/>
                <w:szCs w:val="20"/>
              </w:rPr>
              <w:br/>
            </w:r>
            <w:r w:rsidRPr="001A7022">
              <w:rPr>
                <w:rFonts w:eastAsia="Calibri" w:cstheme="minorHAnsi"/>
                <w:sz w:val="20"/>
                <w:szCs w:val="20"/>
              </w:rPr>
              <w:t xml:space="preserve"> Negar provimento ao recurso interposto pelo Distribuidor de Combustíveis Líquidos DISLUB COMBUSTÍVEIS LTDA, com manutenção integral da decisão de 1ª instância, que determina a aplicação de pena pecuniária no valor de R$ 50.000,00 (cinquenta mil reais).</w:t>
            </w:r>
          </w:p>
        </w:tc>
        <w:tc>
          <w:tcPr>
            <w:tcW w:w="719" w:type="dxa"/>
            <w:tcMar>
              <w:top w:w="15" w:type="dxa"/>
              <w:left w:w="15" w:type="dxa"/>
              <w:right w:w="15" w:type="dxa"/>
            </w:tcMar>
            <w:vAlign w:val="center"/>
          </w:tcPr>
          <w:p w14:paraId="680C992C" w14:textId="360F3C6D"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22711AB3" w14:textId="77777777" w:rsidTr="006937D4">
        <w:trPr>
          <w:trHeight w:val="20"/>
        </w:trPr>
        <w:tc>
          <w:tcPr>
            <w:tcW w:w="1413" w:type="dxa"/>
            <w:tcMar>
              <w:top w:w="15" w:type="dxa"/>
              <w:left w:w="15" w:type="dxa"/>
              <w:right w:w="15" w:type="dxa"/>
            </w:tcMar>
            <w:vAlign w:val="center"/>
          </w:tcPr>
          <w:p w14:paraId="5CFFE536" w14:textId="37787BBE"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375/2023/SGE-CIRCUITO/SGE</w:t>
            </w:r>
          </w:p>
        </w:tc>
        <w:tc>
          <w:tcPr>
            <w:tcW w:w="2126" w:type="dxa"/>
            <w:tcMar>
              <w:top w:w="15" w:type="dxa"/>
              <w:left w:w="15" w:type="dxa"/>
              <w:right w:w="15" w:type="dxa"/>
            </w:tcMar>
            <w:vAlign w:val="center"/>
          </w:tcPr>
          <w:p w14:paraId="0C92DBF1" w14:textId="4610F2E3"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48610.202588/2023-87</w:t>
            </w:r>
          </w:p>
        </w:tc>
        <w:tc>
          <w:tcPr>
            <w:tcW w:w="851" w:type="dxa"/>
            <w:tcMar>
              <w:top w:w="15" w:type="dxa"/>
              <w:left w:w="15" w:type="dxa"/>
              <w:right w:w="15" w:type="dxa"/>
            </w:tcMar>
            <w:vAlign w:val="center"/>
          </w:tcPr>
          <w:p w14:paraId="02E9C7A7" w14:textId="53926729"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NFP</w:t>
            </w:r>
          </w:p>
        </w:tc>
        <w:tc>
          <w:tcPr>
            <w:tcW w:w="2948" w:type="dxa"/>
            <w:tcMar>
              <w:top w:w="15" w:type="dxa"/>
              <w:left w:w="15" w:type="dxa"/>
              <w:right w:w="15" w:type="dxa"/>
            </w:tcMar>
            <w:vAlign w:val="center"/>
          </w:tcPr>
          <w:p w14:paraId="16ACB58D" w14:textId="78149591"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Recálculo de Volume de Gás Natural Produzido no Campo de Jubarte por Emissão de NFSM.</w:t>
            </w:r>
          </w:p>
        </w:tc>
        <w:tc>
          <w:tcPr>
            <w:tcW w:w="1162" w:type="dxa"/>
            <w:tcMar>
              <w:top w:w="15" w:type="dxa"/>
              <w:left w:w="15" w:type="dxa"/>
              <w:right w:w="15" w:type="dxa"/>
            </w:tcMar>
            <w:vAlign w:val="center"/>
          </w:tcPr>
          <w:p w14:paraId="2216708F" w14:textId="08C29E01"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1BFDB3BB" w14:textId="03D5EF4B"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464/2023</w:t>
            </w:r>
          </w:p>
        </w:tc>
        <w:tc>
          <w:tcPr>
            <w:tcW w:w="898" w:type="dxa"/>
            <w:tcMar>
              <w:top w:w="15" w:type="dxa"/>
              <w:left w:w="15" w:type="dxa"/>
              <w:right w:w="15" w:type="dxa"/>
            </w:tcMar>
            <w:vAlign w:val="center"/>
          </w:tcPr>
          <w:p w14:paraId="469259E2" w14:textId="4A127C8A"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2182B9AC" w14:textId="189CB42F"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48610.202588/2023-87, no Despacho de Proposta para Deliberação da Diretoria nº 14/2023/NFP, e na Nota Técnica nº 21/2023/NFP/ANP-RJ, resolve, por unanimidade:</w:t>
            </w:r>
            <w:r w:rsidRPr="001A7022">
              <w:rPr>
                <w:rFonts w:cstheme="minorHAnsi"/>
                <w:sz w:val="20"/>
                <w:szCs w:val="20"/>
              </w:rPr>
              <w:br/>
            </w:r>
            <w:r w:rsidRPr="001A7022">
              <w:rPr>
                <w:rFonts w:eastAsia="Calibri" w:cstheme="minorHAnsi"/>
                <w:sz w:val="20"/>
                <w:szCs w:val="20"/>
              </w:rPr>
              <w:t xml:space="preserve"> I) aprovar a estimativa do volume de gás natural produzido e não declarado de 40.790.520 m³ para o Campo de Jubarte, referente a novembro e dezembro de 2022;</w:t>
            </w:r>
            <w:r w:rsidRPr="001A7022">
              <w:rPr>
                <w:rFonts w:cstheme="minorHAnsi"/>
                <w:sz w:val="20"/>
                <w:szCs w:val="20"/>
              </w:rPr>
              <w:br/>
            </w:r>
            <w:r w:rsidRPr="001A7022">
              <w:rPr>
                <w:rFonts w:eastAsia="Calibri" w:cstheme="minorHAnsi"/>
                <w:sz w:val="20"/>
                <w:szCs w:val="20"/>
              </w:rPr>
              <w:t xml:space="preserve"> II) determinar a correção do volume de gás natural produzido referente ao Campo de Jubarte; e</w:t>
            </w:r>
            <w:r w:rsidRPr="001A7022">
              <w:rPr>
                <w:rFonts w:cstheme="minorHAnsi"/>
                <w:sz w:val="20"/>
                <w:szCs w:val="20"/>
              </w:rPr>
              <w:br/>
            </w:r>
            <w:r w:rsidRPr="001A7022">
              <w:rPr>
                <w:rFonts w:eastAsia="Calibri" w:cstheme="minorHAnsi"/>
                <w:sz w:val="20"/>
                <w:szCs w:val="20"/>
              </w:rPr>
              <w:t xml:space="preserve"> III) remeter o processo para a Superintendência de Participações Governamentais (SPG) para as providências cabíveis, quanto à cobrança das participações governamentais incidentes.</w:t>
            </w:r>
          </w:p>
        </w:tc>
        <w:tc>
          <w:tcPr>
            <w:tcW w:w="719" w:type="dxa"/>
            <w:tcMar>
              <w:top w:w="15" w:type="dxa"/>
              <w:left w:w="15" w:type="dxa"/>
              <w:right w:w="15" w:type="dxa"/>
            </w:tcMar>
            <w:vAlign w:val="center"/>
          </w:tcPr>
          <w:p w14:paraId="56057DE1" w14:textId="689292E2"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3EB3DBDD" w14:textId="77777777" w:rsidTr="006937D4">
        <w:trPr>
          <w:trHeight w:val="20"/>
        </w:trPr>
        <w:tc>
          <w:tcPr>
            <w:tcW w:w="1413" w:type="dxa"/>
            <w:tcMar>
              <w:top w:w="15" w:type="dxa"/>
              <w:left w:w="15" w:type="dxa"/>
              <w:right w:w="15" w:type="dxa"/>
            </w:tcMar>
            <w:vAlign w:val="center"/>
          </w:tcPr>
          <w:p w14:paraId="471CD11A" w14:textId="52E6A695"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374/2023/SGE-CIRCUITO/SGE</w:t>
            </w:r>
          </w:p>
        </w:tc>
        <w:tc>
          <w:tcPr>
            <w:tcW w:w="2126" w:type="dxa"/>
            <w:tcMar>
              <w:top w:w="15" w:type="dxa"/>
              <w:left w:w="15" w:type="dxa"/>
              <w:right w:w="15" w:type="dxa"/>
            </w:tcMar>
            <w:vAlign w:val="center"/>
          </w:tcPr>
          <w:p w14:paraId="3789D406" w14:textId="37B75243"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48610.229292/2022-22</w:t>
            </w:r>
          </w:p>
        </w:tc>
        <w:tc>
          <w:tcPr>
            <w:tcW w:w="851" w:type="dxa"/>
            <w:tcMar>
              <w:top w:w="15" w:type="dxa"/>
              <w:left w:w="15" w:type="dxa"/>
              <w:right w:w="15" w:type="dxa"/>
            </w:tcMar>
            <w:vAlign w:val="center"/>
          </w:tcPr>
          <w:p w14:paraId="52B2F708" w14:textId="3D25F17B"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NFP</w:t>
            </w:r>
          </w:p>
        </w:tc>
        <w:tc>
          <w:tcPr>
            <w:tcW w:w="2948" w:type="dxa"/>
            <w:tcMar>
              <w:top w:w="15" w:type="dxa"/>
              <w:left w:w="15" w:type="dxa"/>
              <w:right w:w="15" w:type="dxa"/>
            </w:tcMar>
            <w:vAlign w:val="center"/>
          </w:tcPr>
          <w:p w14:paraId="6DDA8975" w14:textId="27E6F129"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Recálculo de volume de gás natural produzido nos campos de Tupi, Sul de Tupi e Área Não Contratada de Tupi Leste por Emissão de NFSM.</w:t>
            </w:r>
          </w:p>
        </w:tc>
        <w:tc>
          <w:tcPr>
            <w:tcW w:w="1162" w:type="dxa"/>
            <w:tcMar>
              <w:top w:w="15" w:type="dxa"/>
              <w:left w:w="15" w:type="dxa"/>
              <w:right w:w="15" w:type="dxa"/>
            </w:tcMar>
            <w:vAlign w:val="center"/>
          </w:tcPr>
          <w:p w14:paraId="1FBA32C5" w14:textId="2B87E420"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61E2D0D6" w14:textId="70D65C86"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463/2023</w:t>
            </w:r>
          </w:p>
        </w:tc>
        <w:tc>
          <w:tcPr>
            <w:tcW w:w="898" w:type="dxa"/>
            <w:tcMar>
              <w:top w:w="15" w:type="dxa"/>
              <w:left w:w="15" w:type="dxa"/>
              <w:right w:w="15" w:type="dxa"/>
            </w:tcMar>
            <w:vAlign w:val="center"/>
          </w:tcPr>
          <w:p w14:paraId="797F1598" w14:textId="43CF99BD"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14695CB5" w14:textId="7897C220"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48610.229292/2022-22, no Despacho de Proposta para Deliberação da Diretoria nº 13/2023/NFP, e na Nota Técnica nº 18/2023/NFP/ANP-RJ, resolve, por unanimidade:</w:t>
            </w:r>
            <w:r w:rsidRPr="001A7022">
              <w:rPr>
                <w:rFonts w:cstheme="minorHAnsi"/>
                <w:sz w:val="20"/>
                <w:szCs w:val="20"/>
              </w:rPr>
              <w:br/>
            </w:r>
            <w:r w:rsidRPr="001A7022">
              <w:rPr>
                <w:rFonts w:eastAsia="Calibri" w:cstheme="minorHAnsi"/>
                <w:sz w:val="20"/>
                <w:szCs w:val="20"/>
              </w:rPr>
              <w:t xml:space="preserve"> I) aprovar a estimativa do volume de gás natural produzido e declarado erradamente à ANP, de -1.309.636,00 m³ para o campo de </w:t>
            </w:r>
            <w:proofErr w:type="spellStart"/>
            <w:r w:rsidRPr="001A7022">
              <w:rPr>
                <w:rFonts w:eastAsia="Calibri" w:cstheme="minorHAnsi"/>
                <w:sz w:val="20"/>
                <w:szCs w:val="20"/>
              </w:rPr>
              <w:t>AnC</w:t>
            </w:r>
            <w:proofErr w:type="spellEnd"/>
            <w:r w:rsidRPr="001A7022">
              <w:rPr>
                <w:rFonts w:eastAsia="Calibri" w:cstheme="minorHAnsi"/>
                <w:sz w:val="20"/>
                <w:szCs w:val="20"/>
              </w:rPr>
              <w:t xml:space="preserve"> de Tupi Leste; -17.481.621,00 m³ para o Campo de Sul de Tupi e de -218.892.233,00 m³ para o Campo de Tupi, referentes ao mês de agosto de 2022;</w:t>
            </w:r>
            <w:r w:rsidRPr="001A7022">
              <w:rPr>
                <w:rFonts w:cstheme="minorHAnsi"/>
                <w:sz w:val="20"/>
                <w:szCs w:val="20"/>
              </w:rPr>
              <w:br/>
            </w:r>
            <w:r w:rsidRPr="001A7022">
              <w:rPr>
                <w:rFonts w:eastAsia="Calibri" w:cstheme="minorHAnsi"/>
                <w:sz w:val="20"/>
                <w:szCs w:val="20"/>
              </w:rPr>
              <w:t xml:space="preserve"> II) determinar a correção do volume de gás natural produzido referente aos campos de Tupi, Sul de Tupi e Área Não Contratada de Tupi Leste; e</w:t>
            </w:r>
            <w:r w:rsidRPr="001A7022">
              <w:rPr>
                <w:rFonts w:cstheme="minorHAnsi"/>
                <w:sz w:val="20"/>
                <w:szCs w:val="20"/>
              </w:rPr>
              <w:br/>
            </w:r>
            <w:r w:rsidRPr="001A7022">
              <w:rPr>
                <w:rFonts w:eastAsia="Calibri" w:cstheme="minorHAnsi"/>
                <w:sz w:val="20"/>
                <w:szCs w:val="20"/>
              </w:rPr>
              <w:t xml:space="preserve"> III) remeter o processo para a Superintendência de Participações Governamentais (SPG) para as providências cabíveis, quanto à cobrança das participações governamentais incidentes.</w:t>
            </w:r>
          </w:p>
        </w:tc>
        <w:tc>
          <w:tcPr>
            <w:tcW w:w="719" w:type="dxa"/>
            <w:tcMar>
              <w:top w:w="15" w:type="dxa"/>
              <w:left w:w="15" w:type="dxa"/>
              <w:right w:w="15" w:type="dxa"/>
            </w:tcMar>
            <w:vAlign w:val="center"/>
          </w:tcPr>
          <w:p w14:paraId="367C30A7" w14:textId="54EE1E53"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0793D137" w14:textId="77777777" w:rsidTr="006937D4">
        <w:trPr>
          <w:trHeight w:val="20"/>
        </w:trPr>
        <w:tc>
          <w:tcPr>
            <w:tcW w:w="1413" w:type="dxa"/>
            <w:tcMar>
              <w:top w:w="15" w:type="dxa"/>
              <w:left w:w="15" w:type="dxa"/>
              <w:right w:w="15" w:type="dxa"/>
            </w:tcMar>
            <w:vAlign w:val="center"/>
          </w:tcPr>
          <w:p w14:paraId="0BFAA18B" w14:textId="3906613F"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373/2023/SGE-CIRCUITO/SGE</w:t>
            </w:r>
          </w:p>
        </w:tc>
        <w:tc>
          <w:tcPr>
            <w:tcW w:w="2126" w:type="dxa"/>
            <w:tcMar>
              <w:top w:w="15" w:type="dxa"/>
              <w:left w:w="15" w:type="dxa"/>
              <w:right w:w="15" w:type="dxa"/>
            </w:tcMar>
            <w:vAlign w:val="center"/>
          </w:tcPr>
          <w:p w14:paraId="0FA13FCB" w14:textId="5C44210D"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48610.215721/2021-01</w:t>
            </w:r>
          </w:p>
        </w:tc>
        <w:tc>
          <w:tcPr>
            <w:tcW w:w="851" w:type="dxa"/>
            <w:tcMar>
              <w:top w:w="15" w:type="dxa"/>
              <w:left w:w="15" w:type="dxa"/>
              <w:right w:w="15" w:type="dxa"/>
            </w:tcMar>
            <w:vAlign w:val="center"/>
          </w:tcPr>
          <w:p w14:paraId="02E376FD" w14:textId="4B1C317C"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NFP</w:t>
            </w:r>
          </w:p>
        </w:tc>
        <w:tc>
          <w:tcPr>
            <w:tcW w:w="2948" w:type="dxa"/>
            <w:tcMar>
              <w:top w:w="15" w:type="dxa"/>
              <w:left w:w="15" w:type="dxa"/>
              <w:right w:w="15" w:type="dxa"/>
            </w:tcMar>
            <w:vAlign w:val="center"/>
          </w:tcPr>
          <w:p w14:paraId="39583926" w14:textId="57090332"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 xml:space="preserve">Recálculo de volume de petróleo e gás natural produzidos nos campos de Marlim, Marlim Sul, Voador e </w:t>
            </w:r>
            <w:proofErr w:type="spellStart"/>
            <w:r w:rsidRPr="001A7022">
              <w:rPr>
                <w:rFonts w:eastAsia="Calibri" w:cstheme="minorHAnsi"/>
                <w:sz w:val="20"/>
                <w:szCs w:val="20"/>
              </w:rPr>
              <w:t>ANC_Brava</w:t>
            </w:r>
            <w:proofErr w:type="spellEnd"/>
            <w:r w:rsidRPr="001A7022">
              <w:rPr>
                <w:rFonts w:eastAsia="Calibri" w:cstheme="minorHAnsi"/>
                <w:sz w:val="20"/>
                <w:szCs w:val="20"/>
              </w:rPr>
              <w:t xml:space="preserve"> por emissão de NFSM.</w:t>
            </w:r>
          </w:p>
        </w:tc>
        <w:tc>
          <w:tcPr>
            <w:tcW w:w="1162" w:type="dxa"/>
            <w:tcMar>
              <w:top w:w="15" w:type="dxa"/>
              <w:left w:w="15" w:type="dxa"/>
              <w:right w:w="15" w:type="dxa"/>
            </w:tcMar>
            <w:vAlign w:val="center"/>
          </w:tcPr>
          <w:p w14:paraId="02A47B0A" w14:textId="47CF2FD3"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5097E2D1" w14:textId="0967F803"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462/2023</w:t>
            </w:r>
          </w:p>
        </w:tc>
        <w:tc>
          <w:tcPr>
            <w:tcW w:w="898" w:type="dxa"/>
            <w:tcMar>
              <w:top w:w="15" w:type="dxa"/>
              <w:left w:w="15" w:type="dxa"/>
              <w:right w:w="15" w:type="dxa"/>
            </w:tcMar>
            <w:vAlign w:val="center"/>
          </w:tcPr>
          <w:p w14:paraId="49B29035" w14:textId="3FBEEF98"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1D3C48ED" w14:textId="18B12BF7"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48610.215721/2021-01, no Despacho de Proposta para Deliberação da Diretoria nº 10/2023/NFP, e na Nota Técnica nº 17/2023/NFP/ANP-RJ, resolve, por unanimidade:</w:t>
            </w:r>
            <w:r w:rsidRPr="001A7022">
              <w:rPr>
                <w:rFonts w:cstheme="minorHAnsi"/>
                <w:sz w:val="20"/>
                <w:szCs w:val="20"/>
              </w:rPr>
              <w:br/>
            </w:r>
            <w:r w:rsidRPr="001A7022">
              <w:rPr>
                <w:rFonts w:eastAsia="Calibri" w:cstheme="minorHAnsi"/>
                <w:sz w:val="20"/>
                <w:szCs w:val="20"/>
              </w:rPr>
              <w:t xml:space="preserve"> I) aprovar a estimativa de volumes não declarados à ANP de: 6.735.180 m³ de gás natural produzido no campo de Marlim Sul; 7.261.022 m³ de gás natural produzido no campo de Marlim; -226.887 m³ de gás natural produzido em Voador; 6.175 m³ de gás natural produzido em </w:t>
            </w:r>
            <w:proofErr w:type="spellStart"/>
            <w:r w:rsidRPr="001A7022">
              <w:rPr>
                <w:rFonts w:eastAsia="Calibri" w:cstheme="minorHAnsi"/>
                <w:sz w:val="20"/>
                <w:szCs w:val="20"/>
              </w:rPr>
              <w:t>ANC_Brava</w:t>
            </w:r>
            <w:proofErr w:type="spellEnd"/>
            <w:r w:rsidRPr="001A7022">
              <w:rPr>
                <w:rFonts w:eastAsia="Calibri" w:cstheme="minorHAnsi"/>
                <w:sz w:val="20"/>
                <w:szCs w:val="20"/>
              </w:rPr>
              <w:t>; 364,830 m³ de petróleo produzido em Marlim Sul e 1.213,130 m³ de petróleo produzidos em Marlim;</w:t>
            </w:r>
            <w:r w:rsidRPr="001A7022">
              <w:rPr>
                <w:rFonts w:cstheme="minorHAnsi"/>
                <w:sz w:val="20"/>
                <w:szCs w:val="20"/>
              </w:rPr>
              <w:br/>
            </w:r>
            <w:r w:rsidRPr="001A7022">
              <w:rPr>
                <w:rFonts w:eastAsia="Calibri" w:cstheme="minorHAnsi"/>
                <w:sz w:val="20"/>
                <w:szCs w:val="20"/>
              </w:rPr>
              <w:t xml:space="preserve"> II) determinar a correção do volume de petróleo e gás natural produzidos nos campos de Marlim, Marlim Sul, Voador e </w:t>
            </w:r>
            <w:proofErr w:type="spellStart"/>
            <w:r w:rsidRPr="001A7022">
              <w:rPr>
                <w:rFonts w:eastAsia="Calibri" w:cstheme="minorHAnsi"/>
                <w:sz w:val="20"/>
                <w:szCs w:val="20"/>
              </w:rPr>
              <w:t>ANC_Brava</w:t>
            </w:r>
            <w:proofErr w:type="spellEnd"/>
            <w:r w:rsidRPr="001A7022">
              <w:rPr>
                <w:rFonts w:eastAsia="Calibri" w:cstheme="minorHAnsi"/>
                <w:sz w:val="20"/>
                <w:szCs w:val="20"/>
              </w:rPr>
              <w:t>; e</w:t>
            </w:r>
            <w:r w:rsidRPr="001A7022">
              <w:rPr>
                <w:rFonts w:cstheme="minorHAnsi"/>
                <w:sz w:val="20"/>
                <w:szCs w:val="20"/>
              </w:rPr>
              <w:br/>
            </w:r>
            <w:r w:rsidRPr="001A7022">
              <w:rPr>
                <w:rFonts w:eastAsia="Calibri" w:cstheme="minorHAnsi"/>
                <w:sz w:val="20"/>
                <w:szCs w:val="20"/>
              </w:rPr>
              <w:t xml:space="preserve"> III) remeter o processo para a Superintendência de Participações Governamentais (SPG) para as providências cabíveis, quanto à cobrança das participações governamentais incidentes.</w:t>
            </w:r>
          </w:p>
        </w:tc>
        <w:tc>
          <w:tcPr>
            <w:tcW w:w="719" w:type="dxa"/>
            <w:tcMar>
              <w:top w:w="15" w:type="dxa"/>
              <w:left w:w="15" w:type="dxa"/>
              <w:right w:w="15" w:type="dxa"/>
            </w:tcMar>
            <w:vAlign w:val="center"/>
          </w:tcPr>
          <w:p w14:paraId="58481BB9" w14:textId="1AB8DCE7"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4AAB66E7" w14:textId="77777777" w:rsidTr="006937D4">
        <w:trPr>
          <w:trHeight w:val="20"/>
        </w:trPr>
        <w:tc>
          <w:tcPr>
            <w:tcW w:w="1413" w:type="dxa"/>
            <w:tcMar>
              <w:top w:w="15" w:type="dxa"/>
              <w:left w:w="15" w:type="dxa"/>
              <w:right w:w="15" w:type="dxa"/>
            </w:tcMar>
            <w:vAlign w:val="center"/>
          </w:tcPr>
          <w:p w14:paraId="1BE4FC38" w14:textId="3314C895"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372/2023/SGE-CIRCUITO/SGE</w:t>
            </w:r>
          </w:p>
        </w:tc>
        <w:tc>
          <w:tcPr>
            <w:tcW w:w="2126" w:type="dxa"/>
            <w:tcMar>
              <w:top w:w="15" w:type="dxa"/>
              <w:left w:w="15" w:type="dxa"/>
              <w:right w:w="15" w:type="dxa"/>
            </w:tcMar>
            <w:vAlign w:val="center"/>
          </w:tcPr>
          <w:p w14:paraId="770224BB" w14:textId="37880C4E"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48610.217850/2020-45</w:t>
            </w:r>
          </w:p>
        </w:tc>
        <w:tc>
          <w:tcPr>
            <w:tcW w:w="851" w:type="dxa"/>
            <w:tcMar>
              <w:top w:w="15" w:type="dxa"/>
              <w:left w:w="15" w:type="dxa"/>
              <w:right w:w="15" w:type="dxa"/>
            </w:tcMar>
            <w:vAlign w:val="center"/>
          </w:tcPr>
          <w:p w14:paraId="0B75CCAE" w14:textId="01B3ECDE"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NFP</w:t>
            </w:r>
          </w:p>
        </w:tc>
        <w:tc>
          <w:tcPr>
            <w:tcW w:w="2948" w:type="dxa"/>
            <w:tcMar>
              <w:top w:w="15" w:type="dxa"/>
              <w:left w:w="15" w:type="dxa"/>
              <w:right w:w="15" w:type="dxa"/>
            </w:tcMar>
            <w:vAlign w:val="center"/>
          </w:tcPr>
          <w:p w14:paraId="299BB948" w14:textId="6996FD86"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 xml:space="preserve">Recálculo do volume de petróleo produzido e não medido, oriundo da operação de </w:t>
            </w:r>
            <w:proofErr w:type="spellStart"/>
            <w:r w:rsidRPr="001A7022">
              <w:rPr>
                <w:rFonts w:eastAsia="Calibri" w:cstheme="minorHAnsi"/>
                <w:sz w:val="20"/>
                <w:szCs w:val="20"/>
              </w:rPr>
              <w:t>offloading</w:t>
            </w:r>
            <w:proofErr w:type="spellEnd"/>
            <w:r w:rsidRPr="001A7022">
              <w:rPr>
                <w:rFonts w:eastAsia="Calibri" w:cstheme="minorHAnsi"/>
                <w:sz w:val="20"/>
                <w:szCs w:val="20"/>
              </w:rPr>
              <w:t xml:space="preserve"> sem registro do óleo no sistema de medição da unidade - FPSO Cidade de Angra dos Reis.</w:t>
            </w:r>
          </w:p>
        </w:tc>
        <w:tc>
          <w:tcPr>
            <w:tcW w:w="1162" w:type="dxa"/>
            <w:tcMar>
              <w:top w:w="15" w:type="dxa"/>
              <w:left w:w="15" w:type="dxa"/>
              <w:right w:w="15" w:type="dxa"/>
            </w:tcMar>
            <w:vAlign w:val="center"/>
          </w:tcPr>
          <w:p w14:paraId="7E4BB1F9" w14:textId="3C7E4968"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65E68BBA" w14:textId="615FC85B"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461/2023</w:t>
            </w:r>
          </w:p>
        </w:tc>
        <w:tc>
          <w:tcPr>
            <w:tcW w:w="898" w:type="dxa"/>
            <w:tcMar>
              <w:top w:w="15" w:type="dxa"/>
              <w:left w:w="15" w:type="dxa"/>
              <w:right w:w="15" w:type="dxa"/>
            </w:tcMar>
            <w:vAlign w:val="center"/>
          </w:tcPr>
          <w:p w14:paraId="51065D37" w14:textId="1396E865"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443497BB" w14:textId="73661675"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48610.217850/2020-45, no Despacho de Proposta para Deliberação da Diretoria nº 7/2023/NFP, e na Nota Técnica nº 13/2023/NFP/ANP-RJ, resolve, por unanimidade:</w:t>
            </w:r>
            <w:r w:rsidRPr="001A7022">
              <w:rPr>
                <w:rFonts w:cstheme="minorHAnsi"/>
                <w:sz w:val="20"/>
                <w:szCs w:val="20"/>
              </w:rPr>
              <w:br/>
            </w:r>
            <w:r w:rsidRPr="001A7022">
              <w:rPr>
                <w:rFonts w:eastAsia="Calibri" w:cstheme="minorHAnsi"/>
                <w:sz w:val="20"/>
                <w:szCs w:val="20"/>
              </w:rPr>
              <w:t xml:space="preserve"> I) aprovar a estimativa do volume de petróleo produzido e não contabilizado fiscalmente no FPSO Cidade de Angra dos Reis, de 15.375,43 m³, em outubro de 2018;</w:t>
            </w:r>
            <w:r w:rsidRPr="001A7022">
              <w:rPr>
                <w:rFonts w:cstheme="minorHAnsi"/>
                <w:sz w:val="20"/>
                <w:szCs w:val="20"/>
              </w:rPr>
              <w:br/>
            </w:r>
            <w:r w:rsidRPr="001A7022">
              <w:rPr>
                <w:rFonts w:eastAsia="Calibri" w:cstheme="minorHAnsi"/>
                <w:sz w:val="20"/>
                <w:szCs w:val="20"/>
              </w:rPr>
              <w:t xml:space="preserve"> II) determinar a correção do volume de petróleo produzido referente ao Campo de Tupi; e</w:t>
            </w:r>
            <w:r w:rsidRPr="001A7022">
              <w:rPr>
                <w:rFonts w:cstheme="minorHAnsi"/>
                <w:sz w:val="20"/>
                <w:szCs w:val="20"/>
              </w:rPr>
              <w:br/>
            </w:r>
            <w:r w:rsidRPr="001A7022">
              <w:rPr>
                <w:rFonts w:eastAsia="Calibri" w:cstheme="minorHAnsi"/>
                <w:sz w:val="20"/>
                <w:szCs w:val="20"/>
              </w:rPr>
              <w:t xml:space="preserve"> III) remeter o processo para a Superintendência de Participações Governamentais (SPG) para as providências cabíveis, quanto à cobrança das participações governamentais incidentes.</w:t>
            </w:r>
          </w:p>
        </w:tc>
        <w:tc>
          <w:tcPr>
            <w:tcW w:w="719" w:type="dxa"/>
            <w:tcMar>
              <w:top w:w="15" w:type="dxa"/>
              <w:left w:w="15" w:type="dxa"/>
              <w:right w:w="15" w:type="dxa"/>
            </w:tcMar>
            <w:vAlign w:val="center"/>
          </w:tcPr>
          <w:p w14:paraId="3C29F94B" w14:textId="71DC467B"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33A1A4FD" w14:textId="77777777" w:rsidTr="006937D4">
        <w:trPr>
          <w:trHeight w:val="20"/>
        </w:trPr>
        <w:tc>
          <w:tcPr>
            <w:tcW w:w="1413" w:type="dxa"/>
            <w:tcMar>
              <w:top w:w="15" w:type="dxa"/>
              <w:left w:w="15" w:type="dxa"/>
              <w:right w:w="15" w:type="dxa"/>
            </w:tcMar>
            <w:vAlign w:val="center"/>
          </w:tcPr>
          <w:p w14:paraId="191E149A" w14:textId="1C3D28D5"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382/2023/SGE-CIRCUITO/SGE</w:t>
            </w:r>
          </w:p>
        </w:tc>
        <w:tc>
          <w:tcPr>
            <w:tcW w:w="2126" w:type="dxa"/>
            <w:tcMar>
              <w:top w:w="15" w:type="dxa"/>
              <w:left w:w="15" w:type="dxa"/>
              <w:right w:w="15" w:type="dxa"/>
            </w:tcMar>
            <w:vAlign w:val="center"/>
          </w:tcPr>
          <w:p w14:paraId="640D7157" w14:textId="2291F6D3"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48610.205767/2019-90</w:t>
            </w:r>
          </w:p>
        </w:tc>
        <w:tc>
          <w:tcPr>
            <w:tcW w:w="851" w:type="dxa"/>
            <w:tcMar>
              <w:top w:w="15" w:type="dxa"/>
              <w:left w:w="15" w:type="dxa"/>
              <w:right w:w="15" w:type="dxa"/>
            </w:tcMar>
            <w:vAlign w:val="center"/>
          </w:tcPr>
          <w:p w14:paraId="4E8F5A93" w14:textId="60F45AA7"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SGP</w:t>
            </w:r>
          </w:p>
        </w:tc>
        <w:tc>
          <w:tcPr>
            <w:tcW w:w="2948" w:type="dxa"/>
            <w:tcMar>
              <w:top w:w="15" w:type="dxa"/>
              <w:left w:w="15" w:type="dxa"/>
              <w:right w:w="15" w:type="dxa"/>
            </w:tcMar>
            <w:vAlign w:val="center"/>
          </w:tcPr>
          <w:p w14:paraId="674DFE35" w14:textId="53774186"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Celebração do 6º Termo Aditivo ao Contrato nº 9.035/19, de prestação de serviços continuados de apoio administrativo e serviços auxiliares, no Escritório Central da ANP.</w:t>
            </w:r>
          </w:p>
        </w:tc>
        <w:tc>
          <w:tcPr>
            <w:tcW w:w="1162" w:type="dxa"/>
            <w:tcMar>
              <w:top w:w="15" w:type="dxa"/>
              <w:left w:w="15" w:type="dxa"/>
              <w:right w:w="15" w:type="dxa"/>
            </w:tcMar>
            <w:vAlign w:val="center"/>
          </w:tcPr>
          <w:p w14:paraId="34D31B40" w14:textId="27F71FC3"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Rodolfo Saboia</w:t>
            </w:r>
          </w:p>
        </w:tc>
        <w:tc>
          <w:tcPr>
            <w:tcW w:w="1042" w:type="dxa"/>
            <w:tcMar>
              <w:top w:w="15" w:type="dxa"/>
              <w:left w:w="15" w:type="dxa"/>
              <w:right w:w="15" w:type="dxa"/>
            </w:tcMar>
            <w:vAlign w:val="center"/>
          </w:tcPr>
          <w:p w14:paraId="6F775F54" w14:textId="7516D0BD"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460/2023</w:t>
            </w:r>
          </w:p>
        </w:tc>
        <w:tc>
          <w:tcPr>
            <w:tcW w:w="898" w:type="dxa"/>
            <w:tcMar>
              <w:top w:w="15" w:type="dxa"/>
              <w:left w:w="15" w:type="dxa"/>
              <w:right w:w="15" w:type="dxa"/>
            </w:tcMar>
            <w:vAlign w:val="center"/>
          </w:tcPr>
          <w:p w14:paraId="459489FA" w14:textId="78AF89AE"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04/09/23</w:t>
            </w:r>
          </w:p>
        </w:tc>
        <w:tc>
          <w:tcPr>
            <w:tcW w:w="3401" w:type="dxa"/>
            <w:tcMar>
              <w:top w:w="15" w:type="dxa"/>
              <w:left w:w="15" w:type="dxa"/>
              <w:right w:w="15" w:type="dxa"/>
            </w:tcMar>
            <w:vAlign w:val="center"/>
          </w:tcPr>
          <w:p w14:paraId="74C75A14" w14:textId="3D8423C3"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48610.205767/2019-90, no Despacho de Proposta para Deliberação da Diretoria nº 4/2023/SGP-CAP/SGP (SEI 3279966), na Nota Técnica nº 44/2023/SGP-CAP/SGP/ANP-RJ (SEI 3187319), no Atestado de Conformidade do Processo com Manifestação Jurídica Referencial (SEI 3271433), e no Parecer nº 264/2023/SFO/ANP-RJ (SEI 3307310), resolve, por unanimidade:</w:t>
            </w:r>
            <w:r w:rsidRPr="001A7022">
              <w:rPr>
                <w:rFonts w:cstheme="minorHAnsi"/>
                <w:sz w:val="20"/>
                <w:szCs w:val="20"/>
              </w:rPr>
              <w:br/>
            </w:r>
            <w:r w:rsidRPr="001A7022">
              <w:rPr>
                <w:rFonts w:eastAsia="Calibri" w:cstheme="minorHAnsi"/>
                <w:sz w:val="20"/>
                <w:szCs w:val="20"/>
              </w:rPr>
              <w:t xml:space="preserve"> I) repactuar o valor global do contrato em 3,197%, com base nos </w:t>
            </w:r>
            <w:proofErr w:type="spellStart"/>
            <w:r w:rsidRPr="001A7022">
              <w:rPr>
                <w:rFonts w:eastAsia="Calibri" w:cstheme="minorHAnsi"/>
                <w:sz w:val="20"/>
                <w:szCs w:val="20"/>
              </w:rPr>
              <w:t>arts</w:t>
            </w:r>
            <w:proofErr w:type="spellEnd"/>
            <w:r w:rsidRPr="001A7022">
              <w:rPr>
                <w:rFonts w:eastAsia="Calibri" w:cstheme="minorHAnsi"/>
                <w:sz w:val="20"/>
                <w:szCs w:val="20"/>
              </w:rPr>
              <w:t xml:space="preserve"> 53 a 59 da Instrução Normativa nº 5/2017, combinado com a cláusula sexta do contrato nos seguintes termos:</w:t>
            </w:r>
            <w:r w:rsidRPr="001A7022">
              <w:rPr>
                <w:rFonts w:cstheme="minorHAnsi"/>
                <w:sz w:val="20"/>
                <w:szCs w:val="20"/>
              </w:rPr>
              <w:br/>
            </w:r>
            <w:r w:rsidRPr="001A7022">
              <w:rPr>
                <w:rFonts w:eastAsia="Calibri" w:cstheme="minorHAnsi"/>
                <w:sz w:val="20"/>
                <w:szCs w:val="20"/>
              </w:rPr>
              <w:t xml:space="preserve"> I.I) os valores da PCFP, no período de 1º de março de 2023 a 30 de abril de 2023, considerando reajuste do salário base das categorias; reajuste do auxílio alimentação para R$20,25, conforme Convenção Coletiva SINTTEL 2022/2023 e SEAC 2022/2023; reajuste no vale transporte, conforme Decreto Rio nº 51914; reajuste no valor do uniforme, conforme correção IPCA;</w:t>
            </w:r>
            <w:r w:rsidRPr="001A7022">
              <w:rPr>
                <w:rFonts w:cstheme="minorHAnsi"/>
                <w:sz w:val="20"/>
                <w:szCs w:val="20"/>
              </w:rPr>
              <w:br/>
            </w:r>
            <w:r w:rsidRPr="001A7022">
              <w:rPr>
                <w:rFonts w:eastAsia="Calibri" w:cstheme="minorHAnsi"/>
                <w:sz w:val="20"/>
                <w:szCs w:val="20"/>
              </w:rPr>
              <w:t xml:space="preserve"> I.II) os valores da PCFP, no período de 1º de maio de 2023 a 31 de maio de 2023, considerando reajuste do salário base das categorias; reajuste do auxílio alimentação para R$20,25; reajuste do Benefício Social Familiar para R$ 19,00, conforme Convenção Coletiva SINTTEL 2022/2023 e SEAC 2022/2023; reajuste no vale transporte, conforme Decreto Rio nº 51914;</w:t>
            </w:r>
            <w:r w:rsidRPr="001A7022">
              <w:rPr>
                <w:rFonts w:cstheme="minorHAnsi"/>
                <w:sz w:val="20"/>
                <w:szCs w:val="20"/>
              </w:rPr>
              <w:br/>
            </w:r>
            <w:r w:rsidRPr="001A7022">
              <w:rPr>
                <w:rFonts w:eastAsia="Calibri" w:cstheme="minorHAnsi"/>
                <w:sz w:val="20"/>
                <w:szCs w:val="20"/>
              </w:rPr>
              <w:t xml:space="preserve"> I.III) os valores da PCFP, no período de 1º de junho de 2022 a 8 de setembro de 2022, considerando reajuste do salário base das categorias; reajuste do auxílio alimentação para R$20,25; reajuste do Benefício Social Familiar para R$ 19,00, conforme Convenção Coletiva SINTTEL 2022/2023 e SEAC 2022/2023; reajuste no vale transporte, conforme Decreto Rio nº 51914, e exclusão e/ou redução dos custos não </w:t>
            </w:r>
            <w:proofErr w:type="spellStart"/>
            <w:r w:rsidRPr="001A7022">
              <w:rPr>
                <w:rFonts w:eastAsia="Calibri" w:cstheme="minorHAnsi"/>
                <w:sz w:val="20"/>
                <w:szCs w:val="20"/>
              </w:rPr>
              <w:t>renováves</w:t>
            </w:r>
            <w:proofErr w:type="spellEnd"/>
            <w:r w:rsidRPr="001A7022">
              <w:rPr>
                <w:rFonts w:eastAsia="Calibri" w:cstheme="minorHAnsi"/>
                <w:sz w:val="20"/>
                <w:szCs w:val="20"/>
              </w:rPr>
              <w:t xml:space="preserve"> dos postos criados em 1º de junho de 2022; e</w:t>
            </w:r>
            <w:r w:rsidRPr="001A7022">
              <w:rPr>
                <w:rFonts w:cstheme="minorHAnsi"/>
                <w:sz w:val="20"/>
                <w:szCs w:val="20"/>
              </w:rPr>
              <w:br/>
            </w:r>
            <w:r w:rsidRPr="001A7022">
              <w:rPr>
                <w:rFonts w:eastAsia="Calibri" w:cstheme="minorHAnsi"/>
                <w:sz w:val="20"/>
                <w:szCs w:val="20"/>
              </w:rPr>
              <w:t xml:space="preserve"> II) prorrogar a vigência de 9 de setembro de 2023 a 31 de março de 2024, com fundamento no artigo 57, inciso II, da Lei nº 8.666/1993.</w:t>
            </w:r>
          </w:p>
        </w:tc>
        <w:tc>
          <w:tcPr>
            <w:tcW w:w="719" w:type="dxa"/>
            <w:tcMar>
              <w:top w:w="15" w:type="dxa"/>
              <w:left w:w="15" w:type="dxa"/>
              <w:right w:w="15" w:type="dxa"/>
            </w:tcMar>
            <w:vAlign w:val="center"/>
          </w:tcPr>
          <w:p w14:paraId="1AF7261E" w14:textId="60C99BC7"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r w:rsidR="001A7022" w:rsidRPr="001A7022" w14:paraId="163BABDF" w14:textId="77777777" w:rsidTr="006937D4">
        <w:trPr>
          <w:trHeight w:val="20"/>
        </w:trPr>
        <w:tc>
          <w:tcPr>
            <w:tcW w:w="1413" w:type="dxa"/>
            <w:tcMar>
              <w:top w:w="15" w:type="dxa"/>
              <w:left w:w="15" w:type="dxa"/>
              <w:right w:w="15" w:type="dxa"/>
            </w:tcMar>
            <w:vAlign w:val="center"/>
          </w:tcPr>
          <w:p w14:paraId="3ED45457" w14:textId="265ECADE"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371/2023/SGE-CIRCUITO/SGE</w:t>
            </w:r>
          </w:p>
        </w:tc>
        <w:tc>
          <w:tcPr>
            <w:tcW w:w="2126" w:type="dxa"/>
            <w:tcMar>
              <w:top w:w="15" w:type="dxa"/>
              <w:left w:w="15" w:type="dxa"/>
              <w:right w:w="15" w:type="dxa"/>
            </w:tcMar>
            <w:vAlign w:val="center"/>
          </w:tcPr>
          <w:p w14:paraId="1452592D" w14:textId="36BF080A"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48610.223046/2023-48</w:t>
            </w:r>
          </w:p>
        </w:tc>
        <w:tc>
          <w:tcPr>
            <w:tcW w:w="851" w:type="dxa"/>
            <w:tcMar>
              <w:top w:w="15" w:type="dxa"/>
              <w:left w:w="15" w:type="dxa"/>
              <w:right w:w="15" w:type="dxa"/>
            </w:tcMar>
            <w:vAlign w:val="center"/>
          </w:tcPr>
          <w:p w14:paraId="59DBF393" w14:textId="26CC4E10"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SBQ</w:t>
            </w:r>
          </w:p>
        </w:tc>
        <w:tc>
          <w:tcPr>
            <w:tcW w:w="2948" w:type="dxa"/>
            <w:tcMar>
              <w:top w:w="15" w:type="dxa"/>
              <w:left w:w="15" w:type="dxa"/>
              <w:right w:w="15" w:type="dxa"/>
            </w:tcMar>
            <w:vAlign w:val="center"/>
          </w:tcPr>
          <w:p w14:paraId="313C5149" w14:textId="3D49D740"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Portaria que regulamenta o funcionamento e a composição de Grupo Técnico de que trata a Resolução ANP nº 902, de 19/01/2022, que regulamenta a Programa de Marcação Compulsória de Produtos (PMCP).</w:t>
            </w:r>
          </w:p>
        </w:tc>
        <w:tc>
          <w:tcPr>
            <w:tcW w:w="1162" w:type="dxa"/>
            <w:tcMar>
              <w:top w:w="15" w:type="dxa"/>
              <w:left w:w="15" w:type="dxa"/>
              <w:right w:w="15" w:type="dxa"/>
            </w:tcMar>
            <w:vAlign w:val="center"/>
          </w:tcPr>
          <w:p w14:paraId="1A08CE79" w14:textId="6DD1ECB5" w:rsidR="7CAF8503" w:rsidRPr="001A7022" w:rsidRDefault="7CAF8503" w:rsidP="00857457">
            <w:pPr>
              <w:spacing w:after="0" w:line="240" w:lineRule="auto"/>
              <w:rPr>
                <w:rFonts w:cstheme="minorHAnsi"/>
                <w:sz w:val="20"/>
                <w:szCs w:val="20"/>
              </w:rPr>
            </w:pPr>
            <w:r w:rsidRPr="001A7022">
              <w:rPr>
                <w:rFonts w:eastAsia="Calibri" w:cstheme="minorHAnsi"/>
                <w:sz w:val="20"/>
                <w:szCs w:val="20"/>
              </w:rPr>
              <w:t>Fernando Moura</w:t>
            </w:r>
          </w:p>
        </w:tc>
        <w:tc>
          <w:tcPr>
            <w:tcW w:w="1042" w:type="dxa"/>
            <w:tcMar>
              <w:top w:w="15" w:type="dxa"/>
              <w:left w:w="15" w:type="dxa"/>
              <w:right w:w="15" w:type="dxa"/>
            </w:tcMar>
            <w:vAlign w:val="center"/>
          </w:tcPr>
          <w:p w14:paraId="6F926807" w14:textId="54D34AE4"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459/2023</w:t>
            </w:r>
          </w:p>
        </w:tc>
        <w:tc>
          <w:tcPr>
            <w:tcW w:w="898" w:type="dxa"/>
            <w:tcMar>
              <w:top w:w="15" w:type="dxa"/>
              <w:left w:w="15" w:type="dxa"/>
              <w:right w:w="15" w:type="dxa"/>
            </w:tcMar>
            <w:vAlign w:val="center"/>
          </w:tcPr>
          <w:p w14:paraId="46C49073" w14:textId="75398D56" w:rsidR="7CAF8503" w:rsidRPr="001A7022" w:rsidRDefault="001C2083" w:rsidP="00857457">
            <w:pPr>
              <w:spacing w:after="0" w:line="240" w:lineRule="auto"/>
              <w:jc w:val="center"/>
              <w:rPr>
                <w:rFonts w:cstheme="minorHAnsi"/>
                <w:sz w:val="20"/>
                <w:szCs w:val="20"/>
              </w:rPr>
            </w:pPr>
            <w:r w:rsidRPr="001A7022">
              <w:rPr>
                <w:rFonts w:eastAsia="Calibri" w:cstheme="minorHAnsi"/>
                <w:sz w:val="20"/>
                <w:szCs w:val="20"/>
              </w:rPr>
              <w:t>01/09/23</w:t>
            </w:r>
          </w:p>
        </w:tc>
        <w:tc>
          <w:tcPr>
            <w:tcW w:w="3401" w:type="dxa"/>
            <w:tcMar>
              <w:top w:w="15" w:type="dxa"/>
              <w:left w:w="15" w:type="dxa"/>
              <w:right w:w="15" w:type="dxa"/>
            </w:tcMar>
            <w:vAlign w:val="center"/>
          </w:tcPr>
          <w:p w14:paraId="019747B0" w14:textId="269FB5D0" w:rsidR="7CAF8503" w:rsidRPr="001A7022" w:rsidRDefault="7CAF8503" w:rsidP="00857457">
            <w:pPr>
              <w:spacing w:after="0" w:line="240" w:lineRule="auto"/>
              <w:jc w:val="both"/>
              <w:rPr>
                <w:rFonts w:cstheme="minorHAnsi"/>
                <w:sz w:val="20"/>
                <w:szCs w:val="20"/>
              </w:rPr>
            </w:pPr>
            <w:r w:rsidRPr="001A7022">
              <w:rPr>
                <w:rFonts w:eastAsia="Calibri" w:cstheme="minorHAnsi"/>
                <w:sz w:val="20"/>
                <w:szCs w:val="20"/>
              </w:rPr>
              <w:t>A Diretoria da Agência Nacional do Petróleo, Gás Natural e Biocombustíveis - ANP, considerando o que consta no processo nº 48610.223046/2023-48, no Despacho de Proposta para Deliberação da Diretoria nº 8/2023/SBQ-CGC/SBQ, na Nota Técnica nº 11/2023/SBQ-CGC/SBQ/ANP-RJ e no Parecer nº 10/2023/SGE/ANP-RJ, resolve, por unanimidade:</w:t>
            </w:r>
            <w:r w:rsidRPr="001A7022">
              <w:rPr>
                <w:rFonts w:cstheme="minorHAnsi"/>
                <w:sz w:val="20"/>
                <w:szCs w:val="20"/>
              </w:rPr>
              <w:br/>
            </w:r>
            <w:r w:rsidRPr="001A7022">
              <w:rPr>
                <w:rFonts w:eastAsia="Calibri" w:cstheme="minorHAnsi"/>
                <w:sz w:val="20"/>
                <w:szCs w:val="20"/>
              </w:rPr>
              <w:t xml:space="preserve"> Aprovar a portaria que constitui e regulamenta o funcionamento de Grupo Técnico para avaliar solicitações de dispensa de adição de marcador aos produtos de marcação compulsória, nos termos da Resolução ANP nº 902, de 19 de janeiro de 2022.</w:t>
            </w:r>
          </w:p>
        </w:tc>
        <w:tc>
          <w:tcPr>
            <w:tcW w:w="719" w:type="dxa"/>
            <w:tcMar>
              <w:top w:w="15" w:type="dxa"/>
              <w:left w:w="15" w:type="dxa"/>
              <w:right w:w="15" w:type="dxa"/>
            </w:tcMar>
            <w:vAlign w:val="center"/>
          </w:tcPr>
          <w:p w14:paraId="52F3373E" w14:textId="5BB1F8BA" w:rsidR="7CAF8503" w:rsidRPr="001A7022" w:rsidRDefault="7CAF8503" w:rsidP="00857457">
            <w:pPr>
              <w:spacing w:after="0" w:line="240" w:lineRule="auto"/>
              <w:jc w:val="center"/>
              <w:rPr>
                <w:rFonts w:cstheme="minorHAnsi"/>
                <w:sz w:val="20"/>
                <w:szCs w:val="20"/>
              </w:rPr>
            </w:pPr>
            <w:r w:rsidRPr="001A7022">
              <w:rPr>
                <w:rFonts w:eastAsia="Calibri" w:cstheme="minorHAnsi"/>
                <w:sz w:val="20"/>
                <w:szCs w:val="20"/>
              </w:rPr>
              <w:t>DG</w:t>
            </w:r>
            <w:r w:rsidRPr="001A7022">
              <w:rPr>
                <w:rFonts w:cstheme="minorHAnsi"/>
                <w:sz w:val="20"/>
                <w:szCs w:val="20"/>
              </w:rPr>
              <w:br/>
            </w:r>
            <w:r w:rsidRPr="001A7022">
              <w:rPr>
                <w:rFonts w:eastAsia="Calibri" w:cstheme="minorHAnsi"/>
                <w:sz w:val="20"/>
                <w:szCs w:val="20"/>
              </w:rPr>
              <w:t xml:space="preserve"> DIR 1</w:t>
            </w:r>
            <w:r w:rsidRPr="001A7022">
              <w:rPr>
                <w:rFonts w:cstheme="minorHAnsi"/>
                <w:sz w:val="20"/>
                <w:szCs w:val="20"/>
              </w:rPr>
              <w:br/>
            </w:r>
            <w:r w:rsidRPr="001A7022">
              <w:rPr>
                <w:rFonts w:eastAsia="Calibri" w:cstheme="minorHAnsi"/>
                <w:sz w:val="20"/>
                <w:szCs w:val="20"/>
              </w:rPr>
              <w:t xml:space="preserve"> DIR 2</w:t>
            </w:r>
            <w:r w:rsidRPr="001A7022">
              <w:rPr>
                <w:rFonts w:cstheme="minorHAnsi"/>
                <w:sz w:val="20"/>
                <w:szCs w:val="20"/>
              </w:rPr>
              <w:br/>
            </w:r>
            <w:r w:rsidRPr="001A7022">
              <w:rPr>
                <w:rFonts w:eastAsia="Calibri" w:cstheme="minorHAnsi"/>
                <w:sz w:val="20"/>
                <w:szCs w:val="20"/>
              </w:rPr>
              <w:t xml:space="preserve"> DIR 3</w:t>
            </w:r>
            <w:r w:rsidRPr="001A7022">
              <w:rPr>
                <w:rFonts w:cstheme="minorHAnsi"/>
                <w:sz w:val="20"/>
                <w:szCs w:val="20"/>
              </w:rPr>
              <w:br/>
            </w:r>
            <w:r w:rsidRPr="001A7022">
              <w:rPr>
                <w:rFonts w:eastAsia="Calibri" w:cstheme="minorHAnsi"/>
                <w:sz w:val="20"/>
                <w:szCs w:val="20"/>
              </w:rPr>
              <w:t xml:space="preserve"> DIR 4</w:t>
            </w:r>
          </w:p>
        </w:tc>
      </w:tr>
    </w:tbl>
    <w:p w14:paraId="06B36BF7" w14:textId="56E239B6" w:rsidR="0092162E" w:rsidRPr="00C97619" w:rsidRDefault="0092162E" w:rsidP="7CAF8503">
      <w:pPr>
        <w:spacing w:after="0" w:line="240" w:lineRule="auto"/>
        <w:contextualSpacing/>
        <w:rPr>
          <w:sz w:val="20"/>
          <w:szCs w:val="20"/>
        </w:rPr>
      </w:pPr>
    </w:p>
    <w:sectPr w:rsidR="0092162E" w:rsidRPr="00C9761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27C67" w14:textId="77777777" w:rsidR="00422EFF" w:rsidRDefault="00422EFF">
      <w:pPr>
        <w:spacing w:after="0" w:line="240" w:lineRule="auto"/>
      </w:pPr>
      <w:r>
        <w:separator/>
      </w:r>
    </w:p>
  </w:endnote>
  <w:endnote w:type="continuationSeparator" w:id="0">
    <w:p w14:paraId="2E0095A4" w14:textId="77777777" w:rsidR="00422EFF" w:rsidRDefault="00422EFF">
      <w:pPr>
        <w:spacing w:after="0" w:line="240" w:lineRule="auto"/>
      </w:pPr>
      <w:r>
        <w:continuationSeparator/>
      </w:r>
    </w:p>
  </w:endnote>
  <w:endnote w:type="continuationNotice" w:id="1">
    <w:p w14:paraId="3D59708B" w14:textId="77777777" w:rsidR="00422EFF" w:rsidRDefault="00422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7C482" w14:textId="77777777" w:rsidR="00422EFF" w:rsidRDefault="00422EFF">
      <w:pPr>
        <w:spacing w:after="0" w:line="240" w:lineRule="auto"/>
      </w:pPr>
      <w:r>
        <w:separator/>
      </w:r>
    </w:p>
  </w:footnote>
  <w:footnote w:type="continuationSeparator" w:id="0">
    <w:p w14:paraId="47F9EBD8" w14:textId="77777777" w:rsidR="00422EFF" w:rsidRDefault="00422EFF">
      <w:pPr>
        <w:spacing w:after="0" w:line="240" w:lineRule="auto"/>
      </w:pPr>
      <w:r>
        <w:continuationSeparator/>
      </w:r>
    </w:p>
  </w:footnote>
  <w:footnote w:type="continuationNotice" w:id="1">
    <w:p w14:paraId="0BCAE0A9" w14:textId="77777777" w:rsidR="00422EFF" w:rsidRDefault="00422EF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C94"/>
    <w:rsid w:val="000C425E"/>
    <w:rsid w:val="000D49B2"/>
    <w:rsid w:val="0014298E"/>
    <w:rsid w:val="0014548C"/>
    <w:rsid w:val="001933AB"/>
    <w:rsid w:val="001A7022"/>
    <w:rsid w:val="001B39BC"/>
    <w:rsid w:val="001C2083"/>
    <w:rsid w:val="002217B7"/>
    <w:rsid w:val="00235E48"/>
    <w:rsid w:val="00240AD1"/>
    <w:rsid w:val="00251AAB"/>
    <w:rsid w:val="00264328"/>
    <w:rsid w:val="00272B99"/>
    <w:rsid w:val="00276118"/>
    <w:rsid w:val="00283E69"/>
    <w:rsid w:val="002D6381"/>
    <w:rsid w:val="002F4FAC"/>
    <w:rsid w:val="0031749B"/>
    <w:rsid w:val="0032443A"/>
    <w:rsid w:val="0035221E"/>
    <w:rsid w:val="00383C00"/>
    <w:rsid w:val="00386B3B"/>
    <w:rsid w:val="003B0DF9"/>
    <w:rsid w:val="003B2AF2"/>
    <w:rsid w:val="003B5FF2"/>
    <w:rsid w:val="003C7610"/>
    <w:rsid w:val="003D2AF9"/>
    <w:rsid w:val="003D709A"/>
    <w:rsid w:val="003E40BE"/>
    <w:rsid w:val="00410E8B"/>
    <w:rsid w:val="00412CFB"/>
    <w:rsid w:val="00422EFF"/>
    <w:rsid w:val="00424578"/>
    <w:rsid w:val="0043697C"/>
    <w:rsid w:val="004376CF"/>
    <w:rsid w:val="00490D1A"/>
    <w:rsid w:val="0049662F"/>
    <w:rsid w:val="004A42BA"/>
    <w:rsid w:val="004B2C83"/>
    <w:rsid w:val="00515392"/>
    <w:rsid w:val="005177A6"/>
    <w:rsid w:val="005365EB"/>
    <w:rsid w:val="00537BA5"/>
    <w:rsid w:val="005421F9"/>
    <w:rsid w:val="00544279"/>
    <w:rsid w:val="005450C1"/>
    <w:rsid w:val="00583F81"/>
    <w:rsid w:val="0059201B"/>
    <w:rsid w:val="005C6C23"/>
    <w:rsid w:val="005D6BA8"/>
    <w:rsid w:val="006303EB"/>
    <w:rsid w:val="00662B2E"/>
    <w:rsid w:val="0066566D"/>
    <w:rsid w:val="00677FA8"/>
    <w:rsid w:val="00683E2C"/>
    <w:rsid w:val="006937D4"/>
    <w:rsid w:val="006C53F7"/>
    <w:rsid w:val="006C64F3"/>
    <w:rsid w:val="006E2DB8"/>
    <w:rsid w:val="007027E9"/>
    <w:rsid w:val="00722F04"/>
    <w:rsid w:val="007234EA"/>
    <w:rsid w:val="00724FB2"/>
    <w:rsid w:val="00735548"/>
    <w:rsid w:val="00740990"/>
    <w:rsid w:val="00754830"/>
    <w:rsid w:val="007602EC"/>
    <w:rsid w:val="007664F5"/>
    <w:rsid w:val="00797B19"/>
    <w:rsid w:val="007B7D42"/>
    <w:rsid w:val="007D129E"/>
    <w:rsid w:val="00803054"/>
    <w:rsid w:val="00810036"/>
    <w:rsid w:val="008104E0"/>
    <w:rsid w:val="008223CB"/>
    <w:rsid w:val="008366F0"/>
    <w:rsid w:val="00837E67"/>
    <w:rsid w:val="00852FAB"/>
    <w:rsid w:val="00857457"/>
    <w:rsid w:val="008848DF"/>
    <w:rsid w:val="00887904"/>
    <w:rsid w:val="008D1801"/>
    <w:rsid w:val="008E0C97"/>
    <w:rsid w:val="008F3D6E"/>
    <w:rsid w:val="008F4F21"/>
    <w:rsid w:val="0092162E"/>
    <w:rsid w:val="00943236"/>
    <w:rsid w:val="009709E3"/>
    <w:rsid w:val="0097594B"/>
    <w:rsid w:val="009C4F37"/>
    <w:rsid w:val="009F4354"/>
    <w:rsid w:val="00A01A3D"/>
    <w:rsid w:val="00A0432E"/>
    <w:rsid w:val="00A27052"/>
    <w:rsid w:val="00A35025"/>
    <w:rsid w:val="00A92D13"/>
    <w:rsid w:val="00AA2E9C"/>
    <w:rsid w:val="00AB1B93"/>
    <w:rsid w:val="00AE29A3"/>
    <w:rsid w:val="00B12EB3"/>
    <w:rsid w:val="00B133FD"/>
    <w:rsid w:val="00B25C87"/>
    <w:rsid w:val="00B27F22"/>
    <w:rsid w:val="00B36EB7"/>
    <w:rsid w:val="00B4168B"/>
    <w:rsid w:val="00B63740"/>
    <w:rsid w:val="00B832C1"/>
    <w:rsid w:val="00BB690B"/>
    <w:rsid w:val="00C02D7E"/>
    <w:rsid w:val="00C35641"/>
    <w:rsid w:val="00C8351F"/>
    <w:rsid w:val="00C97619"/>
    <w:rsid w:val="00CA053F"/>
    <w:rsid w:val="00CA20E3"/>
    <w:rsid w:val="00CD336A"/>
    <w:rsid w:val="00CF1774"/>
    <w:rsid w:val="00CF24FC"/>
    <w:rsid w:val="00D10E0D"/>
    <w:rsid w:val="00D1266A"/>
    <w:rsid w:val="00D2323E"/>
    <w:rsid w:val="00D54708"/>
    <w:rsid w:val="00D63B20"/>
    <w:rsid w:val="00DD6F74"/>
    <w:rsid w:val="00DF2AC8"/>
    <w:rsid w:val="00E1143E"/>
    <w:rsid w:val="00E21D16"/>
    <w:rsid w:val="00E3617A"/>
    <w:rsid w:val="00E81015"/>
    <w:rsid w:val="00E873CE"/>
    <w:rsid w:val="00EA0C85"/>
    <w:rsid w:val="00EB277F"/>
    <w:rsid w:val="00EC6C18"/>
    <w:rsid w:val="00F039FF"/>
    <w:rsid w:val="00F04685"/>
    <w:rsid w:val="00F46790"/>
    <w:rsid w:val="00F671ED"/>
    <w:rsid w:val="00F74265"/>
    <w:rsid w:val="00FB5277"/>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4459E62"/>
    <w:rsid w:val="59B97269"/>
    <w:rsid w:val="5A627639"/>
    <w:rsid w:val="5AC6E83E"/>
    <w:rsid w:val="5C02F3FC"/>
    <w:rsid w:val="5E138930"/>
    <w:rsid w:val="5E1BB0AA"/>
    <w:rsid w:val="5E340B80"/>
    <w:rsid w:val="62662CD0"/>
    <w:rsid w:val="630CDCB6"/>
    <w:rsid w:val="6355BF9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 w:val="7CAF85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D5F363FC-C547-4F4B-8D28-32AC113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nt131">
    <w:name w:val="font131"/>
    <w:basedOn w:val="DefaultParagraphFont"/>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DefaultParagraphFont"/>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DefaultParagraphFont"/>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DefaultParagraphFont"/>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DefaultParagraphFont"/>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DefaultParagraphFont"/>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283E69"/>
    <w:rPr>
      <w:b/>
      <w:bCs/>
    </w:rPr>
  </w:style>
  <w:style w:type="character" w:styleId="Emphasis">
    <w:name w:val="Emphasis"/>
    <w:basedOn w:val="DefaultParagraphFont"/>
    <w:uiPriority w:val="20"/>
    <w:qFormat/>
    <w:rsid w:val="00283E69"/>
    <w:rPr>
      <w:i/>
      <w:iCs/>
    </w:rPr>
  </w:style>
  <w:style w:type="paragraph" w:styleId="ListParagraph">
    <w:name w:val="List Paragraph"/>
    <w:basedOn w:val="Normal"/>
    <w:uiPriority w:val="34"/>
    <w:qFormat/>
    <w:rsid w:val="00AB1B93"/>
    <w:pPr>
      <w:ind w:left="720"/>
      <w:contextualSpacing/>
    </w:pPr>
  </w:style>
  <w:style w:type="character" w:customStyle="1" w:styleId="font431">
    <w:name w:val="font431"/>
    <w:basedOn w:val="DefaultParagraphFont"/>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13662766">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2.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3.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4.xml><?xml version="1.0" encoding="utf-8"?>
<ds:datastoreItem xmlns:ds="http://schemas.openxmlformats.org/officeDocument/2006/customXml" ds:itemID="{611F2CD0-7943-47E1-907D-2239DF45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2102</Words>
  <Characters>11988</Characters>
  <Application>Microsoft Office Word</Application>
  <DocSecurity>4</DocSecurity>
  <Lines>99</Lines>
  <Paragraphs>28</Paragraphs>
  <ScaleCrop>false</ScaleCrop>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53</cp:revision>
  <dcterms:created xsi:type="dcterms:W3CDTF">2023-06-15T23:38:00Z</dcterms:created>
  <dcterms:modified xsi:type="dcterms:W3CDTF">2023-09-08T17:53:00Z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