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58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3260"/>
        <w:gridCol w:w="851"/>
        <w:gridCol w:w="1417"/>
        <w:gridCol w:w="1276"/>
        <w:gridCol w:w="992"/>
        <w:gridCol w:w="4394"/>
      </w:tblGrid>
      <w:tr w:rsidR="00C92194" w:rsidRPr="008B27B0" w:rsidTr="00842A14">
        <w:trPr>
          <w:trHeight w:val="420"/>
        </w:trPr>
        <w:tc>
          <w:tcPr>
            <w:tcW w:w="16585" w:type="dxa"/>
            <w:gridSpan w:val="9"/>
            <w:shd w:val="clear" w:color="auto" w:fill="2F5496" w:themeFill="accent1" w:themeFillShade="BF"/>
          </w:tcPr>
          <w:p w:rsidR="00C92194" w:rsidRPr="008B27B0" w:rsidRDefault="00C92194" w:rsidP="00842A14">
            <w:pPr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</w:t>
            </w:r>
            <w:proofErr w:type="gramStart"/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DELIBERATIVO  (</w:t>
            </w:r>
            <w:proofErr w:type="gramEnd"/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21 a 27/01/2022)</w:t>
            </w:r>
          </w:p>
        </w:tc>
      </w:tr>
      <w:tr w:rsidR="0013150A" w:rsidRPr="00082422" w:rsidTr="00241396">
        <w:tc>
          <w:tcPr>
            <w:tcW w:w="1276" w:type="dxa"/>
            <w:shd w:val="clear" w:color="auto" w:fill="D5DCE4" w:themeFill="text2" w:themeFillTint="33"/>
          </w:tcPr>
          <w:p w:rsidR="0013150A" w:rsidRPr="00082422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:rsidR="0013150A" w:rsidRPr="00082422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13150A" w:rsidRPr="00082422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13150A" w:rsidRPr="00082422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:rsidR="0013150A" w:rsidRPr="00082422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:rsidR="0013150A" w:rsidRPr="00082422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:rsidR="0013150A" w:rsidRPr="00082422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13150A" w:rsidRPr="00082422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13150A" w:rsidRPr="00082422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:rsidR="0013150A" w:rsidRPr="00082422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4394" w:type="dxa"/>
            <w:shd w:val="clear" w:color="auto" w:fill="D5DCE4" w:themeFill="text2" w:themeFillTint="33"/>
          </w:tcPr>
          <w:p w:rsidR="0013150A" w:rsidRPr="00082422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13150A" w:rsidTr="00241396">
        <w:tc>
          <w:tcPr>
            <w:tcW w:w="1276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>1499</w:t>
            </w:r>
          </w:p>
        </w:tc>
        <w:tc>
          <w:tcPr>
            <w:tcW w:w="1134" w:type="dxa"/>
            <w:shd w:val="clear" w:color="auto" w:fill="auto"/>
          </w:tcPr>
          <w:p w:rsidR="0013150A" w:rsidRPr="00C90833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>26/2022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13150A" w:rsidRPr="00C90833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>48610.222876/2021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Afastamento do país, no período de 15 a 20 de fevereiro de 2022, para participação institucional da ANP no 3rd ECOWAS Mining </w:t>
            </w:r>
            <w:proofErr w:type="spellStart"/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>and</w:t>
            </w:r>
            <w:proofErr w:type="spellEnd"/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</w:t>
            </w:r>
            <w:proofErr w:type="spellStart"/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>Petroleum</w:t>
            </w:r>
            <w:proofErr w:type="spellEnd"/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</w:t>
            </w:r>
            <w:proofErr w:type="spellStart"/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>Forum</w:t>
            </w:r>
            <w:proofErr w:type="spellEnd"/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&amp; </w:t>
            </w:r>
            <w:proofErr w:type="spellStart"/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>Exhibition</w:t>
            </w:r>
            <w:proofErr w:type="spellEnd"/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(ECOMOF 2021), Niamei, </w:t>
            </w:r>
            <w:proofErr w:type="spellStart"/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>Niger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SCL</w:t>
            </w:r>
          </w:p>
        </w:tc>
        <w:tc>
          <w:tcPr>
            <w:tcW w:w="1417" w:type="dxa"/>
            <w:shd w:val="clear" w:color="auto" w:fill="auto"/>
          </w:tcPr>
          <w:p w:rsidR="0013150A" w:rsidRPr="00C90833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>36/2022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3150A" w:rsidRPr="00C90833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>26/01/2022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394" w:type="dxa"/>
            <w:shd w:val="clear" w:color="auto" w:fill="auto"/>
          </w:tcPr>
          <w:p w:rsidR="0013150A" w:rsidRPr="00C90833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26, de 24 de janeiro de 2022, resolve:</w:t>
            </w:r>
          </w:p>
          <w:p w:rsidR="0013150A" w:rsidRPr="00C90833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Autorizar o afastamento do país, no período de 15 a 20 de fevereiro de 2022, do servidor Luiz Henrique de Oliveira Bispo, com o objetivo de viabilizar a participação institucional da ANP no 3rd ECOWAS Mining </w:t>
            </w:r>
            <w:proofErr w:type="spellStart"/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>and</w:t>
            </w:r>
            <w:proofErr w:type="spellEnd"/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</w:t>
            </w:r>
            <w:proofErr w:type="spellStart"/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>Petroleum</w:t>
            </w:r>
            <w:proofErr w:type="spellEnd"/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</w:t>
            </w:r>
            <w:proofErr w:type="spellStart"/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>Forum</w:t>
            </w:r>
            <w:proofErr w:type="spellEnd"/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&amp; </w:t>
            </w:r>
            <w:proofErr w:type="spellStart"/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>Exhibition</w:t>
            </w:r>
            <w:proofErr w:type="spellEnd"/>
            <w:r w:rsidRPr="00C90833">
              <w:rPr>
                <w:rFonts w:asciiTheme="minorHAnsi" w:eastAsiaTheme="minorHAnsi" w:hAnsiTheme="minorHAnsi" w:cstheme="minorHAnsi"/>
                <w:bCs/>
                <w:lang w:eastAsia="en-US"/>
              </w:rPr>
              <w:t>, em Niamei, Niger.</w:t>
            </w:r>
            <w:bookmarkStart w:id="0" w:name="_GoBack"/>
            <w:bookmarkEnd w:id="0"/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</w:tr>
      <w:tr w:rsidR="0013150A" w:rsidRPr="008B27B0" w:rsidTr="00241396">
        <w:tc>
          <w:tcPr>
            <w:tcW w:w="1276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1494</w:t>
            </w:r>
          </w:p>
        </w:tc>
        <w:tc>
          <w:tcPr>
            <w:tcW w:w="1134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736/2021</w:t>
            </w:r>
          </w:p>
        </w:tc>
        <w:tc>
          <w:tcPr>
            <w:tcW w:w="1985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48610.202778/2021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Recurso administrativo interposto contra decisão de 1ª instância, proferida no Processo 48610.202778/2021-32, que aplicou à PELIKANO DISTRIBUIDORA DE PETRÓLEO LTDA a penalidade de multa no valor de R$ 411.287,76 (quatrocentos e onze mil, duzentos e oitenta e sete reais e setenta e seis centavos) pelo não cumprimento de meta compulsória do </w:t>
            </w:r>
            <w:proofErr w:type="spellStart"/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RenovaBio</w:t>
            </w:r>
            <w:proofErr w:type="spellEnd"/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no período 2019-2020</w:t>
            </w:r>
          </w:p>
        </w:tc>
        <w:tc>
          <w:tcPr>
            <w:tcW w:w="851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SBQ</w:t>
            </w:r>
          </w:p>
        </w:tc>
        <w:tc>
          <w:tcPr>
            <w:tcW w:w="1417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35/2022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24/01/2022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394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736, de 24 de novembro de 2021, no Processo nº 48610.202778/2021-32, na Nota Técnica nº 134/2021/SBQ-CGR/SBQ/ANP-RJ, no Relatório nº 82/2021/SBQ-CGR/SBQ e no Parecer Jurídico nº 00005/2022/PFANP/PGF/AGU, resolve:</w:t>
            </w:r>
          </w:p>
          <w:p w:rsidR="0013150A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Conhecer do recurso administrativo interposto pela PELIKANO DISTRIBUIDORA DE PETRÓLEO LTDA. e, no mérito, negar seu provimento, mantendo-se a decisão de 1ª instância que aplicou a penalidade de multa no valor de R$ 411.287,76 (quatrocentos e onze mil, duzentos e oitenta e sete reais e setenta e seis centavos), calculada conforme prescrito no § 1º do artigo 6º do Decreto nº 9.888/2019.</w:t>
            </w:r>
          </w:p>
          <w:p w:rsidR="00241396" w:rsidRPr="008B27B0" w:rsidRDefault="00241396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</w:tr>
      <w:tr w:rsidR="0013150A" w:rsidRPr="008B27B0" w:rsidTr="00241396">
        <w:tc>
          <w:tcPr>
            <w:tcW w:w="1276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1493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813/2021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48600.203033/2021 48610.202726/2021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Recurso administrativo interposto pela ATLÂNTICA PRODUTOS DE PETRÓLEO LTDA contra decisão de 1ª instância, proferida no Processo 48610.202726/2021-66, que aplicou a penalidade de multa no valor de R$ 2.355.548,00 (dois milhões, trezentos e cinquenta e cinco mil, quinhentos e quarenta e oito reais) pelo não cumprimento da meta compulsória do </w:t>
            </w:r>
            <w:proofErr w:type="spellStart"/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RenovaBio</w:t>
            </w:r>
            <w:proofErr w:type="spellEnd"/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atribuída a ela no período de 2019-2020</w:t>
            </w:r>
          </w:p>
        </w:tc>
        <w:tc>
          <w:tcPr>
            <w:tcW w:w="851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SBQ</w:t>
            </w:r>
          </w:p>
        </w:tc>
        <w:tc>
          <w:tcPr>
            <w:tcW w:w="1417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34/2022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24/01/2022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394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813, de 17 de dezembro de 2021, no Processo nº 48610.202726/2021-66, na Nota Técnica nº 139/2021/SBQ-CGR/SBQ/ANP-RJ, no Relatório nº 87/2021/SBQ-CGR/SBQ e no Parecer Jurídico nº 00008/2022/PFANP/PGF/AGU, resolve: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Conhecer do recurso administrativo interposto pela ATLÂNTICA PRODUTOS DE PETRÓLEO LTDA. e, no mérito, negar seu provimento, mantendo-se a decisão de 1ª instância que aplicou a penalidade de multa no valor de R$ 2.355.548,00 (dois milhões, trezentos e cinquenta e cinco mil, quinhentos e quarenta e oito reais), calculada conforme prescrito no § 1º do artigo 6º do Decreto nº 9.888/2019.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</w:tr>
      <w:tr w:rsidR="0013150A" w:rsidRPr="008B27B0" w:rsidTr="00241396">
        <w:tc>
          <w:tcPr>
            <w:tcW w:w="1276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1495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814/2021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48600.202658/2021 48610.202783/2021</w:t>
            </w:r>
          </w:p>
        </w:tc>
        <w:tc>
          <w:tcPr>
            <w:tcW w:w="3260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Recurso administrativo interposto contra decisão de 1ª instância, proferida no Processo 48610.202783/2021-45, que aplicou à PETROBALL DISTRIBUIDORA DE PETRÓLEO LTDA. a penalidade de multa no valor de R$ 315.149,12 (trezentos e quinze mil, cento e quarenta e nove reais e doze centavos) pelo não cumprimento de meta compulsória do </w:t>
            </w:r>
            <w:proofErr w:type="spellStart"/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RenovaBio</w:t>
            </w:r>
            <w:proofErr w:type="spellEnd"/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no período 2019-2020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SBQ</w:t>
            </w:r>
          </w:p>
        </w:tc>
        <w:tc>
          <w:tcPr>
            <w:tcW w:w="1417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33/2022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24/01/2022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394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814, de 20 de dezembro de 2021, no Processo n° 48610.202783/2021-45, na Nota Técnica nº 140/2021/SBQ-CGR/SBQ/ANP-RJ, no Relatório nº 88/2021/SBQ-CGR/SBQ e no Parecer Jurídico nº 00007/2022/PFANP/PGF/AGU, resolve: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Conhecer do recurso administrativo interposto pela PETROBALL DISTRIBUIDORA DE PETRÓLEO LTDA. e, no mérito, negar seu provimento, mantendo-se a decisão de 1ª instância que aplicou a penalidade de multa no valor de R$ 315.149,12 (trezentos e quinze mil, cento e quarenta e nove reais e doze centavos), calculada conforme prescrito no § 1º do artigo 6º do Decreto nº 9.888/2019.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</w:tr>
      <w:tr w:rsidR="0013150A" w:rsidRPr="008B27B0" w:rsidTr="00241396">
        <w:tc>
          <w:tcPr>
            <w:tcW w:w="1276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lastRenderedPageBreak/>
              <w:t>1496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1134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t>11/2022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1985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t>48610.223055/2021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3260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8B27B0">
              <w:t>Plano Anual de Auditoria Interna 2022 - PAINT 2022 (Instrução Normativa SFC-CGU nº 5/2021)</w:t>
            </w:r>
          </w:p>
        </w:tc>
        <w:tc>
          <w:tcPr>
            <w:tcW w:w="851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t>AUD</w:t>
            </w:r>
          </w:p>
        </w:tc>
        <w:tc>
          <w:tcPr>
            <w:tcW w:w="1417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t>32/2022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1276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t>24/01/2022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992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t>Rodolfo Saboia</w:t>
            </w:r>
          </w:p>
        </w:tc>
        <w:tc>
          <w:tcPr>
            <w:tcW w:w="4394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8B27B0">
              <w:t>A Diretoria da Agência Nacional do Petróleo, Gás Natural e Biocombustíveis - ANP, com base na Proposta de Ação nº 11, de 12 de janeiro de 2022 e nos documentos apensados ao processo administrativo nº 48610.223055/2021-77, resolve: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8B27B0">
              <w:t>Aprovar o Plano Anual de Auditoria Interna 2022 - PAINT 2022 (SEI 1903418).</w:t>
            </w:r>
          </w:p>
        </w:tc>
      </w:tr>
      <w:tr w:rsidR="0013150A" w:rsidRPr="008B27B0" w:rsidTr="00241396">
        <w:tc>
          <w:tcPr>
            <w:tcW w:w="1276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1492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781/2021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48610.220386/2021 48610.221361/2021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Solicitação de concessão de redução da alíquota de royalties para campos operados pela empresa de pequeno porte </w:t>
            </w:r>
            <w:proofErr w:type="spellStart"/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Alvopetro</w:t>
            </w:r>
            <w:proofErr w:type="spellEnd"/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S.A. Extração de Petróleo e Gás Natural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SPG</w:t>
            </w:r>
          </w:p>
        </w:tc>
        <w:tc>
          <w:tcPr>
            <w:tcW w:w="1417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31/2022</w:t>
            </w:r>
          </w:p>
        </w:tc>
        <w:tc>
          <w:tcPr>
            <w:tcW w:w="1276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24/01/2022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394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781, de 3 de dezembro de 2021, nos Processos SEI nº 48610.220386/2021-55 e nº 48610.221361/2021- 79, no Parecer Técnico nº 67/2021/SPG-e-ANP e no Parecer Jurídico nº 0003/2022/PFANP/PGF/AGU, resolve: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Aprovar o pleito de concessão de redução da alíquota de royalties para 5% (cinco por cento) para os campos de Mãe-da-Lua, Caburé e Caburé Leste, operados pela empresa </w:t>
            </w:r>
            <w:proofErr w:type="spellStart"/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Alvopetro</w:t>
            </w:r>
            <w:proofErr w:type="spellEnd"/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S.A. Extração de Petróleo e Gás Natural, uma vez que a empresa é considerada de pequeno porte e atende aos critérios normativos para obtenção do benefício, nos termos da Resolução ANP nº 853/2021.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</w:tr>
      <w:tr w:rsidR="0013150A" w:rsidRPr="008B27B0" w:rsidTr="00241396">
        <w:tc>
          <w:tcPr>
            <w:tcW w:w="1276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1491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737/2021</w:t>
            </w:r>
          </w:p>
        </w:tc>
        <w:tc>
          <w:tcPr>
            <w:tcW w:w="1985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48610.219779/2021 48610.221361/2021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Solicitação de concessão de redução da alíquota de royalties para campos operados pela empresa de médio porte Recôncavo E&amp;P S.A.</w:t>
            </w:r>
          </w:p>
        </w:tc>
        <w:tc>
          <w:tcPr>
            <w:tcW w:w="851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SPG</w:t>
            </w:r>
          </w:p>
        </w:tc>
        <w:tc>
          <w:tcPr>
            <w:tcW w:w="1417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30/2022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24/01/2022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394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737, de 18 de novembro de 2021, nos Processos SEI nº 48610.219779/2021-16 e nº 48610.221361/2021- 79, no Parecer Técnico nº 45/2021/SPG-e-ANP e no Parecer Jurídico nº 0002/2022/PFANP/PGF/AGU, resolve: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Aprovar o pleito de concessão de redução da alíquota de royalties para 7,5% (sete e meio por cento) para os campos de Lagoa do Paulo, Lagoa do Paulo Norte, Lagoa do Paulo Sul, </w:t>
            </w:r>
            <w:proofErr w:type="spellStart"/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Acajá-Burizinho</w:t>
            </w:r>
            <w:proofErr w:type="spellEnd"/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e Juriti, operados pela empresa Recôncavo E&amp;P S.A., </w:t>
            </w: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uma vez que a empresa é considerada de médio porte e atende aos critérios normativos para obtenção do benefício, nos termos da Resolução ANP nº 853/2021.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</w:tr>
      <w:tr w:rsidR="0013150A" w:rsidRPr="008B27B0" w:rsidTr="00241396">
        <w:tc>
          <w:tcPr>
            <w:tcW w:w="1276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1490</w:t>
            </w:r>
          </w:p>
        </w:tc>
        <w:tc>
          <w:tcPr>
            <w:tcW w:w="1134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794/2021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48610.221361/2021 48610.225081/2021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Solicitação de concessão de redução da alíquota de royalties para campos operados pela empresa de pequeno porte Phoenix Óleo e Gás Natural Ltda.</w:t>
            </w:r>
          </w:p>
        </w:tc>
        <w:tc>
          <w:tcPr>
            <w:tcW w:w="851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SPG</w:t>
            </w:r>
          </w:p>
        </w:tc>
        <w:tc>
          <w:tcPr>
            <w:tcW w:w="1417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29/2022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24/01/2022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394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794, de 8 de dezembro de 2021, nos Processos SEI nº 48610.225081/2021-30 e nº 48610.221361/2021- 79, no Parecer Técnico nº 71/2021/SPG-e-ANP e no Parecer Jurídico nº 0004/2022/PFANP/PGF/AGU, resolve: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Aprovar o pleito de concessão de redução da alíquota de royalties para 5% (cinco por cento) para os campos de Periquito, Periquito Norte, Periquito Nordeste e Concriz, operados pela empresa Phoenix Óleo e Gás Natural Ltda., uma vez que a empresa é considerada de pequeno porte e atende aos critérios normativos para obtenção do benefício, nos termos da Resolução ANP nº 853/2021.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</w:tr>
      <w:tr w:rsidR="0013150A" w:rsidRPr="008B27B0" w:rsidTr="00241396">
        <w:tc>
          <w:tcPr>
            <w:tcW w:w="1276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t>1489</w:t>
            </w:r>
          </w:p>
        </w:tc>
        <w:tc>
          <w:tcPr>
            <w:tcW w:w="1134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t>3/2022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1985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t>48600.201484/2020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3260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8B27B0">
              <w:t>Comissão Permanente de Avaliação de Documentos (CPAD) - Recomposição de seus membros</w:t>
            </w:r>
          </w:p>
        </w:tc>
        <w:tc>
          <w:tcPr>
            <w:tcW w:w="851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t>SGA</w:t>
            </w:r>
          </w:p>
        </w:tc>
        <w:tc>
          <w:tcPr>
            <w:tcW w:w="1417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t>28/2022</w:t>
            </w: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1276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t>22/01/2022</w:t>
            </w:r>
          </w:p>
        </w:tc>
        <w:tc>
          <w:tcPr>
            <w:tcW w:w="992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t>Rodolfo Saboia</w:t>
            </w:r>
          </w:p>
        </w:tc>
        <w:tc>
          <w:tcPr>
            <w:tcW w:w="4394" w:type="dxa"/>
            <w:shd w:val="clear" w:color="auto" w:fill="auto"/>
          </w:tcPr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8B27B0">
              <w:t>A Diretoria da Agência Nacional do Petróleo, Gás Natural e Biocombustíveis - ANP, com base na Proposta de Ação nº 3, de 5 de janeiro de 2022 e na NOTA TÉCNICA Nº 1/2022/SGA-CGD DF/SGA/ANP-DF, resolve:</w:t>
            </w:r>
          </w:p>
          <w:p w:rsidR="0013150A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8B27B0">
              <w:t>Aprovar a Portaria que atualiza a composição da Comissão Permanente de Avaliação de Documentos, à qual compete orientar e realizar o processo de análise, avaliação e seleção dos documentos produzidos e acumulados no âmbito de atuação da ANP, e revogar a Portaria ANP nº 219, de 21 de julho de 2020. </w:t>
            </w:r>
          </w:p>
          <w:p w:rsidR="00241396" w:rsidRPr="008B27B0" w:rsidRDefault="00241396" w:rsidP="00842A14">
            <w:pPr>
              <w:widowControl/>
              <w:adjustRightInd/>
              <w:spacing w:line="240" w:lineRule="auto"/>
              <w:contextualSpacing/>
              <w:textAlignment w:val="auto"/>
            </w:pPr>
          </w:p>
          <w:p w:rsidR="0013150A" w:rsidRPr="008B27B0" w:rsidRDefault="0013150A" w:rsidP="00842A14">
            <w:pPr>
              <w:widowControl/>
              <w:adjustRightInd/>
              <w:spacing w:line="240" w:lineRule="auto"/>
              <w:contextualSpacing/>
              <w:textAlignment w:val="auto"/>
            </w:pPr>
          </w:p>
        </w:tc>
      </w:tr>
      <w:tr w:rsidR="0013150A" w:rsidRPr="008B27B0" w:rsidTr="00241396">
        <w:tc>
          <w:tcPr>
            <w:tcW w:w="16585" w:type="dxa"/>
            <w:gridSpan w:val="9"/>
            <w:shd w:val="clear" w:color="auto" w:fill="auto"/>
          </w:tcPr>
          <w:p w:rsidR="0013150A" w:rsidRPr="008B27B0" w:rsidRDefault="0013150A" w:rsidP="0013150A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lastRenderedPageBreak/>
              <w:t>PA = Proposta de Ação</w:t>
            </w:r>
          </w:p>
          <w:p w:rsidR="0013150A" w:rsidRPr="008B27B0" w:rsidRDefault="0013150A" w:rsidP="0013150A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C92194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 = Unidade Organizacional</w:t>
            </w:r>
          </w:p>
        </w:tc>
      </w:tr>
    </w:tbl>
    <w:p w:rsidR="009D75D1" w:rsidRPr="00C92194" w:rsidRDefault="009D75D1" w:rsidP="00C92194">
      <w:pPr>
        <w:pStyle w:val="textoalinhadoesquerdaespacamentosimples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sectPr w:rsidR="009D75D1" w:rsidRPr="00C92194" w:rsidSect="00C92194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194" w:rsidRDefault="00C92194" w:rsidP="00C92194">
      <w:pPr>
        <w:spacing w:line="240" w:lineRule="auto"/>
      </w:pPr>
      <w:r>
        <w:separator/>
      </w:r>
    </w:p>
  </w:endnote>
  <w:endnote w:type="continuationSeparator" w:id="0">
    <w:p w:rsidR="00C92194" w:rsidRDefault="00C92194" w:rsidP="00C92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194" w:rsidRDefault="00C92194" w:rsidP="00C92194">
      <w:pPr>
        <w:spacing w:line="240" w:lineRule="auto"/>
      </w:pPr>
      <w:r>
        <w:separator/>
      </w:r>
    </w:p>
  </w:footnote>
  <w:footnote w:type="continuationSeparator" w:id="0">
    <w:p w:rsidR="00C92194" w:rsidRDefault="00C92194" w:rsidP="00C921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94" w:rsidRDefault="00241396">
    <w:pPr>
      <w:pStyle w:val="Cabealho"/>
    </w:pPr>
    <w:r>
      <w:rPr>
        <w:noProof/>
      </w:rPr>
      <w:object w:dxaOrig="1440" w:dyaOrig="1440" w14:anchorId="11484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0486731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94"/>
    <w:rsid w:val="00054647"/>
    <w:rsid w:val="000722E1"/>
    <w:rsid w:val="000B080A"/>
    <w:rsid w:val="000B1378"/>
    <w:rsid w:val="000E2723"/>
    <w:rsid w:val="000E738B"/>
    <w:rsid w:val="0013150A"/>
    <w:rsid w:val="00141083"/>
    <w:rsid w:val="00142216"/>
    <w:rsid w:val="00142CFC"/>
    <w:rsid w:val="001A4FDF"/>
    <w:rsid w:val="002137C2"/>
    <w:rsid w:val="00241396"/>
    <w:rsid w:val="00275C72"/>
    <w:rsid w:val="002766CE"/>
    <w:rsid w:val="002941A7"/>
    <w:rsid w:val="00296A81"/>
    <w:rsid w:val="002C68D1"/>
    <w:rsid w:val="002D42CF"/>
    <w:rsid w:val="002F0312"/>
    <w:rsid w:val="00325826"/>
    <w:rsid w:val="0033443F"/>
    <w:rsid w:val="00345598"/>
    <w:rsid w:val="00355850"/>
    <w:rsid w:val="00375F91"/>
    <w:rsid w:val="003D6AE8"/>
    <w:rsid w:val="003F4F45"/>
    <w:rsid w:val="00477FDF"/>
    <w:rsid w:val="004C7216"/>
    <w:rsid w:val="005218D1"/>
    <w:rsid w:val="00535144"/>
    <w:rsid w:val="00541D81"/>
    <w:rsid w:val="005859CE"/>
    <w:rsid w:val="005E2CC2"/>
    <w:rsid w:val="006101B8"/>
    <w:rsid w:val="00610A69"/>
    <w:rsid w:val="00636516"/>
    <w:rsid w:val="0066002C"/>
    <w:rsid w:val="0068715F"/>
    <w:rsid w:val="006B736F"/>
    <w:rsid w:val="006F1806"/>
    <w:rsid w:val="00702900"/>
    <w:rsid w:val="007043AF"/>
    <w:rsid w:val="007171D2"/>
    <w:rsid w:val="00740FD2"/>
    <w:rsid w:val="0074792F"/>
    <w:rsid w:val="007532A7"/>
    <w:rsid w:val="00795679"/>
    <w:rsid w:val="0081727A"/>
    <w:rsid w:val="0082315E"/>
    <w:rsid w:val="00824416"/>
    <w:rsid w:val="0082488D"/>
    <w:rsid w:val="0082789A"/>
    <w:rsid w:val="00866B74"/>
    <w:rsid w:val="008A6ABE"/>
    <w:rsid w:val="008B26D2"/>
    <w:rsid w:val="008D7A1B"/>
    <w:rsid w:val="008E26EE"/>
    <w:rsid w:val="00907B60"/>
    <w:rsid w:val="00957A9B"/>
    <w:rsid w:val="009D0B1F"/>
    <w:rsid w:val="009D4946"/>
    <w:rsid w:val="009D75D1"/>
    <w:rsid w:val="009E6665"/>
    <w:rsid w:val="00A146C2"/>
    <w:rsid w:val="00A22F50"/>
    <w:rsid w:val="00A431AC"/>
    <w:rsid w:val="00A9351B"/>
    <w:rsid w:val="00AF01AB"/>
    <w:rsid w:val="00B772F9"/>
    <w:rsid w:val="00B973C0"/>
    <w:rsid w:val="00BC1DAC"/>
    <w:rsid w:val="00C1193F"/>
    <w:rsid w:val="00C201E9"/>
    <w:rsid w:val="00C92194"/>
    <w:rsid w:val="00CA26D2"/>
    <w:rsid w:val="00CD0BEC"/>
    <w:rsid w:val="00CE7F59"/>
    <w:rsid w:val="00CF170B"/>
    <w:rsid w:val="00CF1F84"/>
    <w:rsid w:val="00D11DDD"/>
    <w:rsid w:val="00D3483D"/>
    <w:rsid w:val="00D510BB"/>
    <w:rsid w:val="00D70407"/>
    <w:rsid w:val="00D727A7"/>
    <w:rsid w:val="00D82739"/>
    <w:rsid w:val="00D8741A"/>
    <w:rsid w:val="00DA5D50"/>
    <w:rsid w:val="00DD7940"/>
    <w:rsid w:val="00E101F0"/>
    <w:rsid w:val="00E127DB"/>
    <w:rsid w:val="00E37A1B"/>
    <w:rsid w:val="00E82A4F"/>
    <w:rsid w:val="00EA79C0"/>
    <w:rsid w:val="00F34D2F"/>
    <w:rsid w:val="00F96D03"/>
    <w:rsid w:val="00FB2E55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C594D5"/>
  <w15:chartTrackingRefBased/>
  <w15:docId w15:val="{76B23B71-1690-4339-A50B-462F43BF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19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9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C9219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921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21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219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219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1305</Words>
  <Characters>7052</Characters>
  <Application>Microsoft Office Word</Application>
  <DocSecurity>0</DocSecurity>
  <Lines>58</Lines>
  <Paragraphs>16</Paragraphs>
  <ScaleCrop>false</ScaleCrop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5</cp:revision>
  <dcterms:created xsi:type="dcterms:W3CDTF">2022-01-28T12:17:00Z</dcterms:created>
  <dcterms:modified xsi:type="dcterms:W3CDTF">2022-01-28T12:29:00Z</dcterms:modified>
</cp:coreProperties>
</file>