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ook w:val="04A0" w:firstRow="1" w:lastRow="0" w:firstColumn="1" w:lastColumn="0" w:noHBand="0" w:noVBand="1"/>
      </w:tblPr>
      <w:tblGrid>
        <w:gridCol w:w="1265"/>
        <w:gridCol w:w="1160"/>
        <w:gridCol w:w="2251"/>
        <w:gridCol w:w="2639"/>
        <w:gridCol w:w="839"/>
        <w:gridCol w:w="1161"/>
        <w:gridCol w:w="1375"/>
        <w:gridCol w:w="971"/>
        <w:gridCol w:w="3949"/>
        <w:gridCol w:w="975"/>
      </w:tblGrid>
      <w:tr w:rsidR="00923CEF" w:rsidRPr="009B5DF0" w14:paraId="443BDEF1" w14:textId="77777777" w:rsidTr="000B30CF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456163BB" w14:textId="77777777" w:rsidR="00923CEF" w:rsidRPr="009B5DF0" w:rsidRDefault="00923CEF" w:rsidP="000B30CF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9B5DF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(14 a 2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</w:t>
            </w:r>
            <w:r w:rsidRPr="009B5DF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/4/2022)</w:t>
            </w:r>
          </w:p>
        </w:tc>
      </w:tr>
      <w:tr w:rsidR="00923CEF" w:rsidRPr="009B5DF0" w14:paraId="73B618BC" w14:textId="77777777" w:rsidTr="000B30CF">
        <w:tc>
          <w:tcPr>
            <w:tcW w:w="1265" w:type="dxa"/>
            <w:shd w:val="clear" w:color="auto" w:fill="D5DCE4" w:themeFill="text2" w:themeFillTint="33"/>
          </w:tcPr>
          <w:p w14:paraId="47E48D8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Circuito</w:t>
            </w:r>
          </w:p>
          <w:p w14:paraId="2615726B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160" w:type="dxa"/>
            <w:shd w:val="clear" w:color="auto" w:fill="D5DCE4" w:themeFill="text2" w:themeFillTint="33"/>
          </w:tcPr>
          <w:p w14:paraId="1FD34392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2251" w:type="dxa"/>
            <w:shd w:val="clear" w:color="auto" w:fill="D5DCE4" w:themeFill="text2" w:themeFillTint="33"/>
          </w:tcPr>
          <w:p w14:paraId="06D40392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2639" w:type="dxa"/>
            <w:shd w:val="clear" w:color="auto" w:fill="D5DCE4" w:themeFill="text2" w:themeFillTint="33"/>
          </w:tcPr>
          <w:p w14:paraId="0E99AF1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839" w:type="dxa"/>
            <w:shd w:val="clear" w:color="auto" w:fill="D5DCE4" w:themeFill="text2" w:themeFillTint="33"/>
          </w:tcPr>
          <w:p w14:paraId="38DFB26B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1161" w:type="dxa"/>
            <w:shd w:val="clear" w:color="auto" w:fill="D5DCE4" w:themeFill="text2" w:themeFillTint="33"/>
          </w:tcPr>
          <w:p w14:paraId="78CC8643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375" w:type="dxa"/>
            <w:shd w:val="clear" w:color="auto" w:fill="D5DCE4" w:themeFill="text2" w:themeFillTint="33"/>
          </w:tcPr>
          <w:p w14:paraId="5947BEE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971" w:type="dxa"/>
            <w:shd w:val="clear" w:color="auto" w:fill="D5DCE4" w:themeFill="text2" w:themeFillTint="33"/>
          </w:tcPr>
          <w:p w14:paraId="3073D32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Diretor</w:t>
            </w:r>
          </w:p>
          <w:p w14:paraId="667939B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3949" w:type="dxa"/>
            <w:shd w:val="clear" w:color="auto" w:fill="D5DCE4" w:themeFill="text2" w:themeFillTint="33"/>
          </w:tcPr>
          <w:p w14:paraId="53A80F8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7169678A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Votação</w:t>
            </w:r>
          </w:p>
        </w:tc>
      </w:tr>
      <w:tr w:rsidR="00923CEF" w:rsidRPr="005D1283" w14:paraId="4A3E5272" w14:textId="77777777" w:rsidTr="000B30CF">
        <w:tc>
          <w:tcPr>
            <w:tcW w:w="1265" w:type="dxa"/>
            <w:shd w:val="clear" w:color="auto" w:fill="auto"/>
          </w:tcPr>
          <w:p w14:paraId="2872B2FD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1649</w:t>
            </w:r>
          </w:p>
        </w:tc>
        <w:tc>
          <w:tcPr>
            <w:tcW w:w="1160" w:type="dxa"/>
            <w:shd w:val="clear" w:color="auto" w:fill="auto"/>
          </w:tcPr>
          <w:p w14:paraId="53495326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AF9F8"/>
              </w:rPr>
              <w:t>168/2022</w:t>
            </w:r>
          </w:p>
        </w:tc>
        <w:tc>
          <w:tcPr>
            <w:tcW w:w="2251" w:type="dxa"/>
            <w:shd w:val="clear" w:color="auto" w:fill="auto"/>
          </w:tcPr>
          <w:p w14:paraId="3F07BE55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5D1283">
              <w:rPr>
                <w:rFonts w:asciiTheme="minorHAnsi" w:hAnsiTheme="minorHAnsi" w:cstheme="minorHAnsi"/>
                <w:shd w:val="clear" w:color="auto" w:fill="FAF9F8"/>
              </w:rPr>
              <w:t>48610.220386/2021,</w:t>
            </w:r>
          </w:p>
          <w:p w14:paraId="271DA171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5D1283">
              <w:rPr>
                <w:rFonts w:asciiTheme="minorHAnsi" w:hAnsiTheme="minorHAnsi" w:cstheme="minorHAnsi"/>
                <w:shd w:val="clear" w:color="auto" w:fill="FAF9F8"/>
              </w:rPr>
              <w:t>48610.206121/2022</w:t>
            </w:r>
          </w:p>
        </w:tc>
        <w:tc>
          <w:tcPr>
            <w:tcW w:w="2639" w:type="dxa"/>
            <w:shd w:val="clear" w:color="auto" w:fill="auto"/>
          </w:tcPr>
          <w:p w14:paraId="36C7285E" w14:textId="77777777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FFFFF"/>
              </w:rPr>
              <w:t>Solicitação de concessão de redução da alíquota de royalties para campos operados pela empresa de médio porte Alvopetro E&amp;P S.A.</w:t>
            </w:r>
          </w:p>
        </w:tc>
        <w:tc>
          <w:tcPr>
            <w:tcW w:w="839" w:type="dxa"/>
            <w:shd w:val="clear" w:color="auto" w:fill="auto"/>
          </w:tcPr>
          <w:p w14:paraId="11648075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EFEFE"/>
              </w:rPr>
              <w:t>SPG</w:t>
            </w:r>
          </w:p>
        </w:tc>
        <w:tc>
          <w:tcPr>
            <w:tcW w:w="1161" w:type="dxa"/>
            <w:shd w:val="clear" w:color="auto" w:fill="auto"/>
          </w:tcPr>
          <w:p w14:paraId="57A0C7F8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203/2022</w:t>
            </w:r>
          </w:p>
        </w:tc>
        <w:tc>
          <w:tcPr>
            <w:tcW w:w="1375" w:type="dxa"/>
            <w:shd w:val="clear" w:color="auto" w:fill="auto"/>
          </w:tcPr>
          <w:p w14:paraId="4E24492A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21/04/2022</w:t>
            </w:r>
          </w:p>
        </w:tc>
        <w:tc>
          <w:tcPr>
            <w:tcW w:w="971" w:type="dxa"/>
            <w:shd w:val="clear" w:color="auto" w:fill="auto"/>
          </w:tcPr>
          <w:p w14:paraId="6117A274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62C01FF1" w14:textId="2EF58755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168, de 21 de março de 2022, no Processo nº 48610.220386/2021-55, no Parecer nº 6/2022/SPG/ANP-RJ, e no Parecer nº 99/2022/PFANP/PGF/AGU, aprovado pelo Despacho nº 417/2022/PFANP/PGF/AGU, emanados pela Procuradoria Geral junto à ANP, resolve</w:t>
            </w:r>
            <w:r w:rsidR="00F210DD">
              <w:rPr>
                <w:rFonts w:asciiTheme="minorHAnsi" w:hAnsiTheme="minorHAnsi" w:cstheme="minorHAnsi"/>
              </w:rPr>
              <w:t xml:space="preserve">, </w:t>
            </w:r>
            <w:r w:rsidR="00F210DD" w:rsidRPr="00F210DD">
              <w:rPr>
                <w:rFonts w:asciiTheme="minorHAnsi" w:hAnsiTheme="minorHAnsi" w:cstheme="minorHAnsi"/>
              </w:rPr>
              <w:t>por unanimidade entre os votantes</w:t>
            </w:r>
            <w:r w:rsidRPr="005D1283">
              <w:rPr>
                <w:rFonts w:asciiTheme="minorHAnsi" w:hAnsiTheme="minorHAnsi" w:cstheme="minorHAnsi"/>
              </w:rPr>
              <w:t>:</w:t>
            </w:r>
          </w:p>
          <w:p w14:paraId="7F965EA7" w14:textId="77777777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Aprovar o pleito de concessão de redução da alíquota de royalties para 7,5% (sete e meio por cento) para os campos de Mãe-da-Lua, Caburé e Caburé Leste, operados pela empresa Alvopetro S.A. Extração de Petróleo e Gás Natural, uma vez que a empresa é considerada de médio porte e atende aos critérios normativos para obtenção do benefício, nos termos da Resolução ANP nº 853/2021.</w:t>
            </w:r>
          </w:p>
        </w:tc>
        <w:tc>
          <w:tcPr>
            <w:tcW w:w="975" w:type="dxa"/>
            <w:shd w:val="clear" w:color="auto" w:fill="auto"/>
          </w:tcPr>
          <w:p w14:paraId="46BA2168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DG</w:t>
            </w:r>
          </w:p>
          <w:p w14:paraId="6DA06C9E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1</w:t>
            </w:r>
          </w:p>
          <w:p w14:paraId="3E73E16F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2</w:t>
            </w:r>
          </w:p>
          <w:p w14:paraId="7E9C38DC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4</w:t>
            </w:r>
          </w:p>
        </w:tc>
      </w:tr>
      <w:tr w:rsidR="00923CEF" w:rsidRPr="005D1283" w14:paraId="50577C53" w14:textId="77777777" w:rsidTr="000B30CF">
        <w:tc>
          <w:tcPr>
            <w:tcW w:w="1265" w:type="dxa"/>
            <w:shd w:val="clear" w:color="auto" w:fill="auto"/>
          </w:tcPr>
          <w:p w14:paraId="53EDC970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1652</w:t>
            </w:r>
          </w:p>
        </w:tc>
        <w:tc>
          <w:tcPr>
            <w:tcW w:w="1160" w:type="dxa"/>
            <w:shd w:val="clear" w:color="auto" w:fill="auto"/>
          </w:tcPr>
          <w:p w14:paraId="6455A859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AF9F8"/>
              </w:rPr>
              <w:t>81/2022</w:t>
            </w:r>
          </w:p>
        </w:tc>
        <w:tc>
          <w:tcPr>
            <w:tcW w:w="2251" w:type="dxa"/>
            <w:shd w:val="clear" w:color="auto" w:fill="auto"/>
          </w:tcPr>
          <w:p w14:paraId="4528564B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AF9F8"/>
              </w:rPr>
            </w:pPr>
            <w:r w:rsidRPr="005D1283">
              <w:rPr>
                <w:rFonts w:asciiTheme="minorHAnsi" w:hAnsiTheme="minorHAnsi" w:cstheme="minorHAnsi"/>
                <w:shd w:val="clear" w:color="auto" w:fill="FAF9F8"/>
              </w:rPr>
              <w:t>48610.203593/2018</w:t>
            </w:r>
          </w:p>
        </w:tc>
        <w:tc>
          <w:tcPr>
            <w:tcW w:w="2639" w:type="dxa"/>
            <w:shd w:val="clear" w:color="auto" w:fill="auto"/>
          </w:tcPr>
          <w:p w14:paraId="37834DAB" w14:textId="77777777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FFFFF"/>
              </w:rPr>
              <w:t>Alteração da Portaria ANP nº 9, de 23 de março de 2021, que regulamenta o Programa de Gestão de Demandas no âmbito da Agência Nacional do Petróleo, Gás Natural e Biocombustíveis - ANP</w:t>
            </w:r>
          </w:p>
        </w:tc>
        <w:tc>
          <w:tcPr>
            <w:tcW w:w="839" w:type="dxa"/>
            <w:shd w:val="clear" w:color="auto" w:fill="auto"/>
          </w:tcPr>
          <w:p w14:paraId="43476B78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  <w:shd w:val="clear" w:color="auto" w:fill="FEFEFE"/>
              </w:rPr>
              <w:t>SGP</w:t>
            </w:r>
          </w:p>
        </w:tc>
        <w:tc>
          <w:tcPr>
            <w:tcW w:w="1161" w:type="dxa"/>
            <w:shd w:val="clear" w:color="auto" w:fill="auto"/>
          </w:tcPr>
          <w:p w14:paraId="25F2A5F9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202/2022</w:t>
            </w:r>
          </w:p>
        </w:tc>
        <w:tc>
          <w:tcPr>
            <w:tcW w:w="1375" w:type="dxa"/>
            <w:shd w:val="clear" w:color="auto" w:fill="auto"/>
          </w:tcPr>
          <w:p w14:paraId="68D610F4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21/04/2022</w:t>
            </w:r>
          </w:p>
        </w:tc>
        <w:tc>
          <w:tcPr>
            <w:tcW w:w="971" w:type="dxa"/>
            <w:shd w:val="clear" w:color="auto" w:fill="auto"/>
          </w:tcPr>
          <w:p w14:paraId="77555620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3949" w:type="dxa"/>
            <w:shd w:val="clear" w:color="auto" w:fill="auto"/>
          </w:tcPr>
          <w:p w14:paraId="1FD602A3" w14:textId="2E6EA5B9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81, de 16 de fevereiro de 2022, na Nota Técnica nº 6/2022/SGP-CDP/SGP/ANP-RJ, e no Parecer nº 55/2022/PFANP/PGF/AGU, aprovado pelo </w:t>
            </w:r>
            <w:r w:rsidRPr="005D1283">
              <w:rPr>
                <w:rFonts w:asciiTheme="minorHAnsi" w:hAnsiTheme="minorHAnsi" w:cstheme="minorHAnsi"/>
              </w:rPr>
              <w:lastRenderedPageBreak/>
              <w:t>Despacho nº 238/2022/PFANP/PGF/AGU, resolve</w:t>
            </w:r>
            <w:r w:rsidR="00F210DD">
              <w:rPr>
                <w:rFonts w:asciiTheme="minorHAnsi" w:hAnsiTheme="minorHAnsi" w:cstheme="minorHAnsi"/>
              </w:rPr>
              <w:t xml:space="preserve">, </w:t>
            </w:r>
            <w:r w:rsidR="00F210DD" w:rsidRPr="00F210DD">
              <w:rPr>
                <w:rFonts w:asciiTheme="minorHAnsi" w:hAnsiTheme="minorHAnsi" w:cstheme="minorHAnsi"/>
              </w:rPr>
              <w:t>por unanimidade entre os votantes</w:t>
            </w:r>
            <w:r w:rsidRPr="005D1283">
              <w:rPr>
                <w:rFonts w:asciiTheme="minorHAnsi" w:hAnsiTheme="minorHAnsi" w:cstheme="minorHAnsi"/>
              </w:rPr>
              <w:t>:</w:t>
            </w:r>
          </w:p>
          <w:p w14:paraId="702FE82D" w14:textId="77777777" w:rsidR="00923CEF" w:rsidRPr="005D1283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Aprovar a alteração da Portaria ANP nº 9/2020, que regulamenta o programa de gestão no âmbito da ANP.</w:t>
            </w:r>
          </w:p>
        </w:tc>
        <w:tc>
          <w:tcPr>
            <w:tcW w:w="975" w:type="dxa"/>
            <w:shd w:val="clear" w:color="auto" w:fill="auto"/>
          </w:tcPr>
          <w:p w14:paraId="78EAF2B1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86D6350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1</w:t>
            </w:r>
          </w:p>
          <w:p w14:paraId="4787ED5F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2</w:t>
            </w:r>
          </w:p>
          <w:p w14:paraId="44AA3246" w14:textId="77777777" w:rsidR="00923CEF" w:rsidRPr="005D1283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1283">
              <w:rPr>
                <w:rFonts w:asciiTheme="minorHAnsi" w:hAnsiTheme="minorHAnsi" w:cstheme="minorHAnsi"/>
              </w:rPr>
              <w:t>DIR 4</w:t>
            </w:r>
          </w:p>
        </w:tc>
      </w:tr>
      <w:tr w:rsidR="00923CEF" w:rsidRPr="009B5DF0" w14:paraId="6BBA39AB" w14:textId="77777777" w:rsidTr="000B30CF">
        <w:tc>
          <w:tcPr>
            <w:tcW w:w="1265" w:type="dxa"/>
            <w:shd w:val="clear" w:color="auto" w:fill="auto"/>
          </w:tcPr>
          <w:p w14:paraId="47494E4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1654</w:t>
            </w:r>
          </w:p>
        </w:tc>
        <w:tc>
          <w:tcPr>
            <w:tcW w:w="1160" w:type="dxa"/>
            <w:shd w:val="clear" w:color="auto" w:fill="auto"/>
          </w:tcPr>
          <w:p w14:paraId="624CB04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225/2022</w:t>
            </w:r>
          </w:p>
        </w:tc>
        <w:tc>
          <w:tcPr>
            <w:tcW w:w="2251" w:type="dxa"/>
            <w:shd w:val="clear" w:color="auto" w:fill="auto"/>
          </w:tcPr>
          <w:p w14:paraId="3312FC9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48610.212917/2021</w:t>
            </w:r>
          </w:p>
        </w:tc>
        <w:tc>
          <w:tcPr>
            <w:tcW w:w="2639" w:type="dxa"/>
            <w:shd w:val="clear" w:color="auto" w:fill="auto"/>
          </w:tcPr>
          <w:p w14:paraId="7A7014AC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Julgamento do recurso do Pregão Eletrônico nº 037/21, sua adjudicação e homologação.</w:t>
            </w:r>
          </w:p>
        </w:tc>
        <w:tc>
          <w:tcPr>
            <w:tcW w:w="839" w:type="dxa"/>
            <w:shd w:val="clear" w:color="auto" w:fill="auto"/>
          </w:tcPr>
          <w:p w14:paraId="38D60E0F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t>SGA</w:t>
            </w:r>
          </w:p>
        </w:tc>
        <w:tc>
          <w:tcPr>
            <w:tcW w:w="1161" w:type="dxa"/>
            <w:shd w:val="clear" w:color="auto" w:fill="auto"/>
          </w:tcPr>
          <w:p w14:paraId="06E62DCB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201/2022</w:t>
            </w:r>
          </w:p>
        </w:tc>
        <w:tc>
          <w:tcPr>
            <w:tcW w:w="1375" w:type="dxa"/>
            <w:shd w:val="clear" w:color="auto" w:fill="auto"/>
          </w:tcPr>
          <w:p w14:paraId="47777E2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20/04/2022</w:t>
            </w:r>
          </w:p>
        </w:tc>
        <w:tc>
          <w:tcPr>
            <w:tcW w:w="971" w:type="dxa"/>
            <w:shd w:val="clear" w:color="auto" w:fill="auto"/>
          </w:tcPr>
          <w:p w14:paraId="4E2F0A2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3949" w:type="dxa"/>
            <w:shd w:val="clear" w:color="auto" w:fill="auto"/>
          </w:tcPr>
          <w:p w14:paraId="7DA5B3FD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225, de 5 de abril de 2022, resolve, por unanimidade entre os votantes:</w:t>
            </w:r>
          </w:p>
          <w:p w14:paraId="58F6DCBB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Julgar improcedente o recurso, adjudicando e homologando o resultado do certame, cuja vencedora foi a empresa OBDI Motors do Brasil Eireli, com oferta no valor total de R$ 1.350.894,04 (um milhão trezentos e cinquenta mil oitocentos e noventa e quatro reais e quatro centavos).</w:t>
            </w:r>
          </w:p>
        </w:tc>
        <w:tc>
          <w:tcPr>
            <w:tcW w:w="975" w:type="dxa"/>
            <w:shd w:val="clear" w:color="auto" w:fill="auto"/>
          </w:tcPr>
          <w:p w14:paraId="117EDA7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4A8FA34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0376CBE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7F794E35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5F3B92E8" w14:textId="77777777" w:rsidTr="000B30CF">
        <w:tc>
          <w:tcPr>
            <w:tcW w:w="1265" w:type="dxa"/>
            <w:shd w:val="clear" w:color="auto" w:fill="auto"/>
          </w:tcPr>
          <w:p w14:paraId="62433D0B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1651</w:t>
            </w:r>
          </w:p>
        </w:tc>
        <w:tc>
          <w:tcPr>
            <w:tcW w:w="1160" w:type="dxa"/>
            <w:shd w:val="clear" w:color="auto" w:fill="auto"/>
          </w:tcPr>
          <w:p w14:paraId="4889CCC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171/2022</w:t>
            </w:r>
          </w:p>
        </w:tc>
        <w:tc>
          <w:tcPr>
            <w:tcW w:w="2251" w:type="dxa"/>
            <w:shd w:val="clear" w:color="auto" w:fill="auto"/>
          </w:tcPr>
          <w:p w14:paraId="6982AD5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48610.224866/2021</w:t>
            </w:r>
          </w:p>
        </w:tc>
        <w:tc>
          <w:tcPr>
            <w:tcW w:w="2639" w:type="dxa"/>
            <w:shd w:val="clear" w:color="auto" w:fill="auto"/>
          </w:tcPr>
          <w:p w14:paraId="5540A66A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Solicitação de concessão de redução da alíquota de royalties para o campo de Dó-Ré-Mi, operado pela empresa de pequeno porte Ubuntu Engenharia e Serviços Ltda.</w:t>
            </w:r>
          </w:p>
        </w:tc>
        <w:tc>
          <w:tcPr>
            <w:tcW w:w="839" w:type="dxa"/>
            <w:shd w:val="clear" w:color="auto" w:fill="auto"/>
          </w:tcPr>
          <w:p w14:paraId="2C3D191C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t>SPG</w:t>
            </w:r>
          </w:p>
        </w:tc>
        <w:tc>
          <w:tcPr>
            <w:tcW w:w="1161" w:type="dxa"/>
            <w:shd w:val="clear" w:color="auto" w:fill="auto"/>
          </w:tcPr>
          <w:p w14:paraId="3EF9108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200/2022</w:t>
            </w:r>
          </w:p>
        </w:tc>
        <w:tc>
          <w:tcPr>
            <w:tcW w:w="1375" w:type="dxa"/>
            <w:shd w:val="clear" w:color="auto" w:fill="auto"/>
          </w:tcPr>
          <w:p w14:paraId="73FBDE3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20/04/2022</w:t>
            </w:r>
          </w:p>
        </w:tc>
        <w:tc>
          <w:tcPr>
            <w:tcW w:w="971" w:type="dxa"/>
            <w:shd w:val="clear" w:color="auto" w:fill="auto"/>
          </w:tcPr>
          <w:p w14:paraId="2088AF4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36B94C20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171, de 22 de março de 2022, no Processo nº 48610.224866/2021-95, no Parecer nº 8/2022/SPG/ANPRJ, e no Parecer nº 103/2022/PFANP/PGF/AGU, aprovado pelo Despacho nº 415/2022/PFANP/PGF/AGU, emanados pela Procuradoria Geral junto à ANP, resolve, por unanimidade entre os votantes:</w:t>
            </w:r>
          </w:p>
          <w:p w14:paraId="7DAA41D6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Rejeitar o pedido de redução da alíquota de royalties para 5% (cinco por cento) para o campo de Dó-Ré-Mi, operado pela empresa Ubuntu Engenharia e Serviços Ltda., uma vez que o consórcio não atende aos critérios normativos para obtenção do benefício.</w:t>
            </w:r>
          </w:p>
        </w:tc>
        <w:tc>
          <w:tcPr>
            <w:tcW w:w="975" w:type="dxa"/>
            <w:shd w:val="clear" w:color="auto" w:fill="auto"/>
          </w:tcPr>
          <w:p w14:paraId="07ACA342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04FFDFD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673AEBCF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5A75409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7A22731F" w14:textId="77777777" w:rsidTr="000B30CF">
        <w:tc>
          <w:tcPr>
            <w:tcW w:w="1265" w:type="dxa"/>
            <w:shd w:val="clear" w:color="auto" w:fill="auto"/>
          </w:tcPr>
          <w:p w14:paraId="0B7FB503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lastRenderedPageBreak/>
              <w:t>1650</w:t>
            </w:r>
          </w:p>
        </w:tc>
        <w:tc>
          <w:tcPr>
            <w:tcW w:w="1160" w:type="dxa"/>
            <w:shd w:val="clear" w:color="auto" w:fill="auto"/>
          </w:tcPr>
          <w:p w14:paraId="3D4FE8B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170/2022</w:t>
            </w:r>
          </w:p>
        </w:tc>
        <w:tc>
          <w:tcPr>
            <w:tcW w:w="2251" w:type="dxa"/>
            <w:shd w:val="clear" w:color="auto" w:fill="auto"/>
          </w:tcPr>
          <w:p w14:paraId="3D9E956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48610.205681/2022,</w:t>
            </w:r>
          </w:p>
          <w:p w14:paraId="07D69F1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48610.203743/2022</w:t>
            </w:r>
          </w:p>
        </w:tc>
        <w:tc>
          <w:tcPr>
            <w:tcW w:w="2639" w:type="dxa"/>
            <w:shd w:val="clear" w:color="auto" w:fill="auto"/>
          </w:tcPr>
          <w:p w14:paraId="4FA1BC79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Solicitação de concessão de redução da alíquota de royalties para o campo de Suindara, operado pela empresa BGM Petróleo e Gás S.A.</w:t>
            </w:r>
          </w:p>
        </w:tc>
        <w:tc>
          <w:tcPr>
            <w:tcW w:w="839" w:type="dxa"/>
            <w:shd w:val="clear" w:color="auto" w:fill="auto"/>
          </w:tcPr>
          <w:p w14:paraId="0AC8519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t>SPG</w:t>
            </w:r>
          </w:p>
        </w:tc>
        <w:tc>
          <w:tcPr>
            <w:tcW w:w="1161" w:type="dxa"/>
            <w:shd w:val="clear" w:color="auto" w:fill="auto"/>
          </w:tcPr>
          <w:p w14:paraId="41EFBDD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199/2022</w:t>
            </w:r>
          </w:p>
        </w:tc>
        <w:tc>
          <w:tcPr>
            <w:tcW w:w="1375" w:type="dxa"/>
            <w:shd w:val="clear" w:color="auto" w:fill="auto"/>
          </w:tcPr>
          <w:p w14:paraId="2552B7B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20/04/2022</w:t>
            </w:r>
          </w:p>
        </w:tc>
        <w:tc>
          <w:tcPr>
            <w:tcW w:w="971" w:type="dxa"/>
            <w:shd w:val="clear" w:color="auto" w:fill="auto"/>
          </w:tcPr>
          <w:p w14:paraId="715F0D25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66883595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170, de 22 de março de 2022, no Processo nº 48610.203743/2022-00, no Parecer nº 4/2022/SPG/ANPRJ, e no Parecer nº 102/2022/PFANP/PGF/AGU, aprovado pelo Despacho nº 416/2022/PFANP/PGF/AGU, emanados pela Procuradoria Geral junto à ANP, resolve, por unanimidade entre os votantes:</w:t>
            </w:r>
          </w:p>
          <w:p w14:paraId="127C79C3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Aprovar o pleito de concessão de redução da alíquota de royalties para 5% (cinco por cento) para o campo de Suindara, operado pela empresa BGM Petróleo e Gás S.A., uma vez que a empresa é considerada de pequeno porte e atende aos critérios normativos para obtenção do benefício, estabelecidos na Resolução ANP nº 8532021.</w:t>
            </w:r>
          </w:p>
        </w:tc>
        <w:tc>
          <w:tcPr>
            <w:tcW w:w="975" w:type="dxa"/>
            <w:shd w:val="clear" w:color="auto" w:fill="auto"/>
          </w:tcPr>
          <w:p w14:paraId="4C57DF2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621855D9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5AA243A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1E09D44E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25105212" w14:textId="77777777" w:rsidTr="000B30CF">
        <w:tc>
          <w:tcPr>
            <w:tcW w:w="1265" w:type="dxa"/>
            <w:shd w:val="clear" w:color="auto" w:fill="auto"/>
          </w:tcPr>
          <w:p w14:paraId="16A774B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1647</w:t>
            </w:r>
          </w:p>
        </w:tc>
        <w:tc>
          <w:tcPr>
            <w:tcW w:w="1160" w:type="dxa"/>
            <w:shd w:val="clear" w:color="auto" w:fill="auto"/>
          </w:tcPr>
          <w:p w14:paraId="313514C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230/2022</w:t>
            </w:r>
          </w:p>
        </w:tc>
        <w:tc>
          <w:tcPr>
            <w:tcW w:w="2251" w:type="dxa"/>
            <w:shd w:val="clear" w:color="auto" w:fill="auto"/>
          </w:tcPr>
          <w:p w14:paraId="5C69F12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201F1E"/>
                <w:shd w:val="clear" w:color="auto" w:fill="FFFFFF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48610.209879/2021</w:t>
            </w:r>
          </w:p>
        </w:tc>
        <w:tc>
          <w:tcPr>
            <w:tcW w:w="2639" w:type="dxa"/>
            <w:shd w:val="clear" w:color="auto" w:fill="auto"/>
          </w:tcPr>
          <w:p w14:paraId="6755321E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Alteração da composição da Comissão Especial de Licitação (CEL)</w:t>
            </w:r>
          </w:p>
        </w:tc>
        <w:tc>
          <w:tcPr>
            <w:tcW w:w="839" w:type="dxa"/>
            <w:shd w:val="clear" w:color="auto" w:fill="auto"/>
          </w:tcPr>
          <w:p w14:paraId="4A7097A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t>SPL</w:t>
            </w:r>
          </w:p>
        </w:tc>
        <w:tc>
          <w:tcPr>
            <w:tcW w:w="1161" w:type="dxa"/>
            <w:shd w:val="clear" w:color="auto" w:fill="auto"/>
          </w:tcPr>
          <w:p w14:paraId="5C765A40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198/2022</w:t>
            </w:r>
          </w:p>
        </w:tc>
        <w:tc>
          <w:tcPr>
            <w:tcW w:w="1375" w:type="dxa"/>
            <w:shd w:val="clear" w:color="auto" w:fill="auto"/>
          </w:tcPr>
          <w:p w14:paraId="437123C3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20/04/2022</w:t>
            </w:r>
          </w:p>
        </w:tc>
        <w:tc>
          <w:tcPr>
            <w:tcW w:w="971" w:type="dxa"/>
            <w:shd w:val="clear" w:color="auto" w:fill="auto"/>
          </w:tcPr>
          <w:p w14:paraId="6675D9D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5233CDF3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230, de 7 de abril de 2022 e no Processo nº 48610.209879/2021-34, resolve, por unanimidade entre os votantes:</w:t>
            </w:r>
          </w:p>
          <w:p w14:paraId="2870B4E0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Aprovar a alteração da composição da Comissão Especial de Licitação da Segunda Rodada de Licitações dos Volumes Excedentes da Cessão Onerosa, nos termos propostos, consoante ao disposto no art. 3º a Portaria nº 375/2017, substituindo a representante Diane Mara Ferreira Varanda Rangel por Miguel Antonio Tupinambá Araujo Souza.</w:t>
            </w:r>
          </w:p>
        </w:tc>
        <w:tc>
          <w:tcPr>
            <w:tcW w:w="975" w:type="dxa"/>
            <w:shd w:val="clear" w:color="auto" w:fill="auto"/>
          </w:tcPr>
          <w:p w14:paraId="06D7C7C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1F18AF75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110FE6E3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2A193B9A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6610B9FF" w14:textId="77777777" w:rsidTr="000B30CF">
        <w:tc>
          <w:tcPr>
            <w:tcW w:w="1265" w:type="dxa"/>
            <w:shd w:val="clear" w:color="auto" w:fill="auto"/>
          </w:tcPr>
          <w:p w14:paraId="7E294F2E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lastRenderedPageBreak/>
              <w:t>1648</w:t>
            </w:r>
          </w:p>
        </w:tc>
        <w:tc>
          <w:tcPr>
            <w:tcW w:w="1160" w:type="dxa"/>
            <w:shd w:val="clear" w:color="auto" w:fill="auto"/>
          </w:tcPr>
          <w:p w14:paraId="11CFA554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237/2022</w:t>
            </w:r>
          </w:p>
        </w:tc>
        <w:tc>
          <w:tcPr>
            <w:tcW w:w="2251" w:type="dxa"/>
            <w:shd w:val="clear" w:color="auto" w:fill="auto"/>
          </w:tcPr>
          <w:p w14:paraId="660646AE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323130"/>
                <w:shd w:val="clear" w:color="auto" w:fill="FAF9F8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48610.007365/2018</w:t>
            </w:r>
          </w:p>
        </w:tc>
        <w:tc>
          <w:tcPr>
            <w:tcW w:w="2639" w:type="dxa"/>
            <w:shd w:val="clear" w:color="auto" w:fill="auto"/>
          </w:tcPr>
          <w:p w14:paraId="19D25FC6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Alteração da composição da Comissão Especial de Licitação (CEL) da Oferta Permanente para a outorga de contratos de concessão para exploração ou reabilitação e produção de petróleo e gás natural em blocos com risco exploratório e áreas com acumulações marginais.</w:t>
            </w:r>
          </w:p>
        </w:tc>
        <w:tc>
          <w:tcPr>
            <w:tcW w:w="839" w:type="dxa"/>
            <w:shd w:val="clear" w:color="auto" w:fill="auto"/>
          </w:tcPr>
          <w:p w14:paraId="36B0EB3F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t>SPL</w:t>
            </w:r>
          </w:p>
        </w:tc>
        <w:tc>
          <w:tcPr>
            <w:tcW w:w="1161" w:type="dxa"/>
            <w:shd w:val="clear" w:color="auto" w:fill="auto"/>
          </w:tcPr>
          <w:p w14:paraId="3C3DB23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197/2022</w:t>
            </w:r>
          </w:p>
        </w:tc>
        <w:tc>
          <w:tcPr>
            <w:tcW w:w="1375" w:type="dxa"/>
            <w:shd w:val="clear" w:color="auto" w:fill="auto"/>
          </w:tcPr>
          <w:p w14:paraId="25E9E7A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20/04/2022</w:t>
            </w:r>
          </w:p>
        </w:tc>
        <w:tc>
          <w:tcPr>
            <w:tcW w:w="971" w:type="dxa"/>
            <w:shd w:val="clear" w:color="auto" w:fill="auto"/>
          </w:tcPr>
          <w:p w14:paraId="1967DF8F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Luiz Henrique Bispo</w:t>
            </w:r>
          </w:p>
        </w:tc>
        <w:tc>
          <w:tcPr>
            <w:tcW w:w="3949" w:type="dxa"/>
            <w:shd w:val="clear" w:color="auto" w:fill="auto"/>
          </w:tcPr>
          <w:p w14:paraId="40F84325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no Processo nº 48610.007365/2018-41 e na Proposta de Ação nº 237, de 11 de abril de 2022, resolve, por unanimidade entre os votantes:</w:t>
            </w:r>
          </w:p>
          <w:p w14:paraId="0F34C640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Aprovar a alteração da composição da Comissão Especial de Licitação da Oferta Permanente para a outorga de contratos de concessão para exploração ou reabilitação e produção de petróleo e gás natural em blocos com risco exploratório e áreas com acumulações marginais, nos termos dos arts. 3º e 7º da Portaria ANP nº 291/2018, substituindo a representante da sociedade Diane Mara Ferreira Varanda Rangel por Miguel Antonio Tupinambá Araujo Souza.</w:t>
            </w:r>
          </w:p>
        </w:tc>
        <w:tc>
          <w:tcPr>
            <w:tcW w:w="975" w:type="dxa"/>
            <w:shd w:val="clear" w:color="auto" w:fill="auto"/>
          </w:tcPr>
          <w:p w14:paraId="76A636A0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618A8CD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1B4AD420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20B8A14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2568CF51" w14:textId="77777777" w:rsidTr="000B30CF">
        <w:tc>
          <w:tcPr>
            <w:tcW w:w="1265" w:type="dxa"/>
            <w:shd w:val="clear" w:color="auto" w:fill="auto"/>
          </w:tcPr>
          <w:p w14:paraId="2ABC603A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1658</w:t>
            </w:r>
          </w:p>
        </w:tc>
        <w:tc>
          <w:tcPr>
            <w:tcW w:w="1160" w:type="dxa"/>
            <w:shd w:val="clear" w:color="auto" w:fill="auto"/>
          </w:tcPr>
          <w:p w14:paraId="17C45CD3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234/2022</w:t>
            </w:r>
          </w:p>
        </w:tc>
        <w:tc>
          <w:tcPr>
            <w:tcW w:w="2251" w:type="dxa"/>
            <w:shd w:val="clear" w:color="auto" w:fill="auto"/>
          </w:tcPr>
          <w:p w14:paraId="6329D6A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48620.200555/2022</w:t>
            </w:r>
          </w:p>
        </w:tc>
        <w:tc>
          <w:tcPr>
            <w:tcW w:w="2639" w:type="dxa"/>
            <w:shd w:val="clear" w:color="auto" w:fill="auto"/>
          </w:tcPr>
          <w:p w14:paraId="571BBF5F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Prorrogação por mais 12 meses do Termo de Convênio entre a ANP e o PROCON/SP, assinado em 25/04/2018 com vigência inicial de 48 meses</w:t>
            </w:r>
          </w:p>
        </w:tc>
        <w:tc>
          <w:tcPr>
            <w:tcW w:w="839" w:type="dxa"/>
            <w:shd w:val="clear" w:color="auto" w:fill="auto"/>
          </w:tcPr>
          <w:p w14:paraId="5E89740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shd w:val="clear" w:color="auto" w:fill="FEFEFE"/>
              </w:rPr>
            </w:pPr>
            <w:r w:rsidRPr="009B5DF0">
              <w:rPr>
                <w:rFonts w:asciiTheme="minorHAnsi" w:hAnsiTheme="minorHAnsi" w:cstheme="minorHAnsi"/>
              </w:rPr>
              <w:t>NSP</w:t>
            </w:r>
          </w:p>
        </w:tc>
        <w:tc>
          <w:tcPr>
            <w:tcW w:w="1161" w:type="dxa"/>
            <w:shd w:val="clear" w:color="auto" w:fill="auto"/>
          </w:tcPr>
          <w:p w14:paraId="5A352C8C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196/2022</w:t>
            </w:r>
          </w:p>
        </w:tc>
        <w:tc>
          <w:tcPr>
            <w:tcW w:w="1375" w:type="dxa"/>
            <w:shd w:val="clear" w:color="auto" w:fill="auto"/>
          </w:tcPr>
          <w:p w14:paraId="44FAE84D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19/04/2022</w:t>
            </w:r>
          </w:p>
        </w:tc>
        <w:tc>
          <w:tcPr>
            <w:tcW w:w="971" w:type="dxa"/>
            <w:shd w:val="clear" w:color="auto" w:fill="auto"/>
          </w:tcPr>
          <w:p w14:paraId="68AEABF6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3949" w:type="dxa"/>
            <w:shd w:val="clear" w:color="auto" w:fill="auto"/>
          </w:tcPr>
          <w:p w14:paraId="1007DBFB" w14:textId="77777777" w:rsidR="00923CEF" w:rsidRPr="005D696C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234, de 7 de abril de 2022, nos autos do Processo Administrativo nº 48620.200555/2022 e na Nota Técnica nº 1/2022/SFI-NSP/SFI/ANP-SP, resolve, por unanimidade entre os votantes:</w:t>
            </w:r>
          </w:p>
          <w:p w14:paraId="188ED6F8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5D696C">
              <w:rPr>
                <w:rFonts w:asciiTheme="minorHAnsi" w:hAnsiTheme="minorHAnsi" w:cstheme="minorHAnsi"/>
                <w:color w:val="000000"/>
              </w:rPr>
              <w:t>Aprovar a celebração do 1º Termo Aditivo ao Acordo de Cooperação firmado entre a ANP e Procon/SP (SEI 2084974).</w:t>
            </w:r>
          </w:p>
        </w:tc>
        <w:tc>
          <w:tcPr>
            <w:tcW w:w="975" w:type="dxa"/>
            <w:shd w:val="clear" w:color="auto" w:fill="auto"/>
          </w:tcPr>
          <w:p w14:paraId="3AD9B712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DG</w:t>
            </w:r>
          </w:p>
          <w:p w14:paraId="4D50F23F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356A4A62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49B44FDE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4701515A" w14:textId="77777777" w:rsidTr="000B30CF">
        <w:tc>
          <w:tcPr>
            <w:tcW w:w="1265" w:type="dxa"/>
            <w:shd w:val="clear" w:color="auto" w:fill="auto"/>
          </w:tcPr>
          <w:p w14:paraId="40E61DD5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1655</w:t>
            </w:r>
          </w:p>
        </w:tc>
        <w:tc>
          <w:tcPr>
            <w:tcW w:w="1160" w:type="dxa"/>
            <w:shd w:val="clear" w:color="auto" w:fill="auto"/>
          </w:tcPr>
          <w:p w14:paraId="57135230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826/2021</w:t>
            </w:r>
          </w:p>
        </w:tc>
        <w:tc>
          <w:tcPr>
            <w:tcW w:w="2251" w:type="dxa"/>
            <w:shd w:val="clear" w:color="auto" w:fill="auto"/>
          </w:tcPr>
          <w:p w14:paraId="1B44E52A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</w:rPr>
              <w:t>48610.213488/2021</w:t>
            </w:r>
          </w:p>
        </w:tc>
        <w:tc>
          <w:tcPr>
            <w:tcW w:w="2639" w:type="dxa"/>
            <w:shd w:val="clear" w:color="auto" w:fill="auto"/>
          </w:tcPr>
          <w:p w14:paraId="3D183B0C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 xml:space="preserve">Proposta de celebração de Termo de Execução Descentralizada entre a Agência Nacional do Petróleo, Gás Natural e Biocombustíveis (ANP) e a </w:t>
            </w:r>
            <w:r w:rsidRPr="009B5DF0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lastRenderedPageBreak/>
              <w:t>Diretoria de Portos e Costas (DPC).</w:t>
            </w:r>
          </w:p>
        </w:tc>
        <w:tc>
          <w:tcPr>
            <w:tcW w:w="839" w:type="dxa"/>
            <w:shd w:val="clear" w:color="auto" w:fill="auto"/>
          </w:tcPr>
          <w:p w14:paraId="659E1D70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shd w:val="clear" w:color="auto" w:fill="FEFEFE"/>
              </w:rPr>
              <w:lastRenderedPageBreak/>
              <w:t>SSM</w:t>
            </w:r>
          </w:p>
        </w:tc>
        <w:tc>
          <w:tcPr>
            <w:tcW w:w="1161" w:type="dxa"/>
            <w:shd w:val="clear" w:color="auto" w:fill="auto"/>
          </w:tcPr>
          <w:p w14:paraId="7DDC48F8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195/2022</w:t>
            </w:r>
          </w:p>
        </w:tc>
        <w:tc>
          <w:tcPr>
            <w:tcW w:w="1375" w:type="dxa"/>
            <w:shd w:val="clear" w:color="auto" w:fill="auto"/>
          </w:tcPr>
          <w:p w14:paraId="06E858E5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19/04/2022</w:t>
            </w:r>
          </w:p>
        </w:tc>
        <w:tc>
          <w:tcPr>
            <w:tcW w:w="971" w:type="dxa"/>
            <w:shd w:val="clear" w:color="auto" w:fill="auto"/>
          </w:tcPr>
          <w:p w14:paraId="1AA6F3FA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3949" w:type="dxa"/>
            <w:shd w:val="clear" w:color="auto" w:fill="auto"/>
          </w:tcPr>
          <w:p w14:paraId="11EA8CCC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826, de 27 de dezembro de 2021, na Nota Técnica nº 71/2021/SSM/ANP-RJ; na Nota Técnica nº 5/2022/SSM/ANP-RJ, no Parecer nº 12/2022/PFANP/PGF/AGU, aprovado pelo </w:t>
            </w:r>
            <w:r w:rsidRPr="009B5DF0">
              <w:rPr>
                <w:rFonts w:asciiTheme="minorHAnsi" w:hAnsiTheme="minorHAnsi" w:cstheme="minorHAnsi"/>
              </w:rPr>
              <w:lastRenderedPageBreak/>
              <w:t>despacho nº 55/2022/PFANP/PGF/AGU e no Parecer nº 95/2022/PFANP/PGF/AGU, aprovado pelo Despacho nº 381/2022/PFANP/PGF/AGU, resolve, por unanimidade entre os votantes:</w:t>
            </w:r>
          </w:p>
          <w:p w14:paraId="6E2832D1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B5DF0">
              <w:rPr>
                <w:rFonts w:asciiTheme="minorHAnsi" w:hAnsiTheme="minorHAnsi" w:cstheme="minorHAnsi"/>
              </w:rPr>
              <w:t>Aprovar a celebração de Termo de Execução Descentralizada entre a Agência Nacional do Petróleo Gás Natural e Biocombustíveis (ANP) e a Diretoria de Portos e Costas (DPC) da Marinha do Brasil, tendo por objeto a operação e manutenção de sistema de monitoramento do tráfego marítimo nas áreas de exploração e produção de petróleo e gás natural, o SIMMAP (Sistema de Monitoramento Marítimo de Apoio à Área do Petróleo), pelo período de 24 meses, no valor total de R$ 432.000,00.</w:t>
            </w:r>
          </w:p>
        </w:tc>
        <w:tc>
          <w:tcPr>
            <w:tcW w:w="975" w:type="dxa"/>
            <w:shd w:val="clear" w:color="auto" w:fill="auto"/>
          </w:tcPr>
          <w:p w14:paraId="17326B6C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lastRenderedPageBreak/>
              <w:t>DG</w:t>
            </w:r>
          </w:p>
          <w:p w14:paraId="044FCC81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2</w:t>
            </w:r>
          </w:p>
          <w:p w14:paraId="0465222C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3</w:t>
            </w:r>
          </w:p>
          <w:p w14:paraId="36DC9307" w14:textId="77777777" w:rsidR="00923CEF" w:rsidRPr="009B5DF0" w:rsidRDefault="00923CEF" w:rsidP="000B30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hAnsiTheme="minorHAnsi" w:cstheme="minorHAnsi"/>
                <w:color w:val="000000" w:themeColor="text1"/>
              </w:rPr>
              <w:t>DIR 4</w:t>
            </w:r>
          </w:p>
        </w:tc>
      </w:tr>
      <w:tr w:rsidR="00923CEF" w:rsidRPr="009B5DF0" w14:paraId="4C3AE943" w14:textId="77777777" w:rsidTr="000B30CF">
        <w:tc>
          <w:tcPr>
            <w:tcW w:w="16585" w:type="dxa"/>
            <w:gridSpan w:val="10"/>
            <w:shd w:val="clear" w:color="auto" w:fill="auto"/>
          </w:tcPr>
          <w:p w14:paraId="189AD36C" w14:textId="77777777" w:rsidR="00923CEF" w:rsidRPr="009B5DF0" w:rsidRDefault="00923CEF" w:rsidP="000B30CF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9B5DF0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06AD9507" w14:textId="77777777" w:rsidR="00923CEF" w:rsidRPr="009B5DF0" w:rsidRDefault="00923CEF" w:rsidP="000B30CF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9B5DF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0D0CF6B6" w14:textId="77777777" w:rsidR="00923CEF" w:rsidRPr="00923CEF" w:rsidRDefault="00923CEF" w:rsidP="00923CEF"/>
    <w:sectPr w:rsidR="00923CEF" w:rsidRPr="00923CEF" w:rsidSect="000846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F210DD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238583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06C4D"/>
    <w:rsid w:val="00211162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297"/>
    <w:rsid w:val="00B73B17"/>
    <w:rsid w:val="00B73C5B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1254</Words>
  <Characters>6776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2022-04-25T12:55:00Z</dcterms:created>
  <dcterms:modified xsi:type="dcterms:W3CDTF">2022-04-25T12:57:00Z</dcterms:modified>
</cp:coreProperties>
</file>