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3B0487" w:rsidRPr="007A473D" w:rsidTr="006D5451">
        <w:trPr>
          <w:trHeight w:val="420"/>
        </w:trPr>
        <w:tc>
          <w:tcPr>
            <w:tcW w:w="16444" w:type="dxa"/>
            <w:gridSpan w:val="9"/>
            <w:shd w:val="clear" w:color="auto" w:fill="2F5496" w:themeFill="accent1" w:themeFillShade="BF"/>
          </w:tcPr>
          <w:p w:rsidR="003B0487" w:rsidRPr="007A473D" w:rsidRDefault="003B0487" w:rsidP="006D5451">
            <w:pPr>
              <w:spacing w:before="120" w:after="120" w:line="240" w:lineRule="auto"/>
              <w:jc w:val="center"/>
              <w:rPr>
                <w:rFonts w:asciiTheme="minorHAnsi" w:eastAsiaTheme="minorHAnsi" w:hAnsiTheme="minorHAnsi" w:cstheme="minorHAnsi"/>
                <w:bCs/>
                <w:lang w:eastAsia="en-US"/>
              </w:rPr>
            </w:pPr>
            <w:bookmarkStart w:id="0" w:name="_GoBack"/>
            <w:bookmarkEnd w:id="0"/>
            <w:r w:rsidRPr="007A473D">
              <w:rPr>
                <w:rFonts w:asciiTheme="minorHAnsi" w:eastAsiaTheme="minorHAnsi" w:hAnsiTheme="minorHAnsi" w:cstheme="minorHAnsi"/>
                <w:b/>
                <w:color w:val="FFFFFF" w:themeColor="background1"/>
                <w:lang w:eastAsia="en-US"/>
              </w:rPr>
              <w:t>DECISÕES TOMADAS EM CIRCUITO DELIBERATIVO</w:t>
            </w:r>
            <w:proofErr w:type="gramStart"/>
            <w:r w:rsidRPr="007A473D">
              <w:rPr>
                <w:rFonts w:asciiTheme="minorHAnsi" w:eastAsiaTheme="minorHAnsi" w:hAnsiTheme="minorHAnsi" w:cstheme="minorHAnsi"/>
                <w:b/>
                <w:color w:val="FFFFFF" w:themeColor="background1"/>
                <w:lang w:eastAsia="en-US"/>
              </w:rPr>
              <w:t xml:space="preserve">  </w:t>
            </w:r>
            <w:proofErr w:type="gramEnd"/>
            <w:r>
              <w:rPr>
                <w:rFonts w:asciiTheme="minorHAnsi" w:eastAsiaTheme="minorHAnsi" w:hAnsiTheme="minorHAnsi" w:cstheme="minorHAnsi"/>
                <w:b/>
                <w:color w:val="FFFFFF" w:themeColor="background1"/>
                <w:lang w:eastAsia="en-US"/>
              </w:rPr>
              <w:t>(17 a 23/</w:t>
            </w:r>
            <w:r w:rsidRPr="007A473D">
              <w:rPr>
                <w:rFonts w:asciiTheme="minorHAnsi" w:eastAsiaTheme="minorHAnsi" w:hAnsiTheme="minorHAnsi" w:cstheme="minorHAnsi"/>
                <w:b/>
                <w:color w:val="FFFFFF" w:themeColor="background1"/>
                <w:lang w:eastAsia="en-US"/>
              </w:rPr>
              <w:t>9/2021)</w:t>
            </w:r>
          </w:p>
        </w:tc>
      </w:tr>
      <w:tr w:rsidR="003B0487" w:rsidRPr="007A473D" w:rsidTr="006D5451">
        <w:tc>
          <w:tcPr>
            <w:tcW w:w="1276" w:type="dxa"/>
            <w:shd w:val="clear" w:color="auto" w:fill="D5DCE4" w:themeFill="text2" w:themeFillTint="33"/>
          </w:tcPr>
          <w:p w:rsidR="003B0487" w:rsidRPr="007A473D" w:rsidRDefault="003B0487" w:rsidP="006D5451">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Circuito</w:t>
            </w:r>
          </w:p>
          <w:p w:rsidR="003B0487" w:rsidRPr="007A473D" w:rsidRDefault="003B0487" w:rsidP="006D5451">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Deliberativo</w:t>
            </w:r>
          </w:p>
        </w:tc>
        <w:tc>
          <w:tcPr>
            <w:tcW w:w="1134" w:type="dxa"/>
            <w:shd w:val="clear" w:color="auto" w:fill="D5DCE4" w:themeFill="text2" w:themeFillTint="33"/>
          </w:tcPr>
          <w:p w:rsidR="003B0487" w:rsidRPr="007A473D" w:rsidRDefault="003B0487" w:rsidP="006D5451">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PA</w:t>
            </w:r>
          </w:p>
        </w:tc>
        <w:tc>
          <w:tcPr>
            <w:tcW w:w="1985" w:type="dxa"/>
            <w:shd w:val="clear" w:color="auto" w:fill="D5DCE4" w:themeFill="text2" w:themeFillTint="33"/>
          </w:tcPr>
          <w:p w:rsidR="003B0487" w:rsidRPr="007A473D" w:rsidRDefault="003B0487" w:rsidP="006D5451">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Processo</w:t>
            </w:r>
          </w:p>
        </w:tc>
        <w:tc>
          <w:tcPr>
            <w:tcW w:w="2835" w:type="dxa"/>
            <w:shd w:val="clear" w:color="auto" w:fill="D5DCE4" w:themeFill="text2" w:themeFillTint="33"/>
          </w:tcPr>
          <w:p w:rsidR="003B0487" w:rsidRPr="007A473D" w:rsidRDefault="003B0487" w:rsidP="006D5451">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Assunto</w:t>
            </w:r>
          </w:p>
        </w:tc>
        <w:tc>
          <w:tcPr>
            <w:tcW w:w="850" w:type="dxa"/>
            <w:shd w:val="clear" w:color="auto" w:fill="D5DCE4" w:themeFill="text2" w:themeFillTint="33"/>
          </w:tcPr>
          <w:p w:rsidR="003B0487" w:rsidRPr="007A473D" w:rsidRDefault="003B0487" w:rsidP="006D5451">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UORG</w:t>
            </w:r>
          </w:p>
        </w:tc>
        <w:tc>
          <w:tcPr>
            <w:tcW w:w="1354" w:type="dxa"/>
            <w:shd w:val="clear" w:color="auto" w:fill="D5DCE4" w:themeFill="text2" w:themeFillTint="33"/>
          </w:tcPr>
          <w:p w:rsidR="003B0487" w:rsidRPr="007A473D" w:rsidRDefault="003B0487" w:rsidP="006D5451">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Resolução de Diretoria</w:t>
            </w:r>
          </w:p>
        </w:tc>
        <w:tc>
          <w:tcPr>
            <w:tcW w:w="1275" w:type="dxa"/>
            <w:shd w:val="clear" w:color="auto" w:fill="D5DCE4" w:themeFill="text2" w:themeFillTint="33"/>
          </w:tcPr>
          <w:p w:rsidR="003B0487" w:rsidRPr="007A473D" w:rsidRDefault="003B0487" w:rsidP="006D5451">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Data de aprovação</w:t>
            </w:r>
          </w:p>
        </w:tc>
        <w:tc>
          <w:tcPr>
            <w:tcW w:w="1340" w:type="dxa"/>
            <w:shd w:val="clear" w:color="auto" w:fill="D5DCE4" w:themeFill="text2" w:themeFillTint="33"/>
          </w:tcPr>
          <w:p w:rsidR="003B0487" w:rsidRPr="007A473D" w:rsidRDefault="003B0487" w:rsidP="006D5451">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Diretor</w:t>
            </w:r>
          </w:p>
          <w:p w:rsidR="003B0487" w:rsidRPr="007A473D" w:rsidRDefault="003B0487" w:rsidP="006D5451">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Relator</w:t>
            </w:r>
          </w:p>
        </w:tc>
        <w:tc>
          <w:tcPr>
            <w:tcW w:w="4395" w:type="dxa"/>
            <w:shd w:val="clear" w:color="auto" w:fill="D5DCE4" w:themeFill="text2" w:themeFillTint="33"/>
          </w:tcPr>
          <w:p w:rsidR="003B0487" w:rsidRPr="007A473D" w:rsidRDefault="003B0487" w:rsidP="006D5451">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Decisão</w:t>
            </w:r>
          </w:p>
        </w:tc>
      </w:tr>
      <w:tr w:rsidR="003B0487" w:rsidRPr="00965EDD" w:rsidTr="006D5451">
        <w:tc>
          <w:tcPr>
            <w:tcW w:w="1276"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1264</w:t>
            </w:r>
          </w:p>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p>
        </w:tc>
        <w:tc>
          <w:tcPr>
            <w:tcW w:w="1134"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529/2021</w:t>
            </w:r>
          </w:p>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p>
        </w:tc>
        <w:tc>
          <w:tcPr>
            <w:tcW w:w="1985"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48610.212444/2020</w:t>
            </w:r>
          </w:p>
        </w:tc>
        <w:tc>
          <w:tcPr>
            <w:tcW w:w="2835" w:type="dxa"/>
            <w:shd w:val="clear" w:color="auto" w:fill="FFFFFF" w:themeFill="background1"/>
          </w:tcPr>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 xml:space="preserve">Apresentação do resultado final da Concorrência nº 08/2021-ANP que teve por objeto a execução dos Programas de Monitoramento da Qualidade de Combustíveis e de Lubrificantes (PMQC e PML) nos Estados da Bahia, Sergipe, Alagoas, Pernambuco, Paraíba, Rio Grande do Norte, Ceará e </w:t>
            </w:r>
            <w:proofErr w:type="gramStart"/>
            <w:r w:rsidRPr="00965EDD">
              <w:rPr>
                <w:rFonts w:asciiTheme="minorHAnsi" w:eastAsiaTheme="minorHAnsi" w:hAnsiTheme="minorHAnsi" w:cstheme="minorHAnsi"/>
                <w:bCs/>
                <w:lang w:eastAsia="en-US"/>
              </w:rPr>
              <w:t>Maranhão</w:t>
            </w:r>
            <w:proofErr w:type="gramEnd"/>
          </w:p>
        </w:tc>
        <w:tc>
          <w:tcPr>
            <w:tcW w:w="850"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SGA</w:t>
            </w:r>
          </w:p>
        </w:tc>
        <w:tc>
          <w:tcPr>
            <w:tcW w:w="1354"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548/2021</w:t>
            </w:r>
          </w:p>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p>
        </w:tc>
        <w:tc>
          <w:tcPr>
            <w:tcW w:w="1275"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23/09/2021</w:t>
            </w:r>
          </w:p>
        </w:tc>
        <w:tc>
          <w:tcPr>
            <w:tcW w:w="1340"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Rodolfo Saboia</w:t>
            </w:r>
          </w:p>
        </w:tc>
        <w:tc>
          <w:tcPr>
            <w:tcW w:w="4395" w:type="dxa"/>
            <w:shd w:val="clear" w:color="auto" w:fill="FFFFFF" w:themeFill="background1"/>
          </w:tcPr>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 xml:space="preserve">A Diretoria da Agência Nacional do Petróleo, Gás </w:t>
            </w:r>
            <w:proofErr w:type="gramStart"/>
            <w:r w:rsidRPr="00965EDD">
              <w:rPr>
                <w:rFonts w:asciiTheme="minorHAnsi" w:eastAsiaTheme="minorHAnsi" w:hAnsiTheme="minorHAnsi" w:cstheme="minorHAnsi"/>
                <w:bCs/>
                <w:lang w:eastAsia="en-US"/>
              </w:rPr>
              <w:t>Natural e Biocombustíveis</w:t>
            </w:r>
            <w:proofErr w:type="gramEnd"/>
            <w:r w:rsidRPr="00965EDD">
              <w:rPr>
                <w:rFonts w:asciiTheme="minorHAnsi" w:eastAsiaTheme="minorHAnsi" w:hAnsiTheme="minorHAnsi" w:cstheme="minorHAnsi"/>
                <w:bCs/>
                <w:lang w:eastAsia="en-US"/>
              </w:rPr>
              <w:t xml:space="preserve"> - ANP, com base na Proposta de Ação nº 529, de 8 de setembro de 2021, no Relatório nº 6/2021/SGA-CA/SGA (SEI nº 1545183); no Parecer nº 00234/2021/PFANP/PGF/AGU, aprovado pelo DESPACHO nº 01366/2021/PFANP/PGF/AGU (SEI nº 1540714), e no Relatório nº 7/2021/SGA-CA/SGA (SEI nº 1577302), resolve:</w:t>
            </w:r>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Homologar o resultado e adjudicar o objeto aos licitantes vencedores, nos seguintes termos:</w:t>
            </w:r>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proofErr w:type="gramStart"/>
            <w:r w:rsidRPr="00965EDD">
              <w:rPr>
                <w:rFonts w:asciiTheme="minorHAnsi" w:eastAsiaTheme="minorHAnsi" w:hAnsiTheme="minorHAnsi" w:cstheme="minorHAnsi"/>
                <w:bCs/>
                <w:lang w:eastAsia="en-US"/>
              </w:rPr>
              <w:t>i</w:t>
            </w:r>
            <w:proofErr w:type="gramEnd"/>
            <w:r w:rsidRPr="00965EDD">
              <w:rPr>
                <w:rFonts w:asciiTheme="minorHAnsi" w:eastAsiaTheme="minorHAnsi" w:hAnsiTheme="minorHAnsi" w:cstheme="minorHAnsi"/>
                <w:bCs/>
                <w:lang w:eastAsia="en-US"/>
              </w:rPr>
              <w:t>. Lote 01: INSTITUTO BRASILEIRO DE TECNOLOGIA E REGULAÇÃO, no valor de R$ 2.751.922,18;</w:t>
            </w:r>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proofErr w:type="spellStart"/>
            <w:r w:rsidRPr="00965EDD">
              <w:rPr>
                <w:rFonts w:asciiTheme="minorHAnsi" w:eastAsiaTheme="minorHAnsi" w:hAnsiTheme="minorHAnsi" w:cstheme="minorHAnsi"/>
                <w:bCs/>
                <w:lang w:eastAsia="en-US"/>
              </w:rPr>
              <w:t>ii</w:t>
            </w:r>
            <w:proofErr w:type="spellEnd"/>
            <w:r w:rsidRPr="00965EDD">
              <w:rPr>
                <w:rFonts w:asciiTheme="minorHAnsi" w:eastAsiaTheme="minorHAnsi" w:hAnsiTheme="minorHAnsi" w:cstheme="minorHAnsi"/>
                <w:bCs/>
                <w:lang w:eastAsia="en-US"/>
              </w:rPr>
              <w:t>. Lote 02: UNIVERSIDADE FEDERAL DE PERNAMBUCO, no valor de R$ 1.649.332,60;</w:t>
            </w:r>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proofErr w:type="spellStart"/>
            <w:r w:rsidRPr="00965EDD">
              <w:rPr>
                <w:rFonts w:asciiTheme="minorHAnsi" w:eastAsiaTheme="minorHAnsi" w:hAnsiTheme="minorHAnsi" w:cstheme="minorHAnsi"/>
                <w:bCs/>
                <w:lang w:eastAsia="en-US"/>
              </w:rPr>
              <w:t>iii</w:t>
            </w:r>
            <w:proofErr w:type="spellEnd"/>
            <w:r w:rsidRPr="00965EDD">
              <w:rPr>
                <w:rFonts w:asciiTheme="minorHAnsi" w:eastAsiaTheme="minorHAnsi" w:hAnsiTheme="minorHAnsi" w:cstheme="minorHAnsi"/>
                <w:bCs/>
                <w:lang w:eastAsia="en-US"/>
              </w:rPr>
              <w:t>. Lote 03: UNIVERSIDADE FEDERAL DO RIO GRANDE DO NORTE, no valor de R$ 1.116.054,43;</w:t>
            </w:r>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proofErr w:type="spellStart"/>
            <w:r w:rsidRPr="00965EDD">
              <w:rPr>
                <w:rFonts w:asciiTheme="minorHAnsi" w:eastAsiaTheme="minorHAnsi" w:hAnsiTheme="minorHAnsi" w:cstheme="minorHAnsi"/>
                <w:bCs/>
                <w:lang w:eastAsia="en-US"/>
              </w:rPr>
              <w:t>iv</w:t>
            </w:r>
            <w:proofErr w:type="spellEnd"/>
            <w:r w:rsidRPr="00965EDD">
              <w:rPr>
                <w:rFonts w:asciiTheme="minorHAnsi" w:eastAsiaTheme="minorHAnsi" w:hAnsiTheme="minorHAnsi" w:cstheme="minorHAnsi"/>
                <w:bCs/>
                <w:lang w:eastAsia="en-US"/>
              </w:rPr>
              <w:t>. Lote 04: UNIVERSIDADE FEDERAL DO CEARÁ, no valor de R$ 1.523.687,20;</w:t>
            </w:r>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proofErr w:type="gramStart"/>
            <w:r w:rsidRPr="00965EDD">
              <w:rPr>
                <w:rFonts w:asciiTheme="minorHAnsi" w:eastAsiaTheme="minorHAnsi" w:hAnsiTheme="minorHAnsi" w:cstheme="minorHAnsi"/>
                <w:bCs/>
                <w:lang w:eastAsia="en-US"/>
              </w:rPr>
              <w:t>v.</w:t>
            </w:r>
            <w:proofErr w:type="gramEnd"/>
            <w:r w:rsidRPr="00965EDD">
              <w:rPr>
                <w:rFonts w:asciiTheme="minorHAnsi" w:eastAsiaTheme="minorHAnsi" w:hAnsiTheme="minorHAnsi" w:cstheme="minorHAnsi"/>
                <w:bCs/>
                <w:lang w:eastAsia="en-US"/>
              </w:rPr>
              <w:t xml:space="preserve"> Lote 05: UNIVERSIDADE FEDERAL DO MARANHÃO, no valor de R$ 1.443.280,84;</w:t>
            </w:r>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vi. Lote 06: UNIVERSIDADE FEDERAL DE PERNAMBUCO, no valor de R$ 1.141.160,40;</w:t>
            </w:r>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proofErr w:type="spellStart"/>
            <w:r w:rsidRPr="00965EDD">
              <w:rPr>
                <w:rFonts w:asciiTheme="minorHAnsi" w:eastAsiaTheme="minorHAnsi" w:hAnsiTheme="minorHAnsi" w:cstheme="minorHAnsi"/>
                <w:bCs/>
                <w:lang w:eastAsia="en-US"/>
              </w:rPr>
              <w:t>vii</w:t>
            </w:r>
            <w:proofErr w:type="spellEnd"/>
            <w:r w:rsidRPr="00965EDD">
              <w:rPr>
                <w:rFonts w:asciiTheme="minorHAnsi" w:eastAsiaTheme="minorHAnsi" w:hAnsiTheme="minorHAnsi" w:cstheme="minorHAnsi"/>
                <w:bCs/>
                <w:lang w:eastAsia="en-US"/>
              </w:rPr>
              <w:t xml:space="preserve">. Lote 07: UNIVERSIDADE FEDERAL DE PERNAMBUCO, no valor de R$ 1.049.306,30; </w:t>
            </w:r>
            <w:proofErr w:type="gramStart"/>
            <w:r w:rsidRPr="00965EDD">
              <w:rPr>
                <w:rFonts w:asciiTheme="minorHAnsi" w:eastAsiaTheme="minorHAnsi" w:hAnsiTheme="minorHAnsi" w:cstheme="minorHAnsi"/>
                <w:bCs/>
                <w:lang w:eastAsia="en-US"/>
              </w:rPr>
              <w:t>e</w:t>
            </w:r>
            <w:proofErr w:type="gramEnd"/>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proofErr w:type="spellStart"/>
            <w:r w:rsidRPr="00965EDD">
              <w:rPr>
                <w:rFonts w:asciiTheme="minorHAnsi" w:eastAsiaTheme="minorHAnsi" w:hAnsiTheme="minorHAnsi" w:cstheme="minorHAnsi"/>
                <w:bCs/>
                <w:lang w:eastAsia="en-US"/>
              </w:rPr>
              <w:t>viii</w:t>
            </w:r>
            <w:proofErr w:type="spellEnd"/>
            <w:r w:rsidRPr="00965EDD">
              <w:rPr>
                <w:rFonts w:asciiTheme="minorHAnsi" w:eastAsiaTheme="minorHAnsi" w:hAnsiTheme="minorHAnsi" w:cstheme="minorHAnsi"/>
                <w:bCs/>
                <w:lang w:eastAsia="en-US"/>
              </w:rPr>
              <w:t>. Lote 08: UNIVERSIDADE FEDERAL DO RIO GRANDE DO NORTE, no valor de R$ 1.099.245,67.</w:t>
            </w:r>
          </w:p>
        </w:tc>
      </w:tr>
      <w:tr w:rsidR="003B0487" w:rsidRPr="00965EDD" w:rsidTr="006D5451">
        <w:tc>
          <w:tcPr>
            <w:tcW w:w="1276"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1265</w:t>
            </w:r>
          </w:p>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p>
        </w:tc>
        <w:tc>
          <w:tcPr>
            <w:tcW w:w="1134"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530/2021</w:t>
            </w:r>
          </w:p>
        </w:tc>
        <w:tc>
          <w:tcPr>
            <w:tcW w:w="1985"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48610.200220/2021</w:t>
            </w:r>
          </w:p>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p>
        </w:tc>
        <w:tc>
          <w:tcPr>
            <w:tcW w:w="2835" w:type="dxa"/>
            <w:shd w:val="clear" w:color="auto" w:fill="FFFFFF" w:themeFill="background1"/>
          </w:tcPr>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 xml:space="preserve">Apresentação do resultado final da Concorrência nº 09/2021-ANP que teve por objeto a </w:t>
            </w:r>
            <w:r w:rsidRPr="00965EDD">
              <w:rPr>
                <w:rFonts w:asciiTheme="minorHAnsi" w:eastAsiaTheme="minorHAnsi" w:hAnsiTheme="minorHAnsi" w:cstheme="minorHAnsi"/>
                <w:bCs/>
                <w:lang w:eastAsia="en-US"/>
              </w:rPr>
              <w:lastRenderedPageBreak/>
              <w:t>execução dos Programas de Monitoramento da Qualidade de Combustíveis e de Lubrificantes (PMQC e PML) nos Estados do Pará e Amapá</w:t>
            </w:r>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p>
        </w:tc>
        <w:tc>
          <w:tcPr>
            <w:tcW w:w="850"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lastRenderedPageBreak/>
              <w:t>SGA</w:t>
            </w:r>
          </w:p>
        </w:tc>
        <w:tc>
          <w:tcPr>
            <w:tcW w:w="1354"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547/2021</w:t>
            </w:r>
          </w:p>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p>
        </w:tc>
        <w:tc>
          <w:tcPr>
            <w:tcW w:w="1275"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23/09/2021</w:t>
            </w:r>
          </w:p>
        </w:tc>
        <w:tc>
          <w:tcPr>
            <w:tcW w:w="1340" w:type="dxa"/>
            <w:shd w:val="clear" w:color="auto" w:fill="FFFFFF" w:themeFill="background1"/>
          </w:tcPr>
          <w:p w:rsidR="003B0487" w:rsidRPr="00965EDD"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Rodolfo Saboia</w:t>
            </w:r>
          </w:p>
        </w:tc>
        <w:tc>
          <w:tcPr>
            <w:tcW w:w="4395" w:type="dxa"/>
            <w:shd w:val="clear" w:color="auto" w:fill="FFFFFF" w:themeFill="background1"/>
          </w:tcPr>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 xml:space="preserve">A Diretoria da Agência Nacional do Petróleo, Gás </w:t>
            </w:r>
            <w:proofErr w:type="gramStart"/>
            <w:r w:rsidRPr="00965EDD">
              <w:rPr>
                <w:rFonts w:asciiTheme="minorHAnsi" w:eastAsiaTheme="minorHAnsi" w:hAnsiTheme="minorHAnsi" w:cstheme="minorHAnsi"/>
                <w:bCs/>
                <w:lang w:eastAsia="en-US"/>
              </w:rPr>
              <w:t>Natural e Biocombustíveis</w:t>
            </w:r>
            <w:proofErr w:type="gramEnd"/>
            <w:r w:rsidRPr="00965EDD">
              <w:rPr>
                <w:rFonts w:asciiTheme="minorHAnsi" w:eastAsiaTheme="minorHAnsi" w:hAnsiTheme="minorHAnsi" w:cstheme="minorHAnsi"/>
                <w:bCs/>
                <w:lang w:eastAsia="en-US"/>
              </w:rPr>
              <w:t xml:space="preserve"> - ANP, com base na Proposta de Ação nº 530, de 8 de setembro de </w:t>
            </w:r>
            <w:r w:rsidRPr="00965EDD">
              <w:rPr>
                <w:rFonts w:asciiTheme="minorHAnsi" w:eastAsiaTheme="minorHAnsi" w:hAnsiTheme="minorHAnsi" w:cstheme="minorHAnsi"/>
                <w:bCs/>
                <w:lang w:eastAsia="en-US"/>
              </w:rPr>
              <w:lastRenderedPageBreak/>
              <w:t>2021 e no Relatório nº 4/2021/SGA-CA/SGA (SEI nº 1544703), resolve:</w:t>
            </w:r>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r w:rsidRPr="00965EDD">
              <w:rPr>
                <w:rFonts w:asciiTheme="minorHAnsi" w:eastAsiaTheme="minorHAnsi" w:hAnsiTheme="minorHAnsi" w:cstheme="minorHAnsi"/>
                <w:bCs/>
                <w:lang w:eastAsia="en-US"/>
              </w:rPr>
              <w:t>Homologar o resultado e adjudicar o objeto ao licitante vencedor, nos seguintes termos:</w:t>
            </w:r>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proofErr w:type="gramStart"/>
            <w:r w:rsidRPr="00965EDD">
              <w:rPr>
                <w:rFonts w:asciiTheme="minorHAnsi" w:eastAsiaTheme="minorHAnsi" w:hAnsiTheme="minorHAnsi" w:cstheme="minorHAnsi"/>
                <w:bCs/>
                <w:lang w:eastAsia="en-US"/>
              </w:rPr>
              <w:t>i</w:t>
            </w:r>
            <w:proofErr w:type="gramEnd"/>
            <w:r w:rsidRPr="00965EDD">
              <w:rPr>
                <w:rFonts w:asciiTheme="minorHAnsi" w:eastAsiaTheme="minorHAnsi" w:hAnsiTheme="minorHAnsi" w:cstheme="minorHAnsi"/>
                <w:bCs/>
                <w:lang w:eastAsia="en-US"/>
              </w:rPr>
              <w:t>. Lote único: UNIVERSIDADE FEDERAL DO PARÁ, no valor de R$ 2.216.439,61.</w:t>
            </w:r>
          </w:p>
          <w:p w:rsidR="003B0487" w:rsidRPr="00965EDD" w:rsidRDefault="003B0487" w:rsidP="006D5451">
            <w:pPr>
              <w:widowControl/>
              <w:adjustRightInd/>
              <w:spacing w:line="240" w:lineRule="auto"/>
              <w:textAlignment w:val="auto"/>
              <w:rPr>
                <w:rFonts w:asciiTheme="minorHAnsi" w:eastAsiaTheme="minorHAnsi" w:hAnsiTheme="minorHAnsi" w:cstheme="minorHAnsi"/>
                <w:bCs/>
                <w:lang w:eastAsia="en-US"/>
              </w:rPr>
            </w:pPr>
          </w:p>
        </w:tc>
      </w:tr>
      <w:tr w:rsidR="003B0487" w:rsidRPr="00E95A10" w:rsidTr="006D5451">
        <w:tc>
          <w:tcPr>
            <w:tcW w:w="1276" w:type="dxa"/>
            <w:shd w:val="clear" w:color="auto" w:fill="FFFFFF" w:themeFill="background1"/>
          </w:tcPr>
          <w:p w:rsidR="003B0487" w:rsidRPr="00E95A10" w:rsidRDefault="003B0487" w:rsidP="006D5451">
            <w:pPr>
              <w:widowControl/>
              <w:adjustRightInd/>
              <w:spacing w:line="240" w:lineRule="auto"/>
              <w:jc w:val="center"/>
              <w:textAlignment w:val="auto"/>
              <w:rPr>
                <w:rFonts w:ascii="Calibri" w:hAnsi="Calibri" w:cs="Calibri"/>
                <w:color w:val="000000"/>
              </w:rPr>
            </w:pPr>
            <w:r w:rsidRPr="00E95A10">
              <w:rPr>
                <w:rFonts w:ascii="Calibri" w:hAnsi="Calibri" w:cs="Calibri"/>
                <w:color w:val="000000"/>
              </w:rPr>
              <w:lastRenderedPageBreak/>
              <w:t>1270</w:t>
            </w:r>
          </w:p>
          <w:p w:rsidR="003B0487" w:rsidRPr="00E95A10" w:rsidRDefault="003B0487" w:rsidP="006D5451">
            <w:pPr>
              <w:widowControl/>
              <w:adjustRightInd/>
              <w:spacing w:line="240" w:lineRule="auto"/>
              <w:jc w:val="center"/>
              <w:textAlignment w:val="auto"/>
              <w:rPr>
                <w:rFonts w:ascii="Calibri" w:hAnsi="Calibri" w:cs="Calibri"/>
                <w:color w:val="000000"/>
              </w:rPr>
            </w:pPr>
          </w:p>
        </w:tc>
        <w:tc>
          <w:tcPr>
            <w:tcW w:w="1134" w:type="dxa"/>
            <w:shd w:val="clear" w:color="auto" w:fill="FFFFFF" w:themeFill="background1"/>
          </w:tcPr>
          <w:p w:rsidR="003B0487" w:rsidRPr="00E95A10" w:rsidRDefault="003B0487" w:rsidP="006D5451">
            <w:pPr>
              <w:widowControl/>
              <w:adjustRightInd/>
              <w:spacing w:line="240" w:lineRule="auto"/>
              <w:jc w:val="center"/>
              <w:textAlignment w:val="auto"/>
              <w:rPr>
                <w:rFonts w:ascii="Calibri" w:hAnsi="Calibri" w:cs="Calibri"/>
                <w:color w:val="000000"/>
              </w:rPr>
            </w:pPr>
            <w:r w:rsidRPr="00E95A10">
              <w:rPr>
                <w:rFonts w:ascii="Calibri" w:hAnsi="Calibri" w:cs="Calibri"/>
                <w:color w:val="000000"/>
              </w:rPr>
              <w:t>561/2021</w:t>
            </w:r>
          </w:p>
          <w:p w:rsidR="003B0487" w:rsidRPr="00E95A10" w:rsidRDefault="003B0487" w:rsidP="006D5451">
            <w:pPr>
              <w:widowControl/>
              <w:adjustRightInd/>
              <w:spacing w:line="240" w:lineRule="auto"/>
              <w:jc w:val="center"/>
              <w:textAlignment w:val="auto"/>
              <w:rPr>
                <w:rFonts w:ascii="Calibri" w:hAnsi="Calibri" w:cs="Calibri"/>
                <w:color w:val="000000"/>
              </w:rPr>
            </w:pPr>
          </w:p>
        </w:tc>
        <w:tc>
          <w:tcPr>
            <w:tcW w:w="1985" w:type="dxa"/>
            <w:shd w:val="clear" w:color="auto" w:fill="FFFFFF" w:themeFill="background1"/>
          </w:tcPr>
          <w:p w:rsidR="003B0487" w:rsidRPr="00E95A10" w:rsidRDefault="003B0487" w:rsidP="006D5451">
            <w:pPr>
              <w:widowControl/>
              <w:adjustRightInd/>
              <w:spacing w:line="240" w:lineRule="auto"/>
              <w:jc w:val="center"/>
              <w:textAlignment w:val="auto"/>
              <w:rPr>
                <w:rFonts w:ascii="Calibri" w:hAnsi="Calibri" w:cs="Calibri"/>
                <w:color w:val="000000"/>
              </w:rPr>
            </w:pPr>
            <w:r w:rsidRPr="00E95A10">
              <w:rPr>
                <w:rFonts w:ascii="Calibri" w:hAnsi="Calibri" w:cs="Calibri"/>
                <w:color w:val="000000"/>
              </w:rPr>
              <w:t>48610.217937/2020</w:t>
            </w:r>
          </w:p>
          <w:p w:rsidR="003B0487" w:rsidRPr="00E95A10" w:rsidRDefault="003B0487" w:rsidP="006D5451">
            <w:pPr>
              <w:widowControl/>
              <w:adjustRightInd/>
              <w:spacing w:line="240" w:lineRule="auto"/>
              <w:jc w:val="center"/>
              <w:textAlignment w:val="auto"/>
              <w:rPr>
                <w:rFonts w:ascii="Calibri" w:hAnsi="Calibri" w:cs="Calibri"/>
                <w:color w:val="000000"/>
              </w:rPr>
            </w:pPr>
          </w:p>
        </w:tc>
        <w:tc>
          <w:tcPr>
            <w:tcW w:w="2835" w:type="dxa"/>
            <w:shd w:val="clear" w:color="auto" w:fill="FFFFFF" w:themeFill="background1"/>
          </w:tcPr>
          <w:p w:rsidR="003B0487" w:rsidRPr="00E95A10" w:rsidRDefault="003B0487" w:rsidP="006D5451">
            <w:pPr>
              <w:widowControl/>
              <w:adjustRightInd/>
              <w:spacing w:line="240" w:lineRule="auto"/>
              <w:jc w:val="center"/>
              <w:textAlignment w:val="auto"/>
              <w:rPr>
                <w:rFonts w:ascii="Calibri" w:hAnsi="Calibri" w:cs="Calibri"/>
                <w:color w:val="000000"/>
              </w:rPr>
            </w:pPr>
            <w:r>
              <w:rPr>
                <w:rFonts w:ascii="Calibri" w:hAnsi="Calibri" w:cs="Calibri"/>
                <w:color w:val="000000"/>
              </w:rPr>
              <w:t>Cla</w:t>
            </w:r>
            <w:r w:rsidRPr="00E95A10">
              <w:rPr>
                <w:rFonts w:ascii="Calibri" w:hAnsi="Calibri" w:cs="Calibri"/>
                <w:color w:val="000000"/>
              </w:rPr>
              <w:t>ssificação do projeto denominado "gasoduto Subida da Serra"</w:t>
            </w:r>
          </w:p>
        </w:tc>
        <w:tc>
          <w:tcPr>
            <w:tcW w:w="850" w:type="dxa"/>
            <w:shd w:val="clear" w:color="auto" w:fill="FFFFFF" w:themeFill="background1"/>
          </w:tcPr>
          <w:p w:rsidR="003B0487" w:rsidRPr="00E95A10" w:rsidRDefault="003B0487" w:rsidP="006D5451">
            <w:pPr>
              <w:widowControl/>
              <w:adjustRightInd/>
              <w:spacing w:line="240" w:lineRule="auto"/>
              <w:jc w:val="center"/>
              <w:textAlignment w:val="auto"/>
              <w:rPr>
                <w:rFonts w:ascii="Calibri" w:hAnsi="Calibri" w:cs="Calibri"/>
                <w:color w:val="000000"/>
              </w:rPr>
            </w:pPr>
            <w:r w:rsidRPr="00E95A10">
              <w:rPr>
                <w:rFonts w:ascii="Calibri" w:hAnsi="Calibri" w:cs="Calibri"/>
                <w:color w:val="000000"/>
              </w:rPr>
              <w:t>SIM</w:t>
            </w:r>
          </w:p>
        </w:tc>
        <w:tc>
          <w:tcPr>
            <w:tcW w:w="1354" w:type="dxa"/>
            <w:shd w:val="clear" w:color="auto" w:fill="FFFFFF" w:themeFill="background1"/>
          </w:tcPr>
          <w:p w:rsidR="003B0487" w:rsidRPr="00E95A10" w:rsidRDefault="003B0487" w:rsidP="006D5451">
            <w:pPr>
              <w:widowControl/>
              <w:adjustRightInd/>
              <w:spacing w:line="240" w:lineRule="auto"/>
              <w:jc w:val="center"/>
              <w:textAlignment w:val="auto"/>
              <w:rPr>
                <w:rFonts w:ascii="Calibri" w:hAnsi="Calibri" w:cs="Calibri"/>
                <w:color w:val="000000"/>
              </w:rPr>
            </w:pPr>
            <w:r w:rsidRPr="00E95A10">
              <w:rPr>
                <w:rFonts w:ascii="Calibri" w:hAnsi="Calibri" w:cs="Calibri"/>
                <w:color w:val="000000"/>
              </w:rPr>
              <w:t>533/2021</w:t>
            </w:r>
          </w:p>
        </w:tc>
        <w:tc>
          <w:tcPr>
            <w:tcW w:w="1275" w:type="dxa"/>
            <w:shd w:val="clear" w:color="auto" w:fill="FFFFFF" w:themeFill="background1"/>
          </w:tcPr>
          <w:p w:rsidR="003B0487" w:rsidRPr="00E95A10" w:rsidRDefault="003B0487" w:rsidP="006D5451">
            <w:pPr>
              <w:widowControl/>
              <w:adjustRightInd/>
              <w:spacing w:line="240" w:lineRule="auto"/>
              <w:jc w:val="center"/>
              <w:textAlignment w:val="auto"/>
              <w:rPr>
                <w:rFonts w:ascii="Calibri" w:hAnsi="Calibri" w:cs="Calibri"/>
                <w:color w:val="000000"/>
              </w:rPr>
            </w:pPr>
            <w:r w:rsidRPr="00E95A10">
              <w:rPr>
                <w:rFonts w:ascii="Calibri" w:hAnsi="Calibri" w:cs="Calibri"/>
                <w:color w:val="000000"/>
              </w:rPr>
              <w:t>22/09/2021</w:t>
            </w:r>
          </w:p>
        </w:tc>
        <w:tc>
          <w:tcPr>
            <w:tcW w:w="1340" w:type="dxa"/>
            <w:shd w:val="clear" w:color="auto" w:fill="FFFFFF" w:themeFill="background1"/>
          </w:tcPr>
          <w:p w:rsidR="003B0487" w:rsidRPr="00E95A10" w:rsidRDefault="003B0487" w:rsidP="006D5451">
            <w:pPr>
              <w:widowControl/>
              <w:adjustRightInd/>
              <w:spacing w:line="240" w:lineRule="auto"/>
              <w:jc w:val="center"/>
              <w:textAlignment w:val="auto"/>
              <w:rPr>
                <w:rFonts w:ascii="Calibri" w:hAnsi="Calibri" w:cs="Calibri"/>
                <w:color w:val="000000"/>
              </w:rPr>
            </w:pPr>
            <w:r w:rsidRPr="00E95A10">
              <w:rPr>
                <w:rFonts w:ascii="Calibri" w:hAnsi="Calibri" w:cs="Calibri"/>
                <w:color w:val="000000"/>
              </w:rPr>
              <w:t xml:space="preserve">José </w:t>
            </w:r>
            <w:proofErr w:type="spellStart"/>
            <w:r w:rsidRPr="00E95A10">
              <w:rPr>
                <w:rFonts w:ascii="Calibri" w:hAnsi="Calibri" w:cs="Calibri"/>
                <w:color w:val="000000"/>
              </w:rPr>
              <w:t>Cecchi</w:t>
            </w:r>
            <w:proofErr w:type="spellEnd"/>
          </w:p>
        </w:tc>
        <w:tc>
          <w:tcPr>
            <w:tcW w:w="4395" w:type="dxa"/>
            <w:shd w:val="clear" w:color="auto" w:fill="FFFFFF" w:themeFill="background1"/>
          </w:tcPr>
          <w:p w:rsidR="00C558DB" w:rsidRPr="00C558DB" w:rsidRDefault="00C558DB" w:rsidP="00C558DB">
            <w:pPr>
              <w:widowControl/>
              <w:adjustRightInd/>
              <w:spacing w:line="240" w:lineRule="auto"/>
              <w:textAlignment w:val="auto"/>
              <w:rPr>
                <w:rFonts w:ascii="Calibri" w:hAnsi="Calibri" w:cs="Calibri"/>
                <w:color w:val="000000" w:themeColor="text1"/>
              </w:rPr>
            </w:pPr>
            <w:r w:rsidRPr="00C558DB">
              <w:rPr>
                <w:rFonts w:ascii="Calibri" w:hAnsi="Calibri" w:cs="Calibri"/>
                <w:color w:val="000000" w:themeColor="text1"/>
              </w:rPr>
              <w:t xml:space="preserve">A Diretoria da Agência Nacional do Petróleo, Gás </w:t>
            </w:r>
            <w:proofErr w:type="gramStart"/>
            <w:r w:rsidRPr="00C558DB">
              <w:rPr>
                <w:rFonts w:ascii="Calibri" w:hAnsi="Calibri" w:cs="Calibri"/>
                <w:color w:val="000000" w:themeColor="text1"/>
              </w:rPr>
              <w:t>Natural e Biocombustíveis</w:t>
            </w:r>
            <w:proofErr w:type="gramEnd"/>
            <w:r w:rsidRPr="00C558DB">
              <w:rPr>
                <w:rFonts w:ascii="Calibri" w:hAnsi="Calibri" w:cs="Calibri"/>
                <w:color w:val="000000" w:themeColor="text1"/>
              </w:rPr>
              <w:t xml:space="preserve"> - ANP, com base na Proposta de Ação nº 561, de 17 de setembro de 2021, nos documentos constantes do processo SEI 48610.217937/2020-12, nas Notas Técnicas nº 2/2021/SIM/ANP-RJ (SEI 1188397) e nº 5/2021/SIMCGN/SIM/ANP-RJ (SEI 1479207), nos Pareceres nº 0075/2021/PFANP/PGF/AGU (SEI 1276624), nº 00223/2021/PFANP/PGF/AGU (SEI 1575928) e no Despacho nº 01412/2021/PFANP/PGF/AGU (SEI 1575928), resolve:</w:t>
            </w:r>
          </w:p>
          <w:p w:rsidR="00C558DB" w:rsidRPr="00C558DB" w:rsidRDefault="00C558DB" w:rsidP="00C558DB">
            <w:pPr>
              <w:widowControl/>
              <w:adjustRightInd/>
              <w:spacing w:line="240" w:lineRule="auto"/>
              <w:textAlignment w:val="auto"/>
              <w:rPr>
                <w:rFonts w:ascii="Calibri" w:hAnsi="Calibri" w:cs="Calibri"/>
                <w:color w:val="000000" w:themeColor="text1"/>
              </w:rPr>
            </w:pPr>
            <w:r w:rsidRPr="00C558DB">
              <w:rPr>
                <w:rFonts w:ascii="Calibri" w:hAnsi="Calibri" w:cs="Calibri"/>
                <w:color w:val="000000" w:themeColor="text1"/>
              </w:rPr>
              <w:t xml:space="preserve">I) que o projeto denominado “Subida da Serra” se enquadra na classificação de gasoduto de transporte, nos termos do art. 2º, XVIII, da Lei nº 11.909/2009, vigente à época da autorização do gasoduto pela ARSESP, bem como no art. 3º, XXVI, da Lei nº 14.134/2021; </w:t>
            </w:r>
            <w:proofErr w:type="gramStart"/>
            <w:r w:rsidRPr="00C558DB">
              <w:rPr>
                <w:rFonts w:ascii="Calibri" w:hAnsi="Calibri" w:cs="Calibri"/>
                <w:color w:val="000000" w:themeColor="text1"/>
              </w:rPr>
              <w:t>e</w:t>
            </w:r>
            <w:proofErr w:type="gramEnd"/>
          </w:p>
          <w:p w:rsidR="003B0487" w:rsidRPr="00D42D21" w:rsidRDefault="00C558DB" w:rsidP="00C558DB">
            <w:pPr>
              <w:widowControl/>
              <w:adjustRightInd/>
              <w:spacing w:line="240" w:lineRule="auto"/>
              <w:textAlignment w:val="auto"/>
              <w:rPr>
                <w:rFonts w:ascii="Calibri" w:hAnsi="Calibri" w:cs="Calibri"/>
                <w:color w:val="000000" w:themeColor="text1"/>
              </w:rPr>
            </w:pPr>
            <w:proofErr w:type="gramStart"/>
            <w:r w:rsidRPr="00C558DB">
              <w:rPr>
                <w:rFonts w:ascii="Calibri" w:hAnsi="Calibri" w:cs="Calibri"/>
                <w:color w:val="000000" w:themeColor="text1"/>
              </w:rPr>
              <w:t>II)</w:t>
            </w:r>
            <w:proofErr w:type="gramEnd"/>
            <w:r w:rsidRPr="00C558DB">
              <w:rPr>
                <w:rFonts w:ascii="Calibri" w:hAnsi="Calibri" w:cs="Calibri"/>
                <w:color w:val="000000" w:themeColor="text1"/>
              </w:rPr>
              <w:t xml:space="preserve"> que não se aplica ao caso o instituto de manutenção da classificação prevista no art. 7º, § 1º, da Lei nº 14.134/2021, e do art. 29, § único, do Decreto nº 10.712/2021, tendo em vista a própria classificação originária do gasoduto como sendo de transporte, e que a Agência Reguladora Estadual não constitui o órgão competente para aprovar a implantação do gasoduto.</w:t>
            </w:r>
          </w:p>
        </w:tc>
      </w:tr>
      <w:tr w:rsidR="003B0487" w:rsidRPr="00F270FA" w:rsidTr="006D5451">
        <w:tc>
          <w:tcPr>
            <w:tcW w:w="1276" w:type="dxa"/>
            <w:shd w:val="clear" w:color="auto" w:fill="FFFFFF" w:themeFill="background1"/>
          </w:tcPr>
          <w:p w:rsidR="003B0487" w:rsidRPr="00F270FA" w:rsidRDefault="003B0487" w:rsidP="006D5451">
            <w:pPr>
              <w:widowControl/>
              <w:adjustRightInd/>
              <w:spacing w:line="240" w:lineRule="auto"/>
              <w:jc w:val="center"/>
              <w:textAlignment w:val="auto"/>
              <w:rPr>
                <w:rFonts w:asciiTheme="minorHAnsi" w:eastAsiaTheme="minorHAnsi" w:hAnsiTheme="minorHAnsi" w:cstheme="minorHAnsi"/>
                <w:b/>
                <w:lang w:eastAsia="en-US"/>
              </w:rPr>
            </w:pPr>
            <w:r w:rsidRPr="00F270FA">
              <w:rPr>
                <w:rFonts w:ascii="Calibri" w:hAnsi="Calibri" w:cs="Calibri"/>
                <w:color w:val="000000"/>
              </w:rPr>
              <w:t>1256</w:t>
            </w:r>
          </w:p>
        </w:tc>
        <w:tc>
          <w:tcPr>
            <w:tcW w:w="1134" w:type="dxa"/>
            <w:shd w:val="clear" w:color="auto" w:fill="FFFFFF" w:themeFill="background1"/>
          </w:tcPr>
          <w:p w:rsidR="003B0487" w:rsidRPr="00F270FA" w:rsidRDefault="003B0487" w:rsidP="006D5451">
            <w:pPr>
              <w:widowControl/>
              <w:adjustRightInd/>
              <w:spacing w:line="240" w:lineRule="auto"/>
              <w:jc w:val="center"/>
              <w:textAlignment w:val="auto"/>
              <w:rPr>
                <w:rFonts w:asciiTheme="minorHAnsi" w:eastAsiaTheme="minorHAnsi" w:hAnsiTheme="minorHAnsi" w:cstheme="minorHAnsi"/>
                <w:b/>
                <w:lang w:eastAsia="en-US"/>
              </w:rPr>
            </w:pPr>
            <w:r w:rsidRPr="00F270FA">
              <w:rPr>
                <w:rFonts w:ascii="Calibri" w:hAnsi="Calibri" w:cs="Calibri"/>
                <w:color w:val="000000"/>
              </w:rPr>
              <w:t>502/2021</w:t>
            </w:r>
          </w:p>
        </w:tc>
        <w:tc>
          <w:tcPr>
            <w:tcW w:w="1985" w:type="dxa"/>
            <w:shd w:val="clear" w:color="auto" w:fill="FFFFFF" w:themeFill="background1"/>
          </w:tcPr>
          <w:p w:rsidR="003B0487" w:rsidRPr="00F270FA" w:rsidRDefault="003B0487" w:rsidP="006D5451">
            <w:pPr>
              <w:widowControl/>
              <w:adjustRightInd/>
              <w:spacing w:line="240" w:lineRule="auto"/>
              <w:jc w:val="center"/>
              <w:textAlignment w:val="auto"/>
              <w:rPr>
                <w:rFonts w:asciiTheme="minorHAnsi" w:eastAsiaTheme="minorHAnsi" w:hAnsiTheme="minorHAnsi" w:cstheme="minorHAnsi"/>
                <w:b/>
                <w:lang w:eastAsia="en-US"/>
              </w:rPr>
            </w:pPr>
            <w:r w:rsidRPr="00F270FA">
              <w:rPr>
                <w:rFonts w:ascii="Calibri" w:hAnsi="Calibri" w:cs="Calibri"/>
                <w:color w:val="000000"/>
              </w:rPr>
              <w:t>48610.210799/2021</w:t>
            </w:r>
          </w:p>
        </w:tc>
        <w:tc>
          <w:tcPr>
            <w:tcW w:w="2835" w:type="dxa"/>
            <w:shd w:val="clear" w:color="auto" w:fill="FFFFFF" w:themeFill="background1"/>
          </w:tcPr>
          <w:p w:rsidR="003B0487" w:rsidRPr="00F270FA" w:rsidRDefault="003B0487" w:rsidP="006D5451">
            <w:pPr>
              <w:widowControl/>
              <w:adjustRightInd/>
              <w:spacing w:line="240" w:lineRule="auto"/>
              <w:textAlignment w:val="auto"/>
              <w:rPr>
                <w:rFonts w:asciiTheme="minorHAnsi" w:eastAsiaTheme="minorHAnsi" w:hAnsiTheme="minorHAnsi" w:cstheme="minorHAnsi"/>
                <w:b/>
                <w:lang w:eastAsia="en-US"/>
              </w:rPr>
            </w:pPr>
            <w:r w:rsidRPr="00F270FA">
              <w:rPr>
                <w:rFonts w:ascii="Calibri" w:hAnsi="Calibri" w:cs="Calibri"/>
                <w:color w:val="000000"/>
              </w:rPr>
              <w:t xml:space="preserve">Proposta Petrobras de </w:t>
            </w:r>
            <w:r w:rsidRPr="00F270FA">
              <w:rPr>
                <w:rFonts w:ascii="Calibri" w:hAnsi="Calibri" w:cs="Calibri"/>
                <w:color w:val="000000"/>
              </w:rPr>
              <w:lastRenderedPageBreak/>
              <w:t xml:space="preserve">Mediação junto à Câmara de Conciliação da Administração Pública (CCAF) de Termo de Ajustamento de Conduta (TAC) para adequação de 336 poços marítimos ao item 10.5.3.3 do Regulamento Técnico do Sistema de Gerenciamento da Integridade de Poços (SGIP), anexo à Resolução ANP nº </w:t>
            </w:r>
            <w:proofErr w:type="gramStart"/>
            <w:r w:rsidRPr="00F270FA">
              <w:rPr>
                <w:rFonts w:ascii="Calibri" w:hAnsi="Calibri" w:cs="Calibri"/>
                <w:color w:val="000000"/>
              </w:rPr>
              <w:t>46/2016</w:t>
            </w:r>
            <w:proofErr w:type="gramEnd"/>
          </w:p>
        </w:tc>
        <w:tc>
          <w:tcPr>
            <w:tcW w:w="850" w:type="dxa"/>
            <w:shd w:val="clear" w:color="auto" w:fill="FFFFFF" w:themeFill="background1"/>
          </w:tcPr>
          <w:p w:rsidR="003B0487" w:rsidRPr="00F270FA" w:rsidRDefault="003B0487" w:rsidP="006D5451">
            <w:pPr>
              <w:widowControl/>
              <w:adjustRightInd/>
              <w:spacing w:line="240" w:lineRule="auto"/>
              <w:jc w:val="center"/>
              <w:textAlignment w:val="auto"/>
              <w:rPr>
                <w:rFonts w:asciiTheme="minorHAnsi" w:eastAsiaTheme="minorHAnsi" w:hAnsiTheme="minorHAnsi" w:cstheme="minorHAnsi"/>
                <w:bCs/>
                <w:lang w:eastAsia="en-US"/>
              </w:rPr>
            </w:pPr>
            <w:r w:rsidRPr="00F270FA">
              <w:rPr>
                <w:rFonts w:asciiTheme="minorHAnsi" w:eastAsiaTheme="minorHAnsi" w:hAnsiTheme="minorHAnsi" w:cstheme="minorHAnsi"/>
                <w:bCs/>
                <w:lang w:eastAsia="en-US"/>
              </w:rPr>
              <w:lastRenderedPageBreak/>
              <w:t>SSM</w:t>
            </w:r>
          </w:p>
        </w:tc>
        <w:tc>
          <w:tcPr>
            <w:tcW w:w="1354" w:type="dxa"/>
            <w:shd w:val="clear" w:color="auto" w:fill="FFFFFF" w:themeFill="background1"/>
          </w:tcPr>
          <w:p w:rsidR="003B0487" w:rsidRPr="00F270FA" w:rsidRDefault="003B0487" w:rsidP="006D5451">
            <w:pPr>
              <w:widowControl/>
              <w:adjustRightInd/>
              <w:spacing w:line="240" w:lineRule="auto"/>
              <w:jc w:val="center"/>
              <w:textAlignment w:val="auto"/>
              <w:rPr>
                <w:rFonts w:asciiTheme="minorHAnsi" w:eastAsiaTheme="minorHAnsi" w:hAnsiTheme="minorHAnsi" w:cstheme="minorHAnsi"/>
                <w:b/>
                <w:lang w:eastAsia="en-US"/>
              </w:rPr>
            </w:pPr>
            <w:r w:rsidRPr="00F270FA">
              <w:rPr>
                <w:rFonts w:asciiTheme="minorHAnsi" w:eastAsiaTheme="minorHAnsi" w:hAnsiTheme="minorHAnsi" w:cstheme="minorHAnsi"/>
                <w:bCs/>
                <w:lang w:eastAsia="en-US"/>
              </w:rPr>
              <w:t>532/2021</w:t>
            </w:r>
          </w:p>
        </w:tc>
        <w:tc>
          <w:tcPr>
            <w:tcW w:w="1275" w:type="dxa"/>
            <w:shd w:val="clear" w:color="auto" w:fill="FFFFFF" w:themeFill="background1"/>
          </w:tcPr>
          <w:p w:rsidR="003B0487" w:rsidRPr="00F270FA" w:rsidRDefault="003B0487" w:rsidP="006D5451">
            <w:pPr>
              <w:widowControl/>
              <w:adjustRightInd/>
              <w:spacing w:line="240" w:lineRule="auto"/>
              <w:jc w:val="center"/>
              <w:textAlignment w:val="auto"/>
              <w:rPr>
                <w:rFonts w:asciiTheme="minorHAnsi" w:eastAsiaTheme="minorHAnsi" w:hAnsiTheme="minorHAnsi" w:cstheme="minorHAnsi"/>
                <w:b/>
                <w:lang w:eastAsia="en-US"/>
              </w:rPr>
            </w:pPr>
            <w:r w:rsidRPr="00F270FA">
              <w:rPr>
                <w:rFonts w:asciiTheme="minorHAnsi" w:eastAsiaTheme="minorHAnsi" w:hAnsiTheme="minorHAnsi" w:cstheme="minorHAnsi"/>
                <w:bCs/>
                <w:lang w:eastAsia="en-US"/>
              </w:rPr>
              <w:t>21/09/2021</w:t>
            </w:r>
          </w:p>
        </w:tc>
        <w:tc>
          <w:tcPr>
            <w:tcW w:w="1340" w:type="dxa"/>
            <w:shd w:val="clear" w:color="auto" w:fill="FFFFFF" w:themeFill="background1"/>
          </w:tcPr>
          <w:p w:rsidR="003B0487" w:rsidRPr="00F270FA" w:rsidRDefault="003B0487" w:rsidP="006D5451">
            <w:pPr>
              <w:widowControl/>
              <w:adjustRightInd/>
              <w:spacing w:line="240" w:lineRule="auto"/>
              <w:jc w:val="center"/>
              <w:textAlignment w:val="auto"/>
              <w:rPr>
                <w:rFonts w:asciiTheme="minorHAnsi" w:eastAsiaTheme="minorHAnsi" w:hAnsiTheme="minorHAnsi" w:cstheme="minorHAnsi"/>
                <w:b/>
                <w:lang w:eastAsia="en-US"/>
              </w:rPr>
            </w:pPr>
            <w:r w:rsidRPr="00FA7A23">
              <w:rPr>
                <w:rFonts w:asciiTheme="minorHAnsi" w:eastAsiaTheme="minorHAnsi" w:hAnsiTheme="minorHAnsi" w:cstheme="minorHAnsi"/>
                <w:bCs/>
                <w:lang w:eastAsia="en-US"/>
              </w:rPr>
              <w:t xml:space="preserve">Raphael </w:t>
            </w:r>
            <w:r w:rsidRPr="00FA7A23">
              <w:rPr>
                <w:rFonts w:asciiTheme="minorHAnsi" w:eastAsiaTheme="minorHAnsi" w:hAnsiTheme="minorHAnsi" w:cstheme="minorHAnsi"/>
                <w:bCs/>
                <w:lang w:eastAsia="en-US"/>
              </w:rPr>
              <w:lastRenderedPageBreak/>
              <w:t>Moura</w:t>
            </w:r>
          </w:p>
        </w:tc>
        <w:tc>
          <w:tcPr>
            <w:tcW w:w="4395" w:type="dxa"/>
            <w:shd w:val="clear" w:color="auto" w:fill="FFFFFF" w:themeFill="background1"/>
          </w:tcPr>
          <w:p w:rsidR="003B0487" w:rsidRPr="00F270FA" w:rsidRDefault="003B0487" w:rsidP="006D5451">
            <w:pPr>
              <w:widowControl/>
              <w:adjustRightInd/>
              <w:spacing w:line="240" w:lineRule="auto"/>
              <w:textAlignment w:val="auto"/>
              <w:rPr>
                <w:rFonts w:ascii="Calibri" w:hAnsi="Calibri" w:cs="Calibri"/>
                <w:color w:val="000000"/>
              </w:rPr>
            </w:pPr>
            <w:r w:rsidRPr="00F270FA">
              <w:rPr>
                <w:rFonts w:ascii="Calibri" w:hAnsi="Calibri" w:cs="Calibri"/>
                <w:color w:val="000000"/>
              </w:rPr>
              <w:lastRenderedPageBreak/>
              <w:t xml:space="preserve">A Diretoria da Agência Nacional do Petróleo, Gás </w:t>
            </w:r>
            <w:proofErr w:type="gramStart"/>
            <w:r w:rsidRPr="00F270FA">
              <w:rPr>
                <w:rFonts w:ascii="Calibri" w:hAnsi="Calibri" w:cs="Calibri"/>
                <w:color w:val="000000"/>
              </w:rPr>
              <w:lastRenderedPageBreak/>
              <w:t>Natural e Biocombustíveis</w:t>
            </w:r>
            <w:proofErr w:type="gramEnd"/>
            <w:r w:rsidRPr="00F270FA">
              <w:rPr>
                <w:rFonts w:ascii="Calibri" w:hAnsi="Calibri" w:cs="Calibri"/>
                <w:color w:val="000000"/>
              </w:rPr>
              <w:t xml:space="preserve"> - ANP, conforme constante do processo 48610.210799/2021 e com base na Proposta de Ação nº 502, de 26 de agosto de 2021, na Nota Técnica 46/2021/SSM/ANP-RJ e no PARECER 00257/2021/PFANP/PGF/AGU, aprovado pelo DESPACHO 01502/2021/PFANP/PGF/AGU, resolve:</w:t>
            </w:r>
          </w:p>
          <w:p w:rsidR="003B0487" w:rsidRPr="00F270FA" w:rsidRDefault="003B0487" w:rsidP="006D5451">
            <w:pPr>
              <w:widowControl/>
              <w:adjustRightInd/>
              <w:spacing w:line="240" w:lineRule="auto"/>
              <w:textAlignment w:val="auto"/>
              <w:rPr>
                <w:rFonts w:ascii="Calibri" w:hAnsi="Calibri" w:cs="Calibri"/>
                <w:color w:val="000000"/>
              </w:rPr>
            </w:pPr>
            <w:r w:rsidRPr="00F270FA">
              <w:rPr>
                <w:rFonts w:ascii="Calibri" w:hAnsi="Calibri" w:cs="Calibri"/>
                <w:color w:val="000000"/>
              </w:rPr>
              <w:t xml:space="preserve">I) Declarar a voluntariedade da ANP em participar de mediação proposta pela Petrobras perante a Câmara de Conciliação e Arbitragem da Administração Federal </w:t>
            </w:r>
            <w:r>
              <w:rPr>
                <w:rFonts w:ascii="Calibri" w:hAnsi="Calibri" w:cs="Calibri"/>
                <w:color w:val="000000"/>
              </w:rPr>
              <w:t>-</w:t>
            </w:r>
            <w:r w:rsidRPr="00F270FA">
              <w:rPr>
                <w:rFonts w:ascii="Calibri" w:hAnsi="Calibri" w:cs="Calibri"/>
                <w:color w:val="000000"/>
              </w:rPr>
              <w:t xml:space="preserve"> CCAF, desde que considerado o universo de 336 (trezentos e trinta e seis) poços que eram objeto das tratativas anteriores de TAC; </w:t>
            </w:r>
            <w:proofErr w:type="gramStart"/>
            <w:r w:rsidRPr="00F270FA">
              <w:rPr>
                <w:rFonts w:ascii="Calibri" w:hAnsi="Calibri" w:cs="Calibri"/>
                <w:color w:val="000000"/>
              </w:rPr>
              <w:t>e</w:t>
            </w:r>
            <w:proofErr w:type="gramEnd"/>
          </w:p>
          <w:p w:rsidR="003B0487" w:rsidRPr="00F270FA" w:rsidRDefault="003B0487" w:rsidP="006D5451">
            <w:pPr>
              <w:widowControl/>
              <w:adjustRightInd/>
              <w:spacing w:line="240" w:lineRule="auto"/>
              <w:textAlignment w:val="auto"/>
              <w:rPr>
                <w:rFonts w:ascii="Calibri" w:hAnsi="Calibri" w:cs="Calibri"/>
                <w:color w:val="000000"/>
              </w:rPr>
            </w:pPr>
            <w:proofErr w:type="gramStart"/>
            <w:r w:rsidRPr="00F270FA">
              <w:rPr>
                <w:rFonts w:ascii="Calibri" w:hAnsi="Calibri" w:cs="Calibri"/>
                <w:color w:val="000000"/>
              </w:rPr>
              <w:t>II)</w:t>
            </w:r>
            <w:proofErr w:type="gramEnd"/>
            <w:r w:rsidRPr="00F270FA">
              <w:rPr>
                <w:rFonts w:ascii="Calibri" w:hAnsi="Calibri" w:cs="Calibri"/>
                <w:color w:val="000000"/>
              </w:rPr>
              <w:t xml:space="preserve"> Formalizar a indicação dos servidores Raphael Neves Moura (ANP/DIR-IV) e Laís </w:t>
            </w:r>
            <w:proofErr w:type="spellStart"/>
            <w:r w:rsidRPr="00F270FA">
              <w:rPr>
                <w:rFonts w:ascii="Calibri" w:hAnsi="Calibri" w:cs="Calibri"/>
                <w:color w:val="000000"/>
              </w:rPr>
              <w:t>Palazzo</w:t>
            </w:r>
            <w:proofErr w:type="spellEnd"/>
            <w:r w:rsidRPr="00F270FA">
              <w:rPr>
                <w:rFonts w:ascii="Calibri" w:hAnsi="Calibri" w:cs="Calibri"/>
                <w:color w:val="000000"/>
              </w:rPr>
              <w:t xml:space="preserve"> Almada (ANP/SSM), com a assessoria jurídica de servidora da Procuradoria Federal junto à ANP, Maria Laura </w:t>
            </w:r>
            <w:proofErr w:type="spellStart"/>
            <w:r w:rsidRPr="00F270FA">
              <w:rPr>
                <w:rFonts w:ascii="Calibri" w:hAnsi="Calibri" w:cs="Calibri"/>
                <w:color w:val="000000"/>
              </w:rPr>
              <w:t>Timponi</w:t>
            </w:r>
            <w:proofErr w:type="spellEnd"/>
            <w:r w:rsidRPr="00F270FA">
              <w:rPr>
                <w:rFonts w:ascii="Calibri" w:hAnsi="Calibri" w:cs="Calibri"/>
                <w:color w:val="000000"/>
              </w:rPr>
              <w:t xml:space="preserve"> </w:t>
            </w:r>
            <w:proofErr w:type="spellStart"/>
            <w:r w:rsidRPr="00F270FA">
              <w:rPr>
                <w:rFonts w:ascii="Calibri" w:hAnsi="Calibri" w:cs="Calibri"/>
                <w:color w:val="000000"/>
              </w:rPr>
              <w:t>Nahid</w:t>
            </w:r>
            <w:proofErr w:type="spellEnd"/>
            <w:r w:rsidRPr="00F270FA">
              <w:rPr>
                <w:rFonts w:ascii="Calibri" w:hAnsi="Calibri" w:cs="Calibri"/>
                <w:color w:val="000000"/>
              </w:rPr>
              <w:t xml:space="preserve"> (PFANP), para representar a ANP perante a Câmara de Conciliação e Arbitragem da Administração Federal - CCAF.</w:t>
            </w:r>
          </w:p>
          <w:p w:rsidR="003B0487" w:rsidRPr="00F270FA" w:rsidRDefault="003B0487" w:rsidP="006D5451">
            <w:pPr>
              <w:widowControl/>
              <w:adjustRightInd/>
              <w:spacing w:line="240" w:lineRule="auto"/>
              <w:jc w:val="center"/>
              <w:textAlignment w:val="auto"/>
              <w:rPr>
                <w:rFonts w:asciiTheme="minorHAnsi" w:eastAsiaTheme="minorHAnsi" w:hAnsiTheme="minorHAnsi" w:cstheme="minorHAnsi"/>
                <w:b/>
                <w:lang w:eastAsia="en-US"/>
              </w:rPr>
            </w:pPr>
          </w:p>
        </w:tc>
      </w:tr>
      <w:tr w:rsidR="003B0487" w:rsidRPr="00A63AAE" w:rsidTr="006D5451">
        <w:tc>
          <w:tcPr>
            <w:tcW w:w="1276" w:type="dxa"/>
            <w:shd w:val="clear" w:color="auto" w:fill="FFFFFF" w:themeFill="background1"/>
          </w:tcPr>
          <w:p w:rsidR="003B0487" w:rsidRPr="00A63AAE" w:rsidRDefault="003B0487" w:rsidP="006D5451">
            <w:pPr>
              <w:widowControl/>
              <w:adjustRightInd/>
              <w:spacing w:line="240" w:lineRule="auto"/>
              <w:contextualSpacing/>
              <w:jc w:val="center"/>
              <w:textAlignment w:val="auto"/>
              <w:rPr>
                <w:rFonts w:asciiTheme="minorHAnsi" w:eastAsiaTheme="minorHAnsi" w:hAnsiTheme="minorHAnsi" w:cstheme="minorHAnsi"/>
                <w:bCs/>
                <w:lang w:eastAsia="en-US"/>
              </w:rPr>
            </w:pPr>
            <w:r w:rsidRPr="00A63AAE">
              <w:rPr>
                <w:rFonts w:asciiTheme="minorHAnsi" w:eastAsiaTheme="minorHAnsi" w:hAnsiTheme="minorHAnsi" w:cstheme="minorHAnsi"/>
                <w:bCs/>
                <w:lang w:eastAsia="en-US"/>
              </w:rPr>
              <w:lastRenderedPageBreak/>
              <w:t>1266</w:t>
            </w:r>
          </w:p>
        </w:tc>
        <w:tc>
          <w:tcPr>
            <w:tcW w:w="1134" w:type="dxa"/>
            <w:shd w:val="clear" w:color="auto" w:fill="FFFFFF" w:themeFill="background1"/>
          </w:tcPr>
          <w:p w:rsidR="003B0487" w:rsidRPr="00A63AAE" w:rsidRDefault="003B0487" w:rsidP="006D5451">
            <w:pPr>
              <w:widowControl/>
              <w:adjustRightInd/>
              <w:spacing w:line="240" w:lineRule="auto"/>
              <w:contextualSpacing/>
              <w:jc w:val="center"/>
              <w:textAlignment w:val="auto"/>
              <w:rPr>
                <w:rFonts w:asciiTheme="minorHAnsi" w:eastAsiaTheme="minorHAnsi" w:hAnsiTheme="minorHAnsi" w:cstheme="minorHAnsi"/>
                <w:bCs/>
                <w:lang w:eastAsia="en-US"/>
              </w:rPr>
            </w:pPr>
            <w:r w:rsidRPr="00A63AAE">
              <w:rPr>
                <w:rFonts w:asciiTheme="minorHAnsi" w:eastAsiaTheme="minorHAnsi" w:hAnsiTheme="minorHAnsi" w:cstheme="minorHAnsi"/>
                <w:bCs/>
                <w:lang w:eastAsia="en-US"/>
              </w:rPr>
              <w:t>510/2021</w:t>
            </w:r>
          </w:p>
        </w:tc>
        <w:tc>
          <w:tcPr>
            <w:tcW w:w="1985" w:type="dxa"/>
            <w:shd w:val="clear" w:color="auto" w:fill="FFFFFF" w:themeFill="background1"/>
          </w:tcPr>
          <w:p w:rsidR="003B0487" w:rsidRPr="00A63AAE" w:rsidRDefault="003B0487" w:rsidP="006D5451">
            <w:pPr>
              <w:widowControl/>
              <w:adjustRightInd/>
              <w:spacing w:line="240" w:lineRule="auto"/>
              <w:contextualSpacing/>
              <w:jc w:val="center"/>
              <w:textAlignment w:val="auto"/>
              <w:rPr>
                <w:rFonts w:asciiTheme="minorHAnsi" w:eastAsiaTheme="minorHAnsi" w:hAnsiTheme="minorHAnsi" w:cstheme="minorHAnsi"/>
                <w:bCs/>
                <w:lang w:eastAsia="en-US"/>
              </w:rPr>
            </w:pPr>
            <w:r w:rsidRPr="00A63AAE">
              <w:rPr>
                <w:rFonts w:asciiTheme="minorHAnsi" w:eastAsiaTheme="minorHAnsi" w:hAnsiTheme="minorHAnsi" w:cstheme="minorHAnsi"/>
                <w:bCs/>
                <w:lang w:eastAsia="en-US"/>
              </w:rPr>
              <w:t>48610.216631/2021</w:t>
            </w:r>
          </w:p>
          <w:p w:rsidR="003B0487" w:rsidRPr="00A63AAE" w:rsidRDefault="003B0487" w:rsidP="006D5451">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FFFFFF" w:themeFill="background1"/>
          </w:tcPr>
          <w:p w:rsidR="003B0487" w:rsidRPr="00A63AAE" w:rsidRDefault="003B0487" w:rsidP="006D5451">
            <w:pPr>
              <w:widowControl/>
              <w:adjustRightInd/>
              <w:spacing w:line="240" w:lineRule="auto"/>
              <w:contextualSpacing/>
              <w:textAlignment w:val="auto"/>
              <w:rPr>
                <w:rFonts w:asciiTheme="minorHAnsi" w:eastAsiaTheme="minorHAnsi" w:hAnsiTheme="minorHAnsi" w:cstheme="minorHAnsi"/>
                <w:bCs/>
                <w:lang w:eastAsia="en-US"/>
              </w:rPr>
            </w:pPr>
            <w:r w:rsidRPr="00A63AAE">
              <w:rPr>
                <w:rFonts w:asciiTheme="minorHAnsi" w:eastAsiaTheme="minorHAnsi" w:hAnsiTheme="minorHAnsi" w:cstheme="minorHAnsi"/>
                <w:bCs/>
                <w:lang w:eastAsia="en-US"/>
              </w:rPr>
              <w:t xml:space="preserve">Revisão pontual da Instrução Normativa ANP nº 03/2020, que regulamenta o processo decisório da </w:t>
            </w:r>
            <w:proofErr w:type="gramStart"/>
            <w:r w:rsidRPr="00A63AAE">
              <w:rPr>
                <w:rFonts w:asciiTheme="minorHAnsi" w:eastAsiaTheme="minorHAnsi" w:hAnsiTheme="minorHAnsi" w:cstheme="minorHAnsi"/>
                <w:bCs/>
                <w:lang w:eastAsia="en-US"/>
              </w:rPr>
              <w:t>ANP</w:t>
            </w:r>
            <w:proofErr w:type="gramEnd"/>
          </w:p>
          <w:p w:rsidR="003B0487" w:rsidRPr="00A63AAE" w:rsidRDefault="003B0487" w:rsidP="006D5451">
            <w:pPr>
              <w:widowControl/>
              <w:adjustRightInd/>
              <w:spacing w:line="240" w:lineRule="auto"/>
              <w:contextualSpacing/>
              <w:textAlignment w:val="auto"/>
              <w:rPr>
                <w:rFonts w:asciiTheme="minorHAnsi" w:eastAsiaTheme="minorHAnsi" w:hAnsiTheme="minorHAnsi" w:cstheme="minorHAnsi"/>
                <w:bCs/>
                <w:lang w:eastAsia="en-US"/>
              </w:rPr>
            </w:pPr>
          </w:p>
        </w:tc>
        <w:tc>
          <w:tcPr>
            <w:tcW w:w="850" w:type="dxa"/>
            <w:shd w:val="clear" w:color="auto" w:fill="FFFFFF" w:themeFill="background1"/>
          </w:tcPr>
          <w:p w:rsidR="003B0487" w:rsidRPr="00A63AAE" w:rsidRDefault="003B0487" w:rsidP="006D5451">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SGE</w:t>
            </w:r>
          </w:p>
        </w:tc>
        <w:tc>
          <w:tcPr>
            <w:tcW w:w="1354" w:type="dxa"/>
            <w:shd w:val="clear" w:color="auto" w:fill="FFFFFF" w:themeFill="background1"/>
          </w:tcPr>
          <w:p w:rsidR="003B0487" w:rsidRPr="00A63AAE" w:rsidRDefault="003B0487" w:rsidP="006D5451">
            <w:pPr>
              <w:widowControl/>
              <w:adjustRightInd/>
              <w:spacing w:line="240" w:lineRule="auto"/>
              <w:contextualSpacing/>
              <w:jc w:val="center"/>
              <w:textAlignment w:val="auto"/>
              <w:rPr>
                <w:rFonts w:asciiTheme="minorHAnsi" w:eastAsiaTheme="minorHAnsi" w:hAnsiTheme="minorHAnsi" w:cstheme="minorHAnsi"/>
                <w:bCs/>
                <w:lang w:eastAsia="en-US"/>
              </w:rPr>
            </w:pPr>
            <w:r w:rsidRPr="00A63AAE">
              <w:rPr>
                <w:rFonts w:asciiTheme="minorHAnsi" w:eastAsiaTheme="minorHAnsi" w:hAnsiTheme="minorHAnsi" w:cstheme="minorHAnsi"/>
                <w:bCs/>
                <w:lang w:eastAsia="en-US"/>
              </w:rPr>
              <w:t>531/2021</w:t>
            </w:r>
          </w:p>
        </w:tc>
        <w:tc>
          <w:tcPr>
            <w:tcW w:w="1275" w:type="dxa"/>
            <w:shd w:val="clear" w:color="auto" w:fill="FFFFFF" w:themeFill="background1"/>
          </w:tcPr>
          <w:p w:rsidR="003B0487" w:rsidRPr="00A63AAE" w:rsidRDefault="003B0487" w:rsidP="006D5451">
            <w:pPr>
              <w:widowControl/>
              <w:adjustRightInd/>
              <w:spacing w:line="240" w:lineRule="auto"/>
              <w:contextualSpacing/>
              <w:jc w:val="center"/>
              <w:textAlignment w:val="auto"/>
              <w:rPr>
                <w:rFonts w:asciiTheme="minorHAnsi" w:eastAsiaTheme="minorHAnsi" w:hAnsiTheme="minorHAnsi" w:cstheme="minorHAnsi"/>
                <w:bCs/>
                <w:lang w:eastAsia="en-US"/>
              </w:rPr>
            </w:pPr>
            <w:r w:rsidRPr="00A63AAE">
              <w:rPr>
                <w:rFonts w:asciiTheme="minorHAnsi" w:eastAsiaTheme="minorHAnsi" w:hAnsiTheme="minorHAnsi" w:cstheme="minorHAnsi"/>
                <w:bCs/>
                <w:lang w:eastAsia="en-US"/>
              </w:rPr>
              <w:t>20/09/2021</w:t>
            </w:r>
          </w:p>
        </w:tc>
        <w:tc>
          <w:tcPr>
            <w:tcW w:w="1340" w:type="dxa"/>
            <w:shd w:val="clear" w:color="auto" w:fill="FFFFFF" w:themeFill="background1"/>
          </w:tcPr>
          <w:p w:rsidR="003B0487" w:rsidRPr="00A63AAE" w:rsidRDefault="003B0487" w:rsidP="006D5451">
            <w:pPr>
              <w:widowControl/>
              <w:adjustRightInd/>
              <w:spacing w:line="240" w:lineRule="auto"/>
              <w:contextualSpacing/>
              <w:jc w:val="center"/>
              <w:textAlignment w:val="auto"/>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Rodolfo Saboia</w:t>
            </w:r>
          </w:p>
        </w:tc>
        <w:tc>
          <w:tcPr>
            <w:tcW w:w="4395" w:type="dxa"/>
            <w:shd w:val="clear" w:color="auto" w:fill="FFFFFF" w:themeFill="background1"/>
          </w:tcPr>
          <w:p w:rsidR="003B0487" w:rsidRPr="00A63AAE" w:rsidRDefault="003B0487" w:rsidP="006D5451">
            <w:pPr>
              <w:widowControl/>
              <w:adjustRightInd/>
              <w:spacing w:line="240" w:lineRule="auto"/>
              <w:contextualSpacing/>
              <w:textAlignment w:val="auto"/>
              <w:rPr>
                <w:rFonts w:asciiTheme="minorHAnsi" w:eastAsiaTheme="minorHAnsi" w:hAnsiTheme="minorHAnsi" w:cstheme="minorHAnsi"/>
                <w:bCs/>
                <w:lang w:eastAsia="en-US"/>
              </w:rPr>
            </w:pPr>
            <w:r w:rsidRPr="00A63AAE">
              <w:rPr>
                <w:rFonts w:asciiTheme="minorHAnsi" w:eastAsiaTheme="minorHAnsi" w:hAnsiTheme="minorHAnsi" w:cstheme="minorHAnsi"/>
                <w:bCs/>
                <w:lang w:eastAsia="en-US"/>
              </w:rPr>
              <w:t xml:space="preserve">A Diretoria da Agência Nacional do Petróleo, Gás </w:t>
            </w:r>
            <w:proofErr w:type="gramStart"/>
            <w:r w:rsidRPr="00A63AAE">
              <w:rPr>
                <w:rFonts w:asciiTheme="minorHAnsi" w:eastAsiaTheme="minorHAnsi" w:hAnsiTheme="minorHAnsi" w:cstheme="minorHAnsi"/>
                <w:bCs/>
                <w:lang w:eastAsia="en-US"/>
              </w:rPr>
              <w:t>Natural e Biocombustíveis</w:t>
            </w:r>
            <w:proofErr w:type="gramEnd"/>
            <w:r w:rsidRPr="00A63AAE">
              <w:rPr>
                <w:rFonts w:asciiTheme="minorHAnsi" w:eastAsiaTheme="minorHAnsi" w:hAnsiTheme="minorHAnsi" w:cstheme="minorHAnsi"/>
                <w:bCs/>
                <w:lang w:eastAsia="en-US"/>
              </w:rPr>
              <w:t xml:space="preserve"> - ANP, com base na Proposta de Ação nº 510, de 29 de agosto de 2021, na Nota Técnica nº 22/2021/SGE/ANP-RJ e no Parecer nº 255/2021/PFANP/PGF/AGU, resolve:</w:t>
            </w:r>
          </w:p>
          <w:p w:rsidR="003B0487" w:rsidRPr="00A63AAE" w:rsidRDefault="003B0487" w:rsidP="006D5451">
            <w:pPr>
              <w:widowControl/>
              <w:adjustRightInd/>
              <w:spacing w:line="240" w:lineRule="auto"/>
              <w:contextualSpacing/>
              <w:textAlignment w:val="auto"/>
              <w:rPr>
                <w:rFonts w:asciiTheme="minorHAnsi" w:eastAsiaTheme="minorHAnsi" w:hAnsiTheme="minorHAnsi" w:cstheme="minorHAnsi"/>
                <w:bCs/>
                <w:lang w:eastAsia="en-US"/>
              </w:rPr>
            </w:pPr>
            <w:r w:rsidRPr="00A63AAE">
              <w:rPr>
                <w:rFonts w:asciiTheme="minorHAnsi" w:eastAsiaTheme="minorHAnsi" w:hAnsiTheme="minorHAnsi" w:cstheme="minorHAnsi"/>
                <w:bCs/>
                <w:lang w:eastAsia="en-US"/>
              </w:rPr>
              <w:t xml:space="preserve">Aprovar a minuta de Instrução Normativa que altera a Instrução Normativa ANP nº 03, de </w:t>
            </w:r>
            <w:proofErr w:type="gramStart"/>
            <w:r w:rsidRPr="00A63AAE">
              <w:rPr>
                <w:rFonts w:asciiTheme="minorHAnsi" w:eastAsiaTheme="minorHAnsi" w:hAnsiTheme="minorHAnsi" w:cstheme="minorHAnsi"/>
                <w:bCs/>
                <w:lang w:eastAsia="en-US"/>
              </w:rPr>
              <w:t>3</w:t>
            </w:r>
            <w:proofErr w:type="gramEnd"/>
            <w:r w:rsidRPr="00A63AAE">
              <w:rPr>
                <w:rFonts w:asciiTheme="minorHAnsi" w:eastAsiaTheme="minorHAnsi" w:hAnsiTheme="minorHAnsi" w:cstheme="minorHAnsi"/>
                <w:bCs/>
                <w:lang w:eastAsia="en-US"/>
              </w:rPr>
              <w:t xml:space="preserve"> de novembro de 2020.</w:t>
            </w:r>
          </w:p>
        </w:tc>
      </w:tr>
      <w:tr w:rsidR="003B0487" w:rsidRPr="007A473D" w:rsidTr="006D5451">
        <w:tc>
          <w:tcPr>
            <w:tcW w:w="16444" w:type="dxa"/>
            <w:gridSpan w:val="9"/>
            <w:shd w:val="clear" w:color="auto" w:fill="FFFFFF" w:themeFill="background1"/>
          </w:tcPr>
          <w:p w:rsidR="003B0487" w:rsidRPr="00FA7A23" w:rsidRDefault="003B0487" w:rsidP="006D5451">
            <w:pPr>
              <w:pStyle w:val="textoalinhadoesquerdaespacamentosimples"/>
              <w:spacing w:before="0" w:beforeAutospacing="0" w:after="0" w:afterAutospacing="0"/>
              <w:rPr>
                <w:rFonts w:asciiTheme="minorHAnsi" w:eastAsiaTheme="minorHAnsi" w:hAnsiTheme="minorHAnsi" w:cstheme="minorHAnsi"/>
                <w:b/>
                <w:bCs/>
                <w:sz w:val="20"/>
                <w:szCs w:val="20"/>
                <w:lang w:eastAsia="en-US"/>
              </w:rPr>
            </w:pPr>
            <w:r w:rsidRPr="00FA7A23">
              <w:rPr>
                <w:rFonts w:asciiTheme="minorHAnsi" w:eastAsiaTheme="minorHAnsi" w:hAnsiTheme="minorHAnsi" w:cstheme="minorHAnsi"/>
                <w:b/>
                <w:bCs/>
                <w:sz w:val="20"/>
                <w:szCs w:val="20"/>
                <w:lang w:eastAsia="en-US"/>
              </w:rPr>
              <w:t>PA = Proposta de Ação</w:t>
            </w:r>
          </w:p>
          <w:p w:rsidR="003B0487" w:rsidRPr="007A473D" w:rsidRDefault="003B0487" w:rsidP="006D5451">
            <w:pPr>
              <w:widowControl/>
              <w:adjustRightInd/>
              <w:spacing w:line="240" w:lineRule="auto"/>
              <w:contextualSpacing/>
              <w:textAlignment w:val="auto"/>
              <w:rPr>
                <w:rFonts w:asciiTheme="minorHAnsi" w:eastAsiaTheme="minorHAnsi" w:hAnsiTheme="minorHAnsi" w:cstheme="minorHAnsi"/>
                <w:b/>
                <w:lang w:eastAsia="en-US"/>
              </w:rPr>
            </w:pPr>
            <w:r>
              <w:rPr>
                <w:rFonts w:asciiTheme="minorHAnsi" w:eastAsiaTheme="minorHAnsi" w:hAnsiTheme="minorHAnsi" w:cstheme="minorHAnsi"/>
                <w:b/>
                <w:bCs/>
                <w:lang w:eastAsia="en-US"/>
              </w:rPr>
              <w:t>U</w:t>
            </w:r>
            <w:r w:rsidRPr="00FA7A23">
              <w:rPr>
                <w:rFonts w:asciiTheme="minorHAnsi" w:eastAsiaTheme="minorHAnsi" w:hAnsiTheme="minorHAnsi" w:cstheme="minorHAnsi"/>
                <w:b/>
                <w:bCs/>
                <w:lang w:eastAsia="en-US"/>
              </w:rPr>
              <w:t>ORG = Unidade Organizacional</w:t>
            </w:r>
          </w:p>
        </w:tc>
      </w:tr>
    </w:tbl>
    <w:p w:rsidR="00D21680" w:rsidRDefault="00D21680"/>
    <w:sectPr w:rsidR="00D21680" w:rsidSect="003B0487">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07F" w:rsidRDefault="006C307F" w:rsidP="003B0487">
      <w:pPr>
        <w:spacing w:line="240" w:lineRule="auto"/>
      </w:pPr>
      <w:r>
        <w:separator/>
      </w:r>
    </w:p>
  </w:endnote>
  <w:endnote w:type="continuationSeparator" w:id="0">
    <w:p w:rsidR="006C307F" w:rsidRDefault="006C307F" w:rsidP="003B0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07F" w:rsidRDefault="006C307F" w:rsidP="003B0487">
      <w:pPr>
        <w:spacing w:line="240" w:lineRule="auto"/>
      </w:pPr>
      <w:r>
        <w:separator/>
      </w:r>
    </w:p>
  </w:footnote>
  <w:footnote w:type="continuationSeparator" w:id="0">
    <w:p w:rsidR="006C307F" w:rsidRDefault="006C307F" w:rsidP="003B04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87" w:rsidRDefault="006C307F">
    <w:pPr>
      <w:pStyle w:val="Cabealho"/>
    </w:pPr>
    <w:r>
      <w:rPr>
        <w:noProof/>
      </w:rPr>
      <w:pict w14:anchorId="11484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5pt;margin-top:-21.9pt;width:133.25pt;height:57.8pt;z-index:251658240;mso-position-horizontal-relative:text;mso-position-vertical-relative:text">
          <v:imagedata r:id="rId1" o:title=""/>
          <w10:wrap type="topAndBottom" anchorx="page"/>
        </v:shape>
        <o:OLEObject Type="Embed" ProgID="MSPhotoEd.3" ShapeID="_x0000_s2049" DrawAspect="Content" ObjectID="_1694003989" r:id="rId2"/>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487"/>
    <w:rsid w:val="00000E34"/>
    <w:rsid w:val="00004315"/>
    <w:rsid w:val="00005F6D"/>
    <w:rsid w:val="000143D6"/>
    <w:rsid w:val="00021A6A"/>
    <w:rsid w:val="00022D8D"/>
    <w:rsid w:val="000237E2"/>
    <w:rsid w:val="000245DC"/>
    <w:rsid w:val="00030AB6"/>
    <w:rsid w:val="00032B09"/>
    <w:rsid w:val="000331F2"/>
    <w:rsid w:val="00033E7E"/>
    <w:rsid w:val="00034EE9"/>
    <w:rsid w:val="00035C57"/>
    <w:rsid w:val="00036FC0"/>
    <w:rsid w:val="0004012E"/>
    <w:rsid w:val="00044175"/>
    <w:rsid w:val="0004516B"/>
    <w:rsid w:val="00045504"/>
    <w:rsid w:val="000520B6"/>
    <w:rsid w:val="000523DC"/>
    <w:rsid w:val="00062D64"/>
    <w:rsid w:val="00065645"/>
    <w:rsid w:val="00066FA7"/>
    <w:rsid w:val="00071C3D"/>
    <w:rsid w:val="00076A0C"/>
    <w:rsid w:val="00081CDC"/>
    <w:rsid w:val="00083BE4"/>
    <w:rsid w:val="00092F8B"/>
    <w:rsid w:val="000A457E"/>
    <w:rsid w:val="000B6157"/>
    <w:rsid w:val="000B7C53"/>
    <w:rsid w:val="000C270F"/>
    <w:rsid w:val="000C5BBC"/>
    <w:rsid w:val="000C7FB2"/>
    <w:rsid w:val="000D1162"/>
    <w:rsid w:val="000D26AC"/>
    <w:rsid w:val="000D42F8"/>
    <w:rsid w:val="000D5863"/>
    <w:rsid w:val="000D742E"/>
    <w:rsid w:val="000D74C0"/>
    <w:rsid w:val="000E4B00"/>
    <w:rsid w:val="00100628"/>
    <w:rsid w:val="00111553"/>
    <w:rsid w:val="00116930"/>
    <w:rsid w:val="00127978"/>
    <w:rsid w:val="00133078"/>
    <w:rsid w:val="00136D82"/>
    <w:rsid w:val="00146DC4"/>
    <w:rsid w:val="00147DD7"/>
    <w:rsid w:val="00147E3B"/>
    <w:rsid w:val="00150A3A"/>
    <w:rsid w:val="00153DAC"/>
    <w:rsid w:val="001554D6"/>
    <w:rsid w:val="00157985"/>
    <w:rsid w:val="001617BC"/>
    <w:rsid w:val="001659ED"/>
    <w:rsid w:val="00166541"/>
    <w:rsid w:val="001719EB"/>
    <w:rsid w:val="0018069C"/>
    <w:rsid w:val="00181A5B"/>
    <w:rsid w:val="00184F4A"/>
    <w:rsid w:val="00193429"/>
    <w:rsid w:val="00195F38"/>
    <w:rsid w:val="00196AAF"/>
    <w:rsid w:val="001A66AE"/>
    <w:rsid w:val="001B200F"/>
    <w:rsid w:val="001B7E9A"/>
    <w:rsid w:val="001C0377"/>
    <w:rsid w:val="001C1DEF"/>
    <w:rsid w:val="001C4B78"/>
    <w:rsid w:val="001C58D7"/>
    <w:rsid w:val="001C7D66"/>
    <w:rsid w:val="001D07D7"/>
    <w:rsid w:val="001D19C2"/>
    <w:rsid w:val="001D2775"/>
    <w:rsid w:val="001D39B1"/>
    <w:rsid w:val="001D4933"/>
    <w:rsid w:val="001D6775"/>
    <w:rsid w:val="001D7488"/>
    <w:rsid w:val="001E3C3F"/>
    <w:rsid w:val="001F498E"/>
    <w:rsid w:val="00203A00"/>
    <w:rsid w:val="002051B7"/>
    <w:rsid w:val="00213857"/>
    <w:rsid w:val="00216BA6"/>
    <w:rsid w:val="00217822"/>
    <w:rsid w:val="002207F1"/>
    <w:rsid w:val="002239CE"/>
    <w:rsid w:val="002304F3"/>
    <w:rsid w:val="002325C4"/>
    <w:rsid w:val="00232C48"/>
    <w:rsid w:val="00234534"/>
    <w:rsid w:val="00245375"/>
    <w:rsid w:val="00251557"/>
    <w:rsid w:val="00251C01"/>
    <w:rsid w:val="00251D23"/>
    <w:rsid w:val="00254CB6"/>
    <w:rsid w:val="0026104E"/>
    <w:rsid w:val="00263132"/>
    <w:rsid w:val="002679A5"/>
    <w:rsid w:val="00267A68"/>
    <w:rsid w:val="00267A78"/>
    <w:rsid w:val="002708C6"/>
    <w:rsid w:val="00271F45"/>
    <w:rsid w:val="00271FA7"/>
    <w:rsid w:val="00275EF9"/>
    <w:rsid w:val="002761F5"/>
    <w:rsid w:val="00282DD4"/>
    <w:rsid w:val="002851B0"/>
    <w:rsid w:val="00292ABF"/>
    <w:rsid w:val="00293E3C"/>
    <w:rsid w:val="002953C3"/>
    <w:rsid w:val="002972ED"/>
    <w:rsid w:val="002A3107"/>
    <w:rsid w:val="002A5CF7"/>
    <w:rsid w:val="002B15C5"/>
    <w:rsid w:val="002B2F57"/>
    <w:rsid w:val="002B7C72"/>
    <w:rsid w:val="002C342A"/>
    <w:rsid w:val="002D0FC7"/>
    <w:rsid w:val="002D2B70"/>
    <w:rsid w:val="002E16DA"/>
    <w:rsid w:val="002F4D30"/>
    <w:rsid w:val="00301AA9"/>
    <w:rsid w:val="00302A7D"/>
    <w:rsid w:val="00310555"/>
    <w:rsid w:val="003133D3"/>
    <w:rsid w:val="00314986"/>
    <w:rsid w:val="00316639"/>
    <w:rsid w:val="003173A9"/>
    <w:rsid w:val="003235AA"/>
    <w:rsid w:val="00330EC0"/>
    <w:rsid w:val="0033134A"/>
    <w:rsid w:val="0033418F"/>
    <w:rsid w:val="00334A92"/>
    <w:rsid w:val="00337CAF"/>
    <w:rsid w:val="003412DC"/>
    <w:rsid w:val="00347207"/>
    <w:rsid w:val="00354403"/>
    <w:rsid w:val="00354A26"/>
    <w:rsid w:val="00356CF4"/>
    <w:rsid w:val="00370E34"/>
    <w:rsid w:val="00372683"/>
    <w:rsid w:val="00375722"/>
    <w:rsid w:val="0037705C"/>
    <w:rsid w:val="003777B1"/>
    <w:rsid w:val="003824DA"/>
    <w:rsid w:val="00382CA5"/>
    <w:rsid w:val="00384717"/>
    <w:rsid w:val="0038584B"/>
    <w:rsid w:val="00387FF3"/>
    <w:rsid w:val="003A1A84"/>
    <w:rsid w:val="003A29A0"/>
    <w:rsid w:val="003A2D3A"/>
    <w:rsid w:val="003A3139"/>
    <w:rsid w:val="003A5FFB"/>
    <w:rsid w:val="003B0050"/>
    <w:rsid w:val="003B0487"/>
    <w:rsid w:val="003B1692"/>
    <w:rsid w:val="003B6758"/>
    <w:rsid w:val="003C06BB"/>
    <w:rsid w:val="003C2AAC"/>
    <w:rsid w:val="003D0AA0"/>
    <w:rsid w:val="003D5790"/>
    <w:rsid w:val="003E53D8"/>
    <w:rsid w:val="003E6706"/>
    <w:rsid w:val="003F1385"/>
    <w:rsid w:val="003F1589"/>
    <w:rsid w:val="003F312D"/>
    <w:rsid w:val="004011DB"/>
    <w:rsid w:val="00401F37"/>
    <w:rsid w:val="004038F0"/>
    <w:rsid w:val="0040417F"/>
    <w:rsid w:val="00406027"/>
    <w:rsid w:val="00406896"/>
    <w:rsid w:val="00413DFD"/>
    <w:rsid w:val="00414A2A"/>
    <w:rsid w:val="0041574A"/>
    <w:rsid w:val="004166C7"/>
    <w:rsid w:val="00417081"/>
    <w:rsid w:val="004260DE"/>
    <w:rsid w:val="004265F5"/>
    <w:rsid w:val="004358AC"/>
    <w:rsid w:val="004415BC"/>
    <w:rsid w:val="00441E07"/>
    <w:rsid w:val="00444D17"/>
    <w:rsid w:val="004458B4"/>
    <w:rsid w:val="00446E70"/>
    <w:rsid w:val="00447E6C"/>
    <w:rsid w:val="004527D0"/>
    <w:rsid w:val="004550EE"/>
    <w:rsid w:val="004569E4"/>
    <w:rsid w:val="00462B5F"/>
    <w:rsid w:val="004630A3"/>
    <w:rsid w:val="004632D4"/>
    <w:rsid w:val="00464774"/>
    <w:rsid w:val="00471F38"/>
    <w:rsid w:val="0047497B"/>
    <w:rsid w:val="00475FCD"/>
    <w:rsid w:val="0048545B"/>
    <w:rsid w:val="0048648F"/>
    <w:rsid w:val="00487252"/>
    <w:rsid w:val="004877BE"/>
    <w:rsid w:val="0049210A"/>
    <w:rsid w:val="00492AA6"/>
    <w:rsid w:val="00493391"/>
    <w:rsid w:val="00493E0F"/>
    <w:rsid w:val="004A0417"/>
    <w:rsid w:val="004A5858"/>
    <w:rsid w:val="004A6379"/>
    <w:rsid w:val="004B1681"/>
    <w:rsid w:val="004B455A"/>
    <w:rsid w:val="004B58DB"/>
    <w:rsid w:val="004B791D"/>
    <w:rsid w:val="004C1D28"/>
    <w:rsid w:val="004C63DD"/>
    <w:rsid w:val="004D6F30"/>
    <w:rsid w:val="004D715E"/>
    <w:rsid w:val="004E358C"/>
    <w:rsid w:val="004E5C51"/>
    <w:rsid w:val="004E7B22"/>
    <w:rsid w:val="004F2966"/>
    <w:rsid w:val="004F3442"/>
    <w:rsid w:val="00502E3C"/>
    <w:rsid w:val="005047A9"/>
    <w:rsid w:val="0051127A"/>
    <w:rsid w:val="005134C2"/>
    <w:rsid w:val="0051370C"/>
    <w:rsid w:val="0051416D"/>
    <w:rsid w:val="00520FEE"/>
    <w:rsid w:val="0053150B"/>
    <w:rsid w:val="0053231C"/>
    <w:rsid w:val="00532F87"/>
    <w:rsid w:val="00537E4C"/>
    <w:rsid w:val="00543878"/>
    <w:rsid w:val="005470CB"/>
    <w:rsid w:val="00551457"/>
    <w:rsid w:val="00552C6A"/>
    <w:rsid w:val="00554355"/>
    <w:rsid w:val="005635C0"/>
    <w:rsid w:val="005734A9"/>
    <w:rsid w:val="005778F8"/>
    <w:rsid w:val="00586030"/>
    <w:rsid w:val="005871DE"/>
    <w:rsid w:val="005874F4"/>
    <w:rsid w:val="00590C25"/>
    <w:rsid w:val="00592FB7"/>
    <w:rsid w:val="00596E29"/>
    <w:rsid w:val="005A1844"/>
    <w:rsid w:val="005A237D"/>
    <w:rsid w:val="005A253E"/>
    <w:rsid w:val="005A2660"/>
    <w:rsid w:val="005A2695"/>
    <w:rsid w:val="005A32BB"/>
    <w:rsid w:val="005A63EF"/>
    <w:rsid w:val="005B225F"/>
    <w:rsid w:val="005B2BAC"/>
    <w:rsid w:val="005B3F48"/>
    <w:rsid w:val="005B554E"/>
    <w:rsid w:val="005B7FB9"/>
    <w:rsid w:val="005C42E0"/>
    <w:rsid w:val="005C4A9B"/>
    <w:rsid w:val="005C6ED1"/>
    <w:rsid w:val="005D1F0E"/>
    <w:rsid w:val="005D4307"/>
    <w:rsid w:val="005D4673"/>
    <w:rsid w:val="005D55FC"/>
    <w:rsid w:val="005E0979"/>
    <w:rsid w:val="005E2589"/>
    <w:rsid w:val="005E5143"/>
    <w:rsid w:val="005F0BC6"/>
    <w:rsid w:val="005F2928"/>
    <w:rsid w:val="005F5F1E"/>
    <w:rsid w:val="00600E7E"/>
    <w:rsid w:val="00605F38"/>
    <w:rsid w:val="006073AD"/>
    <w:rsid w:val="0061292B"/>
    <w:rsid w:val="00612F78"/>
    <w:rsid w:val="0061369E"/>
    <w:rsid w:val="00614FFB"/>
    <w:rsid w:val="006168F4"/>
    <w:rsid w:val="00625018"/>
    <w:rsid w:val="0063297F"/>
    <w:rsid w:val="006355F1"/>
    <w:rsid w:val="00635C44"/>
    <w:rsid w:val="00640D28"/>
    <w:rsid w:val="0064412B"/>
    <w:rsid w:val="0065119A"/>
    <w:rsid w:val="00651C11"/>
    <w:rsid w:val="00652699"/>
    <w:rsid w:val="0066155F"/>
    <w:rsid w:val="00664959"/>
    <w:rsid w:val="00665EDA"/>
    <w:rsid w:val="00667774"/>
    <w:rsid w:val="0067117D"/>
    <w:rsid w:val="00671F7B"/>
    <w:rsid w:val="00673018"/>
    <w:rsid w:val="00682B4A"/>
    <w:rsid w:val="0068350E"/>
    <w:rsid w:val="00690388"/>
    <w:rsid w:val="00694056"/>
    <w:rsid w:val="006A1EF3"/>
    <w:rsid w:val="006A42E3"/>
    <w:rsid w:val="006B4483"/>
    <w:rsid w:val="006B487B"/>
    <w:rsid w:val="006B5F68"/>
    <w:rsid w:val="006B7F2B"/>
    <w:rsid w:val="006C2E63"/>
    <w:rsid w:val="006C307F"/>
    <w:rsid w:val="006C6448"/>
    <w:rsid w:val="006D1320"/>
    <w:rsid w:val="006D6864"/>
    <w:rsid w:val="006D6F39"/>
    <w:rsid w:val="006E0564"/>
    <w:rsid w:val="006E1308"/>
    <w:rsid w:val="006E348F"/>
    <w:rsid w:val="006E532F"/>
    <w:rsid w:val="006F1A58"/>
    <w:rsid w:val="00701DBE"/>
    <w:rsid w:val="0070244C"/>
    <w:rsid w:val="00703553"/>
    <w:rsid w:val="00705371"/>
    <w:rsid w:val="00706823"/>
    <w:rsid w:val="00707890"/>
    <w:rsid w:val="00707C91"/>
    <w:rsid w:val="0071642E"/>
    <w:rsid w:val="007216E4"/>
    <w:rsid w:val="00722D8F"/>
    <w:rsid w:val="00723E9D"/>
    <w:rsid w:val="007251FE"/>
    <w:rsid w:val="0073151B"/>
    <w:rsid w:val="0073275B"/>
    <w:rsid w:val="0073412E"/>
    <w:rsid w:val="00734989"/>
    <w:rsid w:val="0074325A"/>
    <w:rsid w:val="007502DC"/>
    <w:rsid w:val="0075051F"/>
    <w:rsid w:val="00750FE8"/>
    <w:rsid w:val="007512CB"/>
    <w:rsid w:val="00752743"/>
    <w:rsid w:val="0075279B"/>
    <w:rsid w:val="00752915"/>
    <w:rsid w:val="007548C2"/>
    <w:rsid w:val="007567D9"/>
    <w:rsid w:val="00761534"/>
    <w:rsid w:val="00763775"/>
    <w:rsid w:val="00764A20"/>
    <w:rsid w:val="00764B5E"/>
    <w:rsid w:val="007665E7"/>
    <w:rsid w:val="00766B3F"/>
    <w:rsid w:val="00767552"/>
    <w:rsid w:val="00770645"/>
    <w:rsid w:val="00771AEA"/>
    <w:rsid w:val="00771EFC"/>
    <w:rsid w:val="00772037"/>
    <w:rsid w:val="00796707"/>
    <w:rsid w:val="007A035D"/>
    <w:rsid w:val="007A6A52"/>
    <w:rsid w:val="007B0A78"/>
    <w:rsid w:val="007B3930"/>
    <w:rsid w:val="007B4DB6"/>
    <w:rsid w:val="007C124B"/>
    <w:rsid w:val="007C1D2E"/>
    <w:rsid w:val="007C1EEB"/>
    <w:rsid w:val="007C20EE"/>
    <w:rsid w:val="007C25B9"/>
    <w:rsid w:val="007C5485"/>
    <w:rsid w:val="007C6E80"/>
    <w:rsid w:val="007D1DB8"/>
    <w:rsid w:val="007D4351"/>
    <w:rsid w:val="007D49D1"/>
    <w:rsid w:val="007D635E"/>
    <w:rsid w:val="007D6AA1"/>
    <w:rsid w:val="007E2092"/>
    <w:rsid w:val="007E4760"/>
    <w:rsid w:val="007E554B"/>
    <w:rsid w:val="007E6F46"/>
    <w:rsid w:val="007E7460"/>
    <w:rsid w:val="007E7A27"/>
    <w:rsid w:val="00800F1F"/>
    <w:rsid w:val="00806981"/>
    <w:rsid w:val="00811025"/>
    <w:rsid w:val="00825B41"/>
    <w:rsid w:val="00825E46"/>
    <w:rsid w:val="00830814"/>
    <w:rsid w:val="00841093"/>
    <w:rsid w:val="0084300F"/>
    <w:rsid w:val="00843B5C"/>
    <w:rsid w:val="008461AB"/>
    <w:rsid w:val="00851F8B"/>
    <w:rsid w:val="0086325C"/>
    <w:rsid w:val="0086525E"/>
    <w:rsid w:val="008727EF"/>
    <w:rsid w:val="00873488"/>
    <w:rsid w:val="008754F7"/>
    <w:rsid w:val="00875A0B"/>
    <w:rsid w:val="00875ADF"/>
    <w:rsid w:val="00883144"/>
    <w:rsid w:val="00885A73"/>
    <w:rsid w:val="00885A8D"/>
    <w:rsid w:val="008A0004"/>
    <w:rsid w:val="008A04BE"/>
    <w:rsid w:val="008A462C"/>
    <w:rsid w:val="008A4A32"/>
    <w:rsid w:val="008B05AE"/>
    <w:rsid w:val="008B19F8"/>
    <w:rsid w:val="008B6BE8"/>
    <w:rsid w:val="008C0B32"/>
    <w:rsid w:val="008C4DCF"/>
    <w:rsid w:val="008C6533"/>
    <w:rsid w:val="008C6B3D"/>
    <w:rsid w:val="008D0C60"/>
    <w:rsid w:val="008D1B31"/>
    <w:rsid w:val="008D5822"/>
    <w:rsid w:val="008E123A"/>
    <w:rsid w:val="008E3D10"/>
    <w:rsid w:val="008F12CF"/>
    <w:rsid w:val="008F3658"/>
    <w:rsid w:val="008F3A25"/>
    <w:rsid w:val="008F3A53"/>
    <w:rsid w:val="008F40DD"/>
    <w:rsid w:val="009016D0"/>
    <w:rsid w:val="00904735"/>
    <w:rsid w:val="00906CA0"/>
    <w:rsid w:val="009151BE"/>
    <w:rsid w:val="00915476"/>
    <w:rsid w:val="0091734C"/>
    <w:rsid w:val="00921BEA"/>
    <w:rsid w:val="009301D4"/>
    <w:rsid w:val="009324BD"/>
    <w:rsid w:val="00933AE6"/>
    <w:rsid w:val="009430BD"/>
    <w:rsid w:val="00946FD0"/>
    <w:rsid w:val="00947579"/>
    <w:rsid w:val="00954097"/>
    <w:rsid w:val="00954F5B"/>
    <w:rsid w:val="009557FB"/>
    <w:rsid w:val="0095618F"/>
    <w:rsid w:val="00956219"/>
    <w:rsid w:val="00964802"/>
    <w:rsid w:val="00966BD4"/>
    <w:rsid w:val="009707B9"/>
    <w:rsid w:val="00973097"/>
    <w:rsid w:val="0097777B"/>
    <w:rsid w:val="00981C9C"/>
    <w:rsid w:val="00981E03"/>
    <w:rsid w:val="009835F8"/>
    <w:rsid w:val="009837DD"/>
    <w:rsid w:val="00984939"/>
    <w:rsid w:val="0099527C"/>
    <w:rsid w:val="00996C85"/>
    <w:rsid w:val="009A1DFF"/>
    <w:rsid w:val="009A3AC8"/>
    <w:rsid w:val="009A58C3"/>
    <w:rsid w:val="009B4D5D"/>
    <w:rsid w:val="009B5C5E"/>
    <w:rsid w:val="009B69BE"/>
    <w:rsid w:val="009B7AC1"/>
    <w:rsid w:val="009C0B97"/>
    <w:rsid w:val="009C7E5D"/>
    <w:rsid w:val="009D0F3C"/>
    <w:rsid w:val="009D1C28"/>
    <w:rsid w:val="009D2E53"/>
    <w:rsid w:val="009D5CDB"/>
    <w:rsid w:val="009E642B"/>
    <w:rsid w:val="009E7644"/>
    <w:rsid w:val="009F5441"/>
    <w:rsid w:val="00A04BDF"/>
    <w:rsid w:val="00A0513D"/>
    <w:rsid w:val="00A061D2"/>
    <w:rsid w:val="00A11C77"/>
    <w:rsid w:val="00A17E3A"/>
    <w:rsid w:val="00A21503"/>
    <w:rsid w:val="00A21868"/>
    <w:rsid w:val="00A24DC9"/>
    <w:rsid w:val="00A27636"/>
    <w:rsid w:val="00A3098F"/>
    <w:rsid w:val="00A40F88"/>
    <w:rsid w:val="00A413E3"/>
    <w:rsid w:val="00A4195B"/>
    <w:rsid w:val="00A43647"/>
    <w:rsid w:val="00A44CCF"/>
    <w:rsid w:val="00A52520"/>
    <w:rsid w:val="00A54DA2"/>
    <w:rsid w:val="00A57C23"/>
    <w:rsid w:val="00A61873"/>
    <w:rsid w:val="00A64779"/>
    <w:rsid w:val="00A6771B"/>
    <w:rsid w:val="00A720E7"/>
    <w:rsid w:val="00A76F15"/>
    <w:rsid w:val="00A77678"/>
    <w:rsid w:val="00A77ACA"/>
    <w:rsid w:val="00A77E9C"/>
    <w:rsid w:val="00A81236"/>
    <w:rsid w:val="00A934A5"/>
    <w:rsid w:val="00A94015"/>
    <w:rsid w:val="00A95410"/>
    <w:rsid w:val="00A96006"/>
    <w:rsid w:val="00A97EA7"/>
    <w:rsid w:val="00AA2C51"/>
    <w:rsid w:val="00AB1B29"/>
    <w:rsid w:val="00AB2165"/>
    <w:rsid w:val="00AB2706"/>
    <w:rsid w:val="00AB6A9F"/>
    <w:rsid w:val="00AB6F4D"/>
    <w:rsid w:val="00AC1472"/>
    <w:rsid w:val="00AC2B66"/>
    <w:rsid w:val="00AC53A8"/>
    <w:rsid w:val="00AC7DED"/>
    <w:rsid w:val="00AD22F5"/>
    <w:rsid w:val="00AD479D"/>
    <w:rsid w:val="00AD48FA"/>
    <w:rsid w:val="00AD625B"/>
    <w:rsid w:val="00AD71DA"/>
    <w:rsid w:val="00AE164C"/>
    <w:rsid w:val="00AE4638"/>
    <w:rsid w:val="00AE78A7"/>
    <w:rsid w:val="00AF01E3"/>
    <w:rsid w:val="00AF356D"/>
    <w:rsid w:val="00AF41B6"/>
    <w:rsid w:val="00AF4574"/>
    <w:rsid w:val="00AF4C49"/>
    <w:rsid w:val="00AF61B4"/>
    <w:rsid w:val="00B07BA3"/>
    <w:rsid w:val="00B205C3"/>
    <w:rsid w:val="00B2116E"/>
    <w:rsid w:val="00B229EA"/>
    <w:rsid w:val="00B318C8"/>
    <w:rsid w:val="00B32BC8"/>
    <w:rsid w:val="00B32ED7"/>
    <w:rsid w:val="00B35A56"/>
    <w:rsid w:val="00B44A7F"/>
    <w:rsid w:val="00B4740F"/>
    <w:rsid w:val="00B60D2D"/>
    <w:rsid w:val="00B6149E"/>
    <w:rsid w:val="00B6189A"/>
    <w:rsid w:val="00B63E8E"/>
    <w:rsid w:val="00B733E1"/>
    <w:rsid w:val="00B74B93"/>
    <w:rsid w:val="00B77D70"/>
    <w:rsid w:val="00B800E1"/>
    <w:rsid w:val="00B815A1"/>
    <w:rsid w:val="00B84BFA"/>
    <w:rsid w:val="00B947BB"/>
    <w:rsid w:val="00B973FC"/>
    <w:rsid w:val="00B97EC7"/>
    <w:rsid w:val="00BA1F53"/>
    <w:rsid w:val="00BA52BD"/>
    <w:rsid w:val="00BB34E9"/>
    <w:rsid w:val="00BB69D9"/>
    <w:rsid w:val="00BC2914"/>
    <w:rsid w:val="00BC4556"/>
    <w:rsid w:val="00BD0707"/>
    <w:rsid w:val="00BD2B2C"/>
    <w:rsid w:val="00BD3D83"/>
    <w:rsid w:val="00BD3DC9"/>
    <w:rsid w:val="00BD545F"/>
    <w:rsid w:val="00BD6C3B"/>
    <w:rsid w:val="00BE2F49"/>
    <w:rsid w:val="00BE316C"/>
    <w:rsid w:val="00BF0ADD"/>
    <w:rsid w:val="00BF30F8"/>
    <w:rsid w:val="00C016E9"/>
    <w:rsid w:val="00C01A03"/>
    <w:rsid w:val="00C058E5"/>
    <w:rsid w:val="00C12860"/>
    <w:rsid w:val="00C205E7"/>
    <w:rsid w:val="00C21B40"/>
    <w:rsid w:val="00C22E0A"/>
    <w:rsid w:val="00C36D20"/>
    <w:rsid w:val="00C40D55"/>
    <w:rsid w:val="00C46085"/>
    <w:rsid w:val="00C4650A"/>
    <w:rsid w:val="00C47254"/>
    <w:rsid w:val="00C51607"/>
    <w:rsid w:val="00C558DB"/>
    <w:rsid w:val="00C62B76"/>
    <w:rsid w:val="00C640F0"/>
    <w:rsid w:val="00C71082"/>
    <w:rsid w:val="00C71D47"/>
    <w:rsid w:val="00C75EFB"/>
    <w:rsid w:val="00C819BE"/>
    <w:rsid w:val="00C821F5"/>
    <w:rsid w:val="00C82F89"/>
    <w:rsid w:val="00C84ACF"/>
    <w:rsid w:val="00C86578"/>
    <w:rsid w:val="00C915BC"/>
    <w:rsid w:val="00C92C68"/>
    <w:rsid w:val="00C92FEC"/>
    <w:rsid w:val="00C9384F"/>
    <w:rsid w:val="00CA273D"/>
    <w:rsid w:val="00CC45B3"/>
    <w:rsid w:val="00CD06B2"/>
    <w:rsid w:val="00CD16B7"/>
    <w:rsid w:val="00CD1F6C"/>
    <w:rsid w:val="00CD3C70"/>
    <w:rsid w:val="00CD3FF2"/>
    <w:rsid w:val="00CE6C1F"/>
    <w:rsid w:val="00D043F3"/>
    <w:rsid w:val="00D0475B"/>
    <w:rsid w:val="00D0581D"/>
    <w:rsid w:val="00D05A0F"/>
    <w:rsid w:val="00D156A1"/>
    <w:rsid w:val="00D1687A"/>
    <w:rsid w:val="00D20B64"/>
    <w:rsid w:val="00D20D51"/>
    <w:rsid w:val="00D21680"/>
    <w:rsid w:val="00D221DA"/>
    <w:rsid w:val="00D244B6"/>
    <w:rsid w:val="00D3051D"/>
    <w:rsid w:val="00D30953"/>
    <w:rsid w:val="00D40890"/>
    <w:rsid w:val="00D42D21"/>
    <w:rsid w:val="00D44547"/>
    <w:rsid w:val="00D540C1"/>
    <w:rsid w:val="00D61D52"/>
    <w:rsid w:val="00D631F1"/>
    <w:rsid w:val="00D6616E"/>
    <w:rsid w:val="00D67600"/>
    <w:rsid w:val="00D7462B"/>
    <w:rsid w:val="00D74A64"/>
    <w:rsid w:val="00D8037F"/>
    <w:rsid w:val="00D80A40"/>
    <w:rsid w:val="00D84305"/>
    <w:rsid w:val="00D857F6"/>
    <w:rsid w:val="00D87459"/>
    <w:rsid w:val="00D91959"/>
    <w:rsid w:val="00D969A4"/>
    <w:rsid w:val="00DA0518"/>
    <w:rsid w:val="00DA387D"/>
    <w:rsid w:val="00DB3ADE"/>
    <w:rsid w:val="00DB6757"/>
    <w:rsid w:val="00DC1AF4"/>
    <w:rsid w:val="00DC2BE5"/>
    <w:rsid w:val="00DC454B"/>
    <w:rsid w:val="00DC4E21"/>
    <w:rsid w:val="00DC66E3"/>
    <w:rsid w:val="00DD2444"/>
    <w:rsid w:val="00DD3651"/>
    <w:rsid w:val="00DD5CE7"/>
    <w:rsid w:val="00DD71DE"/>
    <w:rsid w:val="00DE35D7"/>
    <w:rsid w:val="00DE409E"/>
    <w:rsid w:val="00DE6CD7"/>
    <w:rsid w:val="00DF288C"/>
    <w:rsid w:val="00E03E27"/>
    <w:rsid w:val="00E0453C"/>
    <w:rsid w:val="00E101DC"/>
    <w:rsid w:val="00E14B27"/>
    <w:rsid w:val="00E1685E"/>
    <w:rsid w:val="00E20D65"/>
    <w:rsid w:val="00E21CDB"/>
    <w:rsid w:val="00E2275A"/>
    <w:rsid w:val="00E358B4"/>
    <w:rsid w:val="00E366F9"/>
    <w:rsid w:val="00E3695E"/>
    <w:rsid w:val="00E37363"/>
    <w:rsid w:val="00E37D79"/>
    <w:rsid w:val="00E46A23"/>
    <w:rsid w:val="00E51612"/>
    <w:rsid w:val="00E51C41"/>
    <w:rsid w:val="00E52A37"/>
    <w:rsid w:val="00E54498"/>
    <w:rsid w:val="00E60B06"/>
    <w:rsid w:val="00E67AF9"/>
    <w:rsid w:val="00E7233A"/>
    <w:rsid w:val="00E728F6"/>
    <w:rsid w:val="00E8087A"/>
    <w:rsid w:val="00E81763"/>
    <w:rsid w:val="00E850B9"/>
    <w:rsid w:val="00E91F76"/>
    <w:rsid w:val="00E95E9E"/>
    <w:rsid w:val="00EA04CD"/>
    <w:rsid w:val="00EA157A"/>
    <w:rsid w:val="00EA1BA3"/>
    <w:rsid w:val="00EA1D35"/>
    <w:rsid w:val="00EA1F81"/>
    <w:rsid w:val="00EA271F"/>
    <w:rsid w:val="00EA5987"/>
    <w:rsid w:val="00EB1750"/>
    <w:rsid w:val="00EB2710"/>
    <w:rsid w:val="00EB33A8"/>
    <w:rsid w:val="00EB4FE8"/>
    <w:rsid w:val="00EB7116"/>
    <w:rsid w:val="00EC0260"/>
    <w:rsid w:val="00EC495B"/>
    <w:rsid w:val="00ED0B6E"/>
    <w:rsid w:val="00ED0FCC"/>
    <w:rsid w:val="00ED3843"/>
    <w:rsid w:val="00EE2DFE"/>
    <w:rsid w:val="00EF5F3D"/>
    <w:rsid w:val="00EF6198"/>
    <w:rsid w:val="00F024C1"/>
    <w:rsid w:val="00F06CE7"/>
    <w:rsid w:val="00F076AF"/>
    <w:rsid w:val="00F11659"/>
    <w:rsid w:val="00F17618"/>
    <w:rsid w:val="00F21528"/>
    <w:rsid w:val="00F25A5D"/>
    <w:rsid w:val="00F25FC1"/>
    <w:rsid w:val="00F26572"/>
    <w:rsid w:val="00F265F8"/>
    <w:rsid w:val="00F35476"/>
    <w:rsid w:val="00F35CCA"/>
    <w:rsid w:val="00F40EBE"/>
    <w:rsid w:val="00F40F7A"/>
    <w:rsid w:val="00F4218F"/>
    <w:rsid w:val="00F43E8A"/>
    <w:rsid w:val="00F510E6"/>
    <w:rsid w:val="00F513BA"/>
    <w:rsid w:val="00F5482D"/>
    <w:rsid w:val="00F557E2"/>
    <w:rsid w:val="00F6060E"/>
    <w:rsid w:val="00F62B84"/>
    <w:rsid w:val="00F634F7"/>
    <w:rsid w:val="00F64295"/>
    <w:rsid w:val="00F71B4A"/>
    <w:rsid w:val="00F76FCB"/>
    <w:rsid w:val="00F82DB2"/>
    <w:rsid w:val="00F83CB4"/>
    <w:rsid w:val="00F85C18"/>
    <w:rsid w:val="00F879F5"/>
    <w:rsid w:val="00F92670"/>
    <w:rsid w:val="00F93F29"/>
    <w:rsid w:val="00FB1622"/>
    <w:rsid w:val="00FB2328"/>
    <w:rsid w:val="00FC1A74"/>
    <w:rsid w:val="00FC1BDE"/>
    <w:rsid w:val="00FD01BD"/>
    <w:rsid w:val="00FD336E"/>
    <w:rsid w:val="00FE27C6"/>
    <w:rsid w:val="00FE2B77"/>
    <w:rsid w:val="00FE5A92"/>
    <w:rsid w:val="00FF0A91"/>
    <w:rsid w:val="00FF4289"/>
    <w:rsid w:val="00FF510F"/>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487"/>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B0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3B0487"/>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3B0487"/>
    <w:pPr>
      <w:tabs>
        <w:tab w:val="center" w:pos="4252"/>
        <w:tab w:val="right" w:pos="8504"/>
      </w:tabs>
      <w:spacing w:line="240" w:lineRule="auto"/>
    </w:pPr>
  </w:style>
  <w:style w:type="character" w:customStyle="1" w:styleId="CabealhoChar">
    <w:name w:val="Cabeçalho Char"/>
    <w:basedOn w:val="Fontepargpadro"/>
    <w:link w:val="Cabealho"/>
    <w:uiPriority w:val="99"/>
    <w:rsid w:val="003B048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B0487"/>
    <w:pPr>
      <w:tabs>
        <w:tab w:val="center" w:pos="4252"/>
        <w:tab w:val="right" w:pos="8504"/>
      </w:tabs>
      <w:spacing w:line="240" w:lineRule="auto"/>
    </w:pPr>
  </w:style>
  <w:style w:type="character" w:customStyle="1" w:styleId="RodapChar">
    <w:name w:val="Rodapé Char"/>
    <w:basedOn w:val="Fontepargpadro"/>
    <w:link w:val="Rodap"/>
    <w:uiPriority w:val="99"/>
    <w:rsid w:val="003B0487"/>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487"/>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B0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3B0487"/>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3B0487"/>
    <w:pPr>
      <w:tabs>
        <w:tab w:val="center" w:pos="4252"/>
        <w:tab w:val="right" w:pos="8504"/>
      </w:tabs>
      <w:spacing w:line="240" w:lineRule="auto"/>
    </w:pPr>
  </w:style>
  <w:style w:type="character" w:customStyle="1" w:styleId="CabealhoChar">
    <w:name w:val="Cabeçalho Char"/>
    <w:basedOn w:val="Fontepargpadro"/>
    <w:link w:val="Cabealho"/>
    <w:uiPriority w:val="99"/>
    <w:rsid w:val="003B048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B0487"/>
    <w:pPr>
      <w:tabs>
        <w:tab w:val="center" w:pos="4252"/>
        <w:tab w:val="right" w:pos="8504"/>
      </w:tabs>
      <w:spacing w:line="240" w:lineRule="auto"/>
    </w:pPr>
  </w:style>
  <w:style w:type="character" w:customStyle="1" w:styleId="RodapChar">
    <w:name w:val="Rodapé Char"/>
    <w:basedOn w:val="Fontepargpadro"/>
    <w:link w:val="Rodap"/>
    <w:uiPriority w:val="99"/>
    <w:rsid w:val="003B048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66005">
      <w:bodyDiv w:val="1"/>
      <w:marLeft w:val="0"/>
      <w:marRight w:val="0"/>
      <w:marTop w:val="0"/>
      <w:marBottom w:val="0"/>
      <w:divBdr>
        <w:top w:val="none" w:sz="0" w:space="0" w:color="auto"/>
        <w:left w:val="none" w:sz="0" w:space="0" w:color="auto"/>
        <w:bottom w:val="none" w:sz="0" w:space="0" w:color="auto"/>
        <w:right w:val="none" w:sz="0" w:space="0" w:color="auto"/>
      </w:divBdr>
    </w:div>
    <w:div w:id="11565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4581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da Cunha Esteves</dc:creator>
  <cp:lastModifiedBy>sissi</cp:lastModifiedBy>
  <cp:revision>2</cp:revision>
  <dcterms:created xsi:type="dcterms:W3CDTF">2021-09-24T18:53:00Z</dcterms:created>
  <dcterms:modified xsi:type="dcterms:W3CDTF">2021-09-24T18:53:00Z</dcterms:modified>
</cp:coreProperties>
</file>