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395"/>
      </w:tblGrid>
      <w:tr w:rsidR="00D3393E" w:rsidRPr="00333944" w:rsidTr="00E97947">
        <w:trPr>
          <w:trHeight w:val="420"/>
        </w:trPr>
        <w:tc>
          <w:tcPr>
            <w:tcW w:w="16444" w:type="dxa"/>
            <w:gridSpan w:val="9"/>
            <w:shd w:val="clear" w:color="auto" w:fill="2F5496" w:themeFill="accent1" w:themeFillShade="BF"/>
          </w:tcPr>
          <w:p w:rsidR="00D3393E" w:rsidRDefault="00D3393E" w:rsidP="00E97947">
            <w:pPr>
              <w:spacing w:before="120" w:after="120" w:line="240" w:lineRule="auto"/>
              <w:contextualSpacing/>
              <w:jc w:val="center"/>
              <w:rPr>
                <w:rFonts w:ascii="Arial" w:hAnsi="Arial" w:cs="Arial"/>
                <w:b/>
                <w:color w:val="FFFFFF" w:themeColor="background1"/>
                <w:sz w:val="18"/>
                <w:szCs w:val="18"/>
              </w:rPr>
            </w:pPr>
            <w:r w:rsidRPr="00333944">
              <w:rPr>
                <w:rFonts w:ascii="Arial" w:hAnsi="Arial" w:cs="Arial"/>
                <w:b/>
                <w:color w:val="FFFFFF" w:themeColor="background1"/>
                <w:sz w:val="18"/>
                <w:szCs w:val="18"/>
              </w:rPr>
              <w:t xml:space="preserve">DECISÕES TOMADAS EM CIRCUITO DELIBERATIVO  </w:t>
            </w:r>
            <w:r>
              <w:rPr>
                <w:rFonts w:ascii="Arial" w:hAnsi="Arial" w:cs="Arial"/>
                <w:b/>
                <w:color w:val="FFFFFF" w:themeColor="background1"/>
                <w:sz w:val="18"/>
                <w:szCs w:val="18"/>
              </w:rPr>
              <w:t>(07 a 13/05/</w:t>
            </w:r>
            <w:r w:rsidR="00CF42A4">
              <w:rPr>
                <w:rFonts w:ascii="Arial" w:hAnsi="Arial" w:cs="Arial"/>
                <w:b/>
                <w:color w:val="FFFFFF" w:themeColor="background1"/>
                <w:sz w:val="18"/>
                <w:szCs w:val="18"/>
              </w:rPr>
              <w:t>2021)</w:t>
            </w:r>
          </w:p>
          <w:p w:rsidR="00D3393E" w:rsidRPr="00333944" w:rsidRDefault="00D3393E" w:rsidP="00E97947">
            <w:pPr>
              <w:spacing w:before="120" w:after="120" w:line="240" w:lineRule="auto"/>
              <w:contextualSpacing/>
              <w:jc w:val="center"/>
              <w:rPr>
                <w:rFonts w:ascii="Arial" w:hAnsi="Arial" w:cs="Arial"/>
                <w:b/>
                <w:sz w:val="18"/>
                <w:szCs w:val="18"/>
              </w:rPr>
            </w:pPr>
          </w:p>
        </w:tc>
      </w:tr>
      <w:tr w:rsidR="00D3393E" w:rsidRPr="00333944" w:rsidTr="00E97947">
        <w:tc>
          <w:tcPr>
            <w:tcW w:w="1276" w:type="dxa"/>
            <w:shd w:val="clear" w:color="auto" w:fill="D5DCE4" w:themeFill="text2" w:themeFillTint="33"/>
          </w:tcPr>
          <w:p w:rsidR="00D3393E" w:rsidRPr="00333944" w:rsidRDefault="00D3393E" w:rsidP="00E97947">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D3393E" w:rsidRPr="00333944" w:rsidRDefault="00D3393E" w:rsidP="00E97947">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D3393E" w:rsidRPr="00333944" w:rsidRDefault="00D3393E" w:rsidP="00E97947">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D3393E" w:rsidRPr="00333944" w:rsidRDefault="00D3393E" w:rsidP="00E97947">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D3393E" w:rsidRPr="00333944" w:rsidRDefault="00D3393E" w:rsidP="00E97947">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D3393E" w:rsidRPr="00333944" w:rsidRDefault="00D3393E" w:rsidP="00E97947">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D3393E" w:rsidRPr="00333944" w:rsidRDefault="00D3393E" w:rsidP="00E97947">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D3393E" w:rsidRPr="00333944" w:rsidRDefault="00D3393E" w:rsidP="00E97947">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D3393E" w:rsidRPr="00333944" w:rsidRDefault="00D3393E" w:rsidP="00E97947">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D3393E" w:rsidRPr="00333944" w:rsidRDefault="00D3393E" w:rsidP="00E97947">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D3393E" w:rsidRPr="00333944" w:rsidRDefault="00D3393E" w:rsidP="00E97947">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0F6C91" w:rsidRPr="00F415C0" w:rsidTr="00E97947">
        <w:tc>
          <w:tcPr>
            <w:tcW w:w="1276" w:type="dxa"/>
            <w:shd w:val="clear" w:color="auto" w:fill="auto"/>
          </w:tcPr>
          <w:p w:rsidR="000F6C91" w:rsidRDefault="00CF42A4" w:rsidP="00E97947">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1</w:t>
            </w:r>
            <w:r w:rsidR="000F6C91" w:rsidRPr="002221BB">
              <w:rPr>
                <w:rFonts w:ascii="Arial" w:eastAsiaTheme="minorHAnsi" w:hAnsi="Arial" w:cs="Arial"/>
                <w:bCs/>
                <w:sz w:val="18"/>
                <w:szCs w:val="18"/>
                <w:lang w:eastAsia="en-US"/>
              </w:rPr>
              <w:t>056</w:t>
            </w:r>
          </w:p>
        </w:tc>
        <w:tc>
          <w:tcPr>
            <w:tcW w:w="1134" w:type="dxa"/>
            <w:shd w:val="clear" w:color="auto" w:fill="auto"/>
          </w:tcPr>
          <w:p w:rsidR="000F6C91" w:rsidRPr="005E644F" w:rsidRDefault="000F6C91"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2221BB">
              <w:rPr>
                <w:rFonts w:ascii="Arial" w:eastAsiaTheme="minorHAnsi" w:hAnsi="Arial" w:cs="Arial"/>
                <w:bCs/>
                <w:sz w:val="18"/>
                <w:szCs w:val="18"/>
                <w:lang w:eastAsia="en-US"/>
              </w:rPr>
              <w:t>227/2021</w:t>
            </w:r>
          </w:p>
        </w:tc>
        <w:tc>
          <w:tcPr>
            <w:tcW w:w="1985" w:type="dxa"/>
            <w:shd w:val="clear" w:color="auto" w:fill="auto"/>
          </w:tcPr>
          <w:p w:rsidR="000F6C91" w:rsidRPr="005E644F" w:rsidRDefault="000F6C91"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2221BB">
              <w:rPr>
                <w:rFonts w:ascii="Arial" w:eastAsiaTheme="minorHAnsi" w:hAnsi="Arial" w:cs="Arial"/>
                <w:bCs/>
                <w:sz w:val="18"/>
                <w:szCs w:val="18"/>
                <w:lang w:eastAsia="en-US"/>
              </w:rPr>
              <w:t>48610.206601/2021</w:t>
            </w:r>
          </w:p>
        </w:tc>
        <w:tc>
          <w:tcPr>
            <w:tcW w:w="2835" w:type="dxa"/>
            <w:shd w:val="clear" w:color="auto" w:fill="auto"/>
          </w:tcPr>
          <w:p w:rsidR="000F6C91" w:rsidRPr="005E644F" w:rsidRDefault="000F6C91" w:rsidP="00E97947">
            <w:pPr>
              <w:widowControl/>
              <w:adjustRightInd/>
              <w:spacing w:line="240" w:lineRule="auto"/>
              <w:contextualSpacing/>
              <w:textAlignment w:val="auto"/>
              <w:rPr>
                <w:rFonts w:ascii="Arial" w:eastAsiaTheme="minorHAnsi" w:hAnsi="Arial" w:cs="Arial"/>
                <w:bCs/>
                <w:sz w:val="18"/>
                <w:szCs w:val="18"/>
                <w:lang w:eastAsia="en-US"/>
              </w:rPr>
            </w:pPr>
            <w:r w:rsidRPr="002221BB">
              <w:rPr>
                <w:rFonts w:ascii="Arial" w:eastAsiaTheme="minorHAnsi" w:hAnsi="Arial" w:cs="Arial"/>
                <w:bCs/>
                <w:sz w:val="18"/>
                <w:szCs w:val="18"/>
                <w:lang w:eastAsia="en-US"/>
              </w:rPr>
              <w:t>Redução do percentual de mistura obrigatória no 80º Leilão de Biodiesel, conforme Resolução CNPE nº 10/2021</w:t>
            </w:r>
          </w:p>
        </w:tc>
        <w:tc>
          <w:tcPr>
            <w:tcW w:w="850" w:type="dxa"/>
            <w:shd w:val="clear" w:color="auto" w:fill="auto"/>
          </w:tcPr>
          <w:p w:rsidR="000F6C91" w:rsidRDefault="002221BB" w:rsidP="00E97947">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SDL</w:t>
            </w:r>
          </w:p>
        </w:tc>
        <w:tc>
          <w:tcPr>
            <w:tcW w:w="1354" w:type="dxa"/>
            <w:shd w:val="clear" w:color="auto" w:fill="auto"/>
          </w:tcPr>
          <w:p w:rsidR="000F6C91" w:rsidRPr="002221BB" w:rsidRDefault="000F6C91" w:rsidP="002221BB">
            <w:pPr>
              <w:spacing w:line="0" w:lineRule="atLeast"/>
              <w:jc w:val="center"/>
              <w:rPr>
                <w:rFonts w:ascii="Arial" w:eastAsiaTheme="minorHAnsi" w:hAnsi="Arial" w:cs="Arial"/>
                <w:bCs/>
                <w:sz w:val="18"/>
                <w:szCs w:val="18"/>
                <w:lang w:eastAsia="en-US"/>
              </w:rPr>
            </w:pPr>
            <w:r w:rsidRPr="002221BB">
              <w:rPr>
                <w:rFonts w:ascii="Arial" w:eastAsiaTheme="minorHAnsi" w:hAnsi="Arial" w:cs="Arial"/>
                <w:bCs/>
                <w:sz w:val="18"/>
                <w:szCs w:val="18"/>
                <w:lang w:eastAsia="en-US"/>
              </w:rPr>
              <w:t>256/2021</w:t>
            </w:r>
          </w:p>
        </w:tc>
        <w:tc>
          <w:tcPr>
            <w:tcW w:w="1275" w:type="dxa"/>
            <w:shd w:val="clear" w:color="auto" w:fill="auto"/>
          </w:tcPr>
          <w:p w:rsidR="000F6C91" w:rsidRPr="005E644F" w:rsidRDefault="000F6C91"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2221BB">
              <w:rPr>
                <w:rFonts w:ascii="Arial" w:eastAsiaTheme="minorHAnsi" w:hAnsi="Arial" w:cs="Arial"/>
                <w:bCs/>
                <w:sz w:val="18"/>
                <w:szCs w:val="18"/>
                <w:lang w:eastAsia="en-US"/>
              </w:rPr>
              <w:t>13/05/2021</w:t>
            </w:r>
          </w:p>
        </w:tc>
        <w:tc>
          <w:tcPr>
            <w:tcW w:w="1340" w:type="dxa"/>
            <w:shd w:val="clear" w:color="auto" w:fill="auto"/>
          </w:tcPr>
          <w:p w:rsidR="000F6C91" w:rsidRPr="00155AF2" w:rsidRDefault="002221BB"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2221BB">
              <w:rPr>
                <w:rFonts w:ascii="Arial" w:eastAsiaTheme="minorHAnsi" w:hAnsi="Arial" w:cs="Arial"/>
                <w:bCs/>
                <w:sz w:val="18"/>
                <w:szCs w:val="18"/>
                <w:lang w:eastAsia="en-US"/>
              </w:rPr>
              <w:t>Marcelo Castilho</w:t>
            </w:r>
          </w:p>
        </w:tc>
        <w:tc>
          <w:tcPr>
            <w:tcW w:w="4395" w:type="dxa"/>
            <w:shd w:val="clear" w:color="auto" w:fill="auto"/>
          </w:tcPr>
          <w:p w:rsidR="000F6C91" w:rsidRPr="002221BB" w:rsidRDefault="000F6C91" w:rsidP="000F6C91">
            <w:pPr>
              <w:pStyle w:val="textojustificado"/>
              <w:spacing w:before="120" w:beforeAutospacing="0" w:after="120" w:afterAutospacing="0"/>
              <w:ind w:left="120" w:right="120"/>
              <w:jc w:val="both"/>
              <w:rPr>
                <w:rFonts w:ascii="Arial" w:eastAsiaTheme="minorHAnsi" w:hAnsi="Arial" w:cs="Arial"/>
                <w:bCs/>
                <w:sz w:val="18"/>
                <w:szCs w:val="18"/>
                <w:lang w:eastAsia="en-US"/>
              </w:rPr>
            </w:pPr>
            <w:r w:rsidRPr="002221BB">
              <w:rPr>
                <w:rFonts w:ascii="Arial" w:eastAsiaTheme="minorHAnsi" w:hAnsi="Arial" w:cs="Arial"/>
                <w:bCs/>
                <w:sz w:val="18"/>
                <w:szCs w:val="18"/>
                <w:lang w:eastAsia="en-US"/>
              </w:rPr>
              <w:t>A Diretoria da Agência Nacional do Petróleo, Gás Natural e Biocombustíveis - ANP, com base na Proposta de Ação nº 227, de 12 de Maio de 2021, no Despacho 843/2021/PFANP/PGF/AGU, expedido pela Procuradoria Federal, assim como na Nota Técnica nº 15/2021 elaborada pela Superintendência de Distribuição e Logística, resolve:</w:t>
            </w:r>
          </w:p>
          <w:p w:rsidR="000F6C91" w:rsidRPr="002221BB" w:rsidRDefault="000F6C91" w:rsidP="000F6C91">
            <w:pPr>
              <w:pStyle w:val="textojustificado"/>
              <w:spacing w:before="120" w:beforeAutospacing="0" w:after="120" w:afterAutospacing="0"/>
              <w:ind w:left="120" w:right="120"/>
              <w:jc w:val="both"/>
              <w:rPr>
                <w:rFonts w:ascii="Arial" w:eastAsiaTheme="minorHAnsi" w:hAnsi="Arial" w:cs="Arial"/>
                <w:bCs/>
                <w:sz w:val="18"/>
                <w:szCs w:val="18"/>
                <w:lang w:eastAsia="en-US"/>
              </w:rPr>
            </w:pPr>
            <w:r w:rsidRPr="002221BB">
              <w:rPr>
                <w:rFonts w:ascii="Arial" w:eastAsiaTheme="minorHAnsi" w:hAnsi="Arial" w:cs="Arial"/>
                <w:bCs/>
                <w:sz w:val="18"/>
                <w:szCs w:val="18"/>
                <w:lang w:eastAsia="en-US"/>
              </w:rPr>
              <w:t>I) Aprovar as alterações do Edital, referente ao 80º Leilão de Biodiesel (L80), nos termos abaixo:</w:t>
            </w:r>
          </w:p>
          <w:p w:rsidR="000F6C91" w:rsidRPr="002221BB" w:rsidRDefault="000F6C91" w:rsidP="000F6C91">
            <w:pPr>
              <w:pStyle w:val="textojustificado"/>
              <w:spacing w:before="120" w:beforeAutospacing="0" w:after="120" w:afterAutospacing="0"/>
              <w:ind w:left="120" w:right="120"/>
              <w:jc w:val="both"/>
              <w:rPr>
                <w:rFonts w:ascii="Arial" w:eastAsiaTheme="minorHAnsi" w:hAnsi="Arial" w:cs="Arial"/>
                <w:bCs/>
                <w:sz w:val="18"/>
                <w:szCs w:val="18"/>
                <w:lang w:eastAsia="en-US"/>
              </w:rPr>
            </w:pPr>
            <w:r w:rsidRPr="002221BB">
              <w:rPr>
                <w:rFonts w:ascii="Arial" w:eastAsiaTheme="minorHAnsi" w:hAnsi="Arial" w:cs="Arial"/>
                <w:bCs/>
                <w:sz w:val="18"/>
                <w:szCs w:val="18"/>
                <w:lang w:eastAsia="en-US"/>
              </w:rPr>
              <w:t>Item 1.1 do edital: "O presente LEILÃO PÚBLICO tem por objeto a aquisição de biodiesel pelo(s) ADQUIRENTE(S) (refinarias e importadores de óleo diesel) para atendimento ao percentual mínimo obrigatório de adição de biodiesel ao óleo diesel de 10% (dez por cento) a partir de 01 de julho de 2021, e para fins de uso voluntário, a ser entregue pela(s) unidade(s) produtora(s) de biodiesel (FORNECEDOR (ES)) em tancagem própria ou de terceiros, observadas as especificações da qualidade constantes da Resolução ANP n.º 45, de 25 de agosto de 2014, ou qualquer outra que venha a substituí-la, conforme especificações e condições constantes deste Edital e seus anexos."</w:t>
            </w:r>
          </w:p>
          <w:p w:rsidR="000F6C91" w:rsidRPr="002221BB" w:rsidRDefault="000F6C91" w:rsidP="000F6C91">
            <w:pPr>
              <w:pStyle w:val="textojustificado"/>
              <w:spacing w:before="120" w:beforeAutospacing="0" w:after="120" w:afterAutospacing="0"/>
              <w:ind w:left="120" w:right="120"/>
              <w:jc w:val="both"/>
              <w:rPr>
                <w:rFonts w:ascii="Arial" w:eastAsiaTheme="minorHAnsi" w:hAnsi="Arial" w:cs="Arial"/>
                <w:bCs/>
                <w:sz w:val="18"/>
                <w:szCs w:val="18"/>
                <w:lang w:eastAsia="en-US"/>
              </w:rPr>
            </w:pPr>
            <w:r w:rsidRPr="002221BB">
              <w:rPr>
                <w:rFonts w:ascii="Arial" w:eastAsiaTheme="minorHAnsi" w:hAnsi="Arial" w:cs="Arial"/>
                <w:bCs/>
                <w:sz w:val="18"/>
                <w:szCs w:val="18"/>
                <w:lang w:eastAsia="en-US"/>
              </w:rPr>
              <w:t xml:space="preserve">Item 1.1 do Anexo I do edital - Termo de Referência: "Aquisição de biodiesel pelo ADQUIRENTE para atendimento ao percentual mínimo obrigatório de adição de biodiesel ao óleo diesel de 10% (dez por cento), a ser entregue pelo(s) FORNECEDOR(ES) de biodiesel em tancagem própria ou de terceiros, no período de 01 de julho de 2021 a 31 de agosto de 2021, </w:t>
            </w:r>
            <w:r w:rsidRPr="002221BB">
              <w:rPr>
                <w:rFonts w:ascii="Arial" w:eastAsiaTheme="minorHAnsi" w:hAnsi="Arial" w:cs="Arial"/>
                <w:bCs/>
                <w:sz w:val="18"/>
                <w:szCs w:val="18"/>
                <w:lang w:eastAsia="en-US"/>
              </w:rPr>
              <w:lastRenderedPageBreak/>
              <w:t>observadas as especificações da qualidade constantes da Resolução ANP nº 45, de 25 de agosto de 2014, ou qualquer outra que venha a substituí-la, conforme especificações e condições constantes deste Edital e seus anexos".</w:t>
            </w:r>
          </w:p>
          <w:p w:rsidR="000F6C91" w:rsidRPr="002221BB" w:rsidRDefault="000F6C91" w:rsidP="000F6C91">
            <w:pPr>
              <w:pStyle w:val="textojustificado"/>
              <w:spacing w:before="120" w:beforeAutospacing="0" w:after="120" w:afterAutospacing="0"/>
              <w:ind w:left="120" w:right="120"/>
              <w:jc w:val="both"/>
              <w:rPr>
                <w:rFonts w:ascii="Arial" w:eastAsiaTheme="minorHAnsi" w:hAnsi="Arial" w:cs="Arial"/>
                <w:bCs/>
                <w:sz w:val="18"/>
                <w:szCs w:val="18"/>
                <w:lang w:eastAsia="en-US"/>
              </w:rPr>
            </w:pPr>
            <w:r w:rsidRPr="002221BB">
              <w:rPr>
                <w:rFonts w:ascii="Arial" w:eastAsiaTheme="minorHAnsi" w:hAnsi="Arial" w:cs="Arial"/>
                <w:bCs/>
                <w:sz w:val="18"/>
                <w:szCs w:val="18"/>
                <w:lang w:eastAsia="en-US"/>
              </w:rPr>
              <w:t>Item 2.1.9.3 do edital (INCLUSÃO)"O resultado do certame e a sua homologação pela Diretoria Colegiada da ANP estão condicionados à apreciação da Resolução CNPE nº 10/2021 pelo Presidente da República e sua posterior publicação no Diário Oficial da União, conforme determina o artigo 18 do Regimento Interno do Conselho Nacional de Política Energética - CNPE."</w:t>
            </w:r>
          </w:p>
          <w:p w:rsidR="000F6C91" w:rsidRPr="002221BB" w:rsidRDefault="000F6C91" w:rsidP="000F6C91">
            <w:pPr>
              <w:pStyle w:val="textojustificado"/>
              <w:spacing w:before="120" w:beforeAutospacing="0" w:after="120" w:afterAutospacing="0"/>
              <w:ind w:left="120" w:right="120"/>
              <w:jc w:val="both"/>
              <w:rPr>
                <w:rFonts w:ascii="Arial" w:eastAsiaTheme="minorHAnsi" w:hAnsi="Arial" w:cs="Arial"/>
                <w:bCs/>
                <w:sz w:val="18"/>
                <w:szCs w:val="18"/>
                <w:lang w:eastAsia="en-US"/>
              </w:rPr>
            </w:pPr>
            <w:r w:rsidRPr="002221BB">
              <w:rPr>
                <w:rFonts w:ascii="Arial" w:eastAsiaTheme="minorHAnsi" w:hAnsi="Arial" w:cs="Arial"/>
                <w:bCs/>
                <w:sz w:val="18"/>
                <w:szCs w:val="18"/>
                <w:lang w:eastAsia="en-US"/>
              </w:rPr>
              <w:t>Item 10.1 do edital (ALTERAÇÃO): "A publicação do resultado do 80° LEILÃO DE BIODIESEL é de responsabilidade da ANP e somente poderá ser efetivada após o recebimento das informações finais das ETAPAS 3, 5 e 5A, conforme indicado no item 2.1.6, observado o disposto no item 2.1.9.3."</w:t>
            </w:r>
          </w:p>
          <w:p w:rsidR="000F6C91" w:rsidRPr="002221BB" w:rsidRDefault="000F6C91" w:rsidP="000F6C91">
            <w:pPr>
              <w:pStyle w:val="textojustificado"/>
              <w:spacing w:before="120" w:beforeAutospacing="0" w:after="120" w:afterAutospacing="0"/>
              <w:ind w:left="120" w:right="120"/>
              <w:jc w:val="both"/>
              <w:rPr>
                <w:rFonts w:ascii="Arial" w:eastAsiaTheme="minorHAnsi" w:hAnsi="Arial" w:cs="Arial"/>
                <w:bCs/>
                <w:sz w:val="18"/>
                <w:szCs w:val="18"/>
                <w:lang w:eastAsia="en-US"/>
              </w:rPr>
            </w:pPr>
            <w:r w:rsidRPr="002221BB">
              <w:rPr>
                <w:rFonts w:ascii="Arial" w:eastAsiaTheme="minorHAnsi" w:hAnsi="Arial" w:cs="Arial"/>
                <w:bCs/>
                <w:sz w:val="18"/>
                <w:szCs w:val="18"/>
                <w:lang w:eastAsia="en-US"/>
              </w:rPr>
              <w:t>Condicionar a homologação dos resultados do certame após a formalização da aprovação da Resolução CNPE nº 10/2021 pelo Presidente da República e sua consequente publicação no Diário Oficial da União, sendo portanto necessária a inclusão do item 2.1.9.3 no edital do L80 e a atualização do item 10.1 conforme a redação acima.</w:t>
            </w:r>
            <w:bookmarkStart w:id="0" w:name="_GoBack"/>
            <w:bookmarkEnd w:id="0"/>
            <w:r w:rsidRPr="002221BB">
              <w:rPr>
                <w:rFonts w:ascii="Arial" w:eastAsiaTheme="minorHAnsi" w:hAnsi="Arial" w:cs="Arial"/>
                <w:bCs/>
                <w:sz w:val="18"/>
                <w:szCs w:val="18"/>
                <w:lang w:eastAsia="en-US"/>
              </w:rPr>
              <w:t> </w:t>
            </w:r>
          </w:p>
          <w:p w:rsidR="000F6C91" w:rsidRPr="00D6050B" w:rsidRDefault="000F6C91" w:rsidP="00E97947">
            <w:pPr>
              <w:widowControl/>
              <w:adjustRightInd/>
              <w:spacing w:line="240" w:lineRule="auto"/>
              <w:contextualSpacing/>
              <w:textAlignment w:val="auto"/>
              <w:rPr>
                <w:rFonts w:ascii="Arial" w:eastAsiaTheme="minorHAnsi" w:hAnsi="Arial" w:cs="Arial"/>
                <w:bCs/>
                <w:sz w:val="18"/>
                <w:szCs w:val="18"/>
                <w:lang w:eastAsia="en-US"/>
              </w:rPr>
            </w:pPr>
          </w:p>
        </w:tc>
      </w:tr>
      <w:tr w:rsidR="00D3393E" w:rsidRPr="00F415C0" w:rsidTr="00E97947">
        <w:tc>
          <w:tcPr>
            <w:tcW w:w="1276" w:type="dxa"/>
            <w:shd w:val="clear" w:color="auto" w:fill="auto"/>
          </w:tcPr>
          <w:p w:rsidR="00D3393E" w:rsidRPr="005E644F"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lastRenderedPageBreak/>
              <w:t>1</w:t>
            </w:r>
            <w:r w:rsidRPr="005E644F">
              <w:rPr>
                <w:rFonts w:ascii="Arial" w:eastAsiaTheme="minorHAnsi" w:hAnsi="Arial" w:cs="Arial"/>
                <w:bCs/>
                <w:sz w:val="18"/>
                <w:szCs w:val="18"/>
                <w:lang w:eastAsia="en-US"/>
              </w:rPr>
              <w:t>0</w:t>
            </w:r>
            <w:r>
              <w:rPr>
                <w:rFonts w:ascii="Arial" w:eastAsiaTheme="minorHAnsi" w:hAnsi="Arial" w:cs="Arial"/>
                <w:bCs/>
                <w:sz w:val="18"/>
                <w:szCs w:val="18"/>
                <w:lang w:eastAsia="en-US"/>
              </w:rPr>
              <w:t>4</w:t>
            </w:r>
            <w:r w:rsidRPr="005E644F">
              <w:rPr>
                <w:rFonts w:ascii="Arial" w:eastAsiaTheme="minorHAnsi" w:hAnsi="Arial" w:cs="Arial"/>
                <w:bCs/>
                <w:sz w:val="18"/>
                <w:szCs w:val="18"/>
                <w:lang w:eastAsia="en-US"/>
              </w:rPr>
              <w:t>8</w:t>
            </w:r>
          </w:p>
          <w:p w:rsidR="00D3393E" w:rsidRPr="00F415C0"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D3393E" w:rsidRPr="00F415C0"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5E644F">
              <w:rPr>
                <w:rFonts w:ascii="Arial" w:eastAsiaTheme="minorHAnsi" w:hAnsi="Arial" w:cs="Arial"/>
                <w:bCs/>
                <w:sz w:val="18"/>
                <w:szCs w:val="18"/>
                <w:lang w:eastAsia="en-US"/>
              </w:rPr>
              <w:t>158/2021</w:t>
            </w:r>
          </w:p>
        </w:tc>
        <w:tc>
          <w:tcPr>
            <w:tcW w:w="1985" w:type="dxa"/>
            <w:shd w:val="clear" w:color="auto" w:fill="auto"/>
          </w:tcPr>
          <w:p w:rsidR="00D3393E" w:rsidRPr="005E644F"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5E644F">
              <w:rPr>
                <w:rFonts w:ascii="Arial" w:eastAsiaTheme="minorHAnsi" w:hAnsi="Arial" w:cs="Arial"/>
                <w:bCs/>
                <w:sz w:val="18"/>
                <w:szCs w:val="18"/>
                <w:lang w:eastAsia="en-US"/>
              </w:rPr>
              <w:t>48610.200839/2018</w:t>
            </w:r>
          </w:p>
          <w:p w:rsidR="00D3393E" w:rsidRPr="00F415C0"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auto"/>
          </w:tcPr>
          <w:p w:rsidR="00D3393E" w:rsidRPr="00F415C0" w:rsidRDefault="00D3393E" w:rsidP="00E97947">
            <w:pPr>
              <w:widowControl/>
              <w:adjustRightInd/>
              <w:spacing w:line="240" w:lineRule="auto"/>
              <w:contextualSpacing/>
              <w:textAlignment w:val="auto"/>
              <w:rPr>
                <w:rFonts w:ascii="Arial" w:eastAsiaTheme="minorHAnsi" w:hAnsi="Arial" w:cs="Arial"/>
                <w:bCs/>
                <w:sz w:val="18"/>
                <w:szCs w:val="18"/>
                <w:lang w:eastAsia="en-US"/>
              </w:rPr>
            </w:pPr>
            <w:r w:rsidRPr="005E644F">
              <w:rPr>
                <w:rFonts w:ascii="Arial" w:eastAsiaTheme="minorHAnsi" w:hAnsi="Arial" w:cs="Arial"/>
                <w:bCs/>
                <w:sz w:val="18"/>
                <w:szCs w:val="18"/>
                <w:lang w:eastAsia="en-US"/>
              </w:rPr>
              <w:t>Análise de Recurso Administrativo interposto em processo de revogação de autorização outorgada à Indústria Nacional de Asfaltos Ltda.</w:t>
            </w:r>
          </w:p>
        </w:tc>
        <w:tc>
          <w:tcPr>
            <w:tcW w:w="850" w:type="dxa"/>
            <w:shd w:val="clear" w:color="auto" w:fill="auto"/>
          </w:tcPr>
          <w:p w:rsidR="00D3393E"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SDL</w:t>
            </w:r>
          </w:p>
        </w:tc>
        <w:tc>
          <w:tcPr>
            <w:tcW w:w="1354" w:type="dxa"/>
            <w:shd w:val="clear" w:color="auto" w:fill="auto"/>
          </w:tcPr>
          <w:p w:rsidR="00D3393E" w:rsidRPr="00F415C0"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5E644F">
              <w:rPr>
                <w:rFonts w:ascii="Arial" w:eastAsiaTheme="minorHAnsi" w:hAnsi="Arial" w:cs="Arial"/>
                <w:bCs/>
                <w:sz w:val="18"/>
                <w:szCs w:val="18"/>
                <w:lang w:eastAsia="en-US"/>
              </w:rPr>
              <w:t>255/2021</w:t>
            </w:r>
          </w:p>
        </w:tc>
        <w:tc>
          <w:tcPr>
            <w:tcW w:w="1275" w:type="dxa"/>
            <w:shd w:val="clear" w:color="auto" w:fill="auto"/>
          </w:tcPr>
          <w:p w:rsidR="00D3393E" w:rsidRPr="00F415C0"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5E644F">
              <w:rPr>
                <w:rFonts w:ascii="Arial" w:eastAsiaTheme="minorHAnsi" w:hAnsi="Arial" w:cs="Arial"/>
                <w:bCs/>
                <w:sz w:val="18"/>
                <w:szCs w:val="18"/>
                <w:lang w:eastAsia="en-US"/>
              </w:rPr>
              <w:t>13/05/2021</w:t>
            </w:r>
          </w:p>
        </w:tc>
        <w:tc>
          <w:tcPr>
            <w:tcW w:w="1340" w:type="dxa"/>
            <w:shd w:val="clear" w:color="auto" w:fill="auto"/>
          </w:tcPr>
          <w:p w:rsidR="00D3393E" w:rsidRPr="00221068"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155AF2">
              <w:rPr>
                <w:rFonts w:ascii="Arial" w:eastAsiaTheme="minorHAnsi" w:hAnsi="Arial" w:cs="Arial"/>
                <w:bCs/>
                <w:sz w:val="18"/>
                <w:szCs w:val="18"/>
                <w:lang w:eastAsia="en-US"/>
              </w:rPr>
              <w:t>Marcelo Castilho </w:t>
            </w:r>
          </w:p>
        </w:tc>
        <w:tc>
          <w:tcPr>
            <w:tcW w:w="4395" w:type="dxa"/>
            <w:shd w:val="clear" w:color="auto" w:fill="auto"/>
          </w:tcPr>
          <w:p w:rsidR="00D3393E" w:rsidRPr="00D6050B" w:rsidRDefault="00D3393E" w:rsidP="00E97947">
            <w:pPr>
              <w:widowControl/>
              <w:adjustRightInd/>
              <w:spacing w:line="240" w:lineRule="auto"/>
              <w:contextualSpacing/>
              <w:textAlignment w:val="auto"/>
              <w:rPr>
                <w:rFonts w:ascii="Arial" w:eastAsiaTheme="minorHAnsi" w:hAnsi="Arial" w:cs="Arial"/>
                <w:bCs/>
                <w:sz w:val="18"/>
                <w:szCs w:val="18"/>
                <w:lang w:eastAsia="en-US"/>
              </w:rPr>
            </w:pPr>
            <w:r w:rsidRPr="00D6050B">
              <w:rPr>
                <w:rFonts w:ascii="Arial" w:eastAsiaTheme="minorHAnsi" w:hAnsi="Arial" w:cs="Arial"/>
                <w:bCs/>
                <w:sz w:val="18"/>
                <w:szCs w:val="18"/>
                <w:lang w:eastAsia="en-US"/>
              </w:rPr>
              <w:t>A Diretoria da Agência Nacional do Petróleo, Gás Natural e Biocombustíveis - ANP, com base na Proposta de Ação nº 158, de 06 de Abril de 2021, no Despacho nº 659/2021/PFANP/PGF/AGU, expedido pela Procuradoria Federal, assim como na Análise Técnica nº 30/2021/SDL-CREG/SDL, elaborada pela Superintendência de Distribuição e Logística, resolve:</w:t>
            </w:r>
          </w:p>
          <w:p w:rsidR="00D3393E" w:rsidRDefault="00D3393E" w:rsidP="00E97947">
            <w:pPr>
              <w:widowControl/>
              <w:adjustRightInd/>
              <w:spacing w:line="240" w:lineRule="auto"/>
              <w:contextualSpacing/>
              <w:textAlignment w:val="auto"/>
              <w:rPr>
                <w:rFonts w:ascii="Arial" w:eastAsiaTheme="minorHAnsi" w:hAnsi="Arial" w:cs="Arial"/>
                <w:bCs/>
                <w:sz w:val="18"/>
                <w:szCs w:val="18"/>
                <w:lang w:eastAsia="en-US"/>
              </w:rPr>
            </w:pPr>
            <w:r w:rsidRPr="00D6050B">
              <w:rPr>
                <w:rFonts w:ascii="Arial" w:eastAsiaTheme="minorHAnsi" w:hAnsi="Arial" w:cs="Arial"/>
                <w:bCs/>
                <w:sz w:val="18"/>
                <w:szCs w:val="18"/>
                <w:lang w:eastAsia="en-US"/>
              </w:rPr>
              <w:lastRenderedPageBreak/>
              <w:t>Conhecer do recurso interposto pela sociedade INDÚSTRIA NACIONAL DE ASFALTOS LTDA., e no mérito, negar o provimento, tendo em vista que os documentos exigidos pela Resolução ANP nº 2/2005 não foram apresentados.</w:t>
            </w:r>
          </w:p>
          <w:p w:rsidR="00D3393E" w:rsidRPr="00F415C0" w:rsidRDefault="00D3393E" w:rsidP="00E97947">
            <w:pPr>
              <w:widowControl/>
              <w:adjustRightInd/>
              <w:spacing w:line="240" w:lineRule="auto"/>
              <w:contextualSpacing/>
              <w:textAlignment w:val="auto"/>
              <w:rPr>
                <w:rFonts w:ascii="Arial" w:eastAsiaTheme="minorHAnsi" w:hAnsi="Arial" w:cs="Arial"/>
                <w:bCs/>
                <w:sz w:val="18"/>
                <w:szCs w:val="18"/>
                <w:lang w:eastAsia="en-US"/>
              </w:rPr>
            </w:pPr>
          </w:p>
        </w:tc>
      </w:tr>
      <w:tr w:rsidR="00D3393E" w:rsidRPr="00575807" w:rsidTr="00E97947">
        <w:tc>
          <w:tcPr>
            <w:tcW w:w="1276" w:type="dxa"/>
            <w:shd w:val="clear" w:color="auto" w:fill="auto"/>
          </w:tcPr>
          <w:p w:rsidR="00D3393E" w:rsidRPr="00575807"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F415C0">
              <w:rPr>
                <w:rFonts w:ascii="Arial" w:eastAsiaTheme="minorHAnsi" w:hAnsi="Arial" w:cs="Arial"/>
                <w:bCs/>
                <w:sz w:val="18"/>
                <w:szCs w:val="18"/>
                <w:lang w:eastAsia="en-US"/>
              </w:rPr>
              <w:lastRenderedPageBreak/>
              <w:t>1047</w:t>
            </w:r>
          </w:p>
        </w:tc>
        <w:tc>
          <w:tcPr>
            <w:tcW w:w="1134" w:type="dxa"/>
            <w:shd w:val="clear" w:color="auto" w:fill="auto"/>
          </w:tcPr>
          <w:p w:rsidR="00D3393E" w:rsidRPr="00F415C0"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F415C0">
              <w:rPr>
                <w:rFonts w:ascii="Arial" w:eastAsiaTheme="minorHAnsi" w:hAnsi="Arial" w:cs="Arial"/>
                <w:bCs/>
                <w:sz w:val="18"/>
                <w:szCs w:val="18"/>
                <w:lang w:eastAsia="en-US"/>
              </w:rPr>
              <w:t>194/2021</w:t>
            </w:r>
          </w:p>
          <w:p w:rsidR="00D3393E" w:rsidRPr="00575807"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D3393E" w:rsidRPr="00575807"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F415C0">
              <w:rPr>
                <w:rFonts w:ascii="Arial" w:eastAsiaTheme="minorHAnsi" w:hAnsi="Arial" w:cs="Arial"/>
                <w:bCs/>
                <w:sz w:val="18"/>
                <w:szCs w:val="18"/>
                <w:lang w:eastAsia="en-US"/>
              </w:rPr>
              <w:t>48610.012712/2015</w:t>
            </w:r>
          </w:p>
        </w:tc>
        <w:tc>
          <w:tcPr>
            <w:tcW w:w="2835" w:type="dxa"/>
            <w:shd w:val="clear" w:color="auto" w:fill="auto"/>
          </w:tcPr>
          <w:p w:rsidR="00D3393E" w:rsidRPr="00575807"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F415C0">
              <w:rPr>
                <w:rFonts w:ascii="Arial" w:eastAsiaTheme="minorHAnsi" w:hAnsi="Arial" w:cs="Arial"/>
                <w:bCs/>
                <w:sz w:val="18"/>
                <w:szCs w:val="18"/>
                <w:lang w:eastAsia="en-US"/>
              </w:rPr>
              <w:t>Nomeação e Exoneração de Servidor - SGE</w:t>
            </w:r>
          </w:p>
        </w:tc>
        <w:tc>
          <w:tcPr>
            <w:tcW w:w="850" w:type="dxa"/>
            <w:shd w:val="clear" w:color="auto" w:fill="auto"/>
          </w:tcPr>
          <w:p w:rsidR="00D3393E"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SGP</w:t>
            </w:r>
          </w:p>
        </w:tc>
        <w:tc>
          <w:tcPr>
            <w:tcW w:w="1354" w:type="dxa"/>
            <w:shd w:val="clear" w:color="auto" w:fill="auto"/>
          </w:tcPr>
          <w:p w:rsidR="00D3393E" w:rsidRPr="00575807"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F415C0">
              <w:rPr>
                <w:rFonts w:ascii="Arial" w:eastAsiaTheme="minorHAnsi" w:hAnsi="Arial" w:cs="Arial"/>
                <w:bCs/>
                <w:sz w:val="18"/>
                <w:szCs w:val="18"/>
                <w:lang w:eastAsia="en-US"/>
              </w:rPr>
              <w:t>254/2021</w:t>
            </w:r>
          </w:p>
        </w:tc>
        <w:tc>
          <w:tcPr>
            <w:tcW w:w="1275" w:type="dxa"/>
            <w:shd w:val="clear" w:color="auto" w:fill="auto"/>
          </w:tcPr>
          <w:p w:rsidR="00D3393E" w:rsidRPr="00575807"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F415C0">
              <w:rPr>
                <w:rFonts w:ascii="Arial" w:eastAsiaTheme="minorHAnsi" w:hAnsi="Arial" w:cs="Arial"/>
                <w:bCs/>
                <w:sz w:val="18"/>
                <w:szCs w:val="18"/>
                <w:lang w:eastAsia="en-US"/>
              </w:rPr>
              <w:t>11/05/2021</w:t>
            </w:r>
          </w:p>
        </w:tc>
        <w:tc>
          <w:tcPr>
            <w:tcW w:w="1340" w:type="dxa"/>
            <w:shd w:val="clear" w:color="auto" w:fill="auto"/>
          </w:tcPr>
          <w:p w:rsidR="00D3393E" w:rsidRPr="003C3467"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B329B1">
              <w:rPr>
                <w:rFonts w:ascii="Arial" w:eastAsiaTheme="minorHAnsi" w:hAnsi="Arial" w:cs="Arial"/>
                <w:bCs/>
                <w:sz w:val="18"/>
                <w:szCs w:val="18"/>
                <w:lang w:eastAsia="en-US"/>
              </w:rPr>
              <w:t>Rodolfo Saboia</w:t>
            </w:r>
          </w:p>
        </w:tc>
        <w:tc>
          <w:tcPr>
            <w:tcW w:w="4395" w:type="dxa"/>
            <w:shd w:val="clear" w:color="auto" w:fill="auto"/>
          </w:tcPr>
          <w:p w:rsidR="00D3393E" w:rsidRPr="00F415C0" w:rsidRDefault="00D3393E" w:rsidP="00E97947">
            <w:pPr>
              <w:widowControl/>
              <w:adjustRightInd/>
              <w:spacing w:line="240" w:lineRule="auto"/>
              <w:contextualSpacing/>
              <w:textAlignment w:val="auto"/>
              <w:rPr>
                <w:rFonts w:ascii="Arial" w:eastAsiaTheme="minorHAnsi" w:hAnsi="Arial" w:cs="Arial"/>
                <w:bCs/>
                <w:sz w:val="18"/>
                <w:szCs w:val="18"/>
                <w:lang w:eastAsia="en-US"/>
              </w:rPr>
            </w:pPr>
            <w:r w:rsidRPr="00F415C0">
              <w:rPr>
                <w:rFonts w:ascii="Arial" w:eastAsiaTheme="minorHAnsi" w:hAnsi="Arial" w:cs="Arial"/>
                <w:bCs/>
                <w:sz w:val="18"/>
                <w:szCs w:val="18"/>
                <w:lang w:eastAsia="en-US"/>
              </w:rPr>
              <w:t>A Diretoria da Agência Nacional do Petróleo, Gás Natural e Biocombustíveis - ANP, com base na Proposta de Ação nº 194, de 20 de Abril de 2021, resolve:</w:t>
            </w:r>
          </w:p>
          <w:p w:rsidR="00D3393E" w:rsidRPr="00F415C0" w:rsidRDefault="00D3393E" w:rsidP="00E97947">
            <w:pPr>
              <w:widowControl/>
              <w:adjustRightInd/>
              <w:spacing w:line="240" w:lineRule="auto"/>
              <w:contextualSpacing/>
              <w:textAlignment w:val="auto"/>
              <w:rPr>
                <w:rFonts w:ascii="Arial" w:eastAsiaTheme="minorHAnsi" w:hAnsi="Arial" w:cs="Arial"/>
                <w:bCs/>
                <w:sz w:val="18"/>
                <w:szCs w:val="18"/>
                <w:lang w:eastAsia="en-US"/>
              </w:rPr>
            </w:pPr>
            <w:r w:rsidRPr="00F415C0">
              <w:rPr>
                <w:rFonts w:ascii="Arial" w:eastAsiaTheme="minorHAnsi" w:hAnsi="Arial" w:cs="Arial"/>
                <w:bCs/>
                <w:sz w:val="18"/>
                <w:szCs w:val="18"/>
                <w:lang w:eastAsia="en-US"/>
              </w:rPr>
              <w:t>Nomear VITOR MOREIRA MAGALHÃES DE OLIVEIRA no cargo comissionado CCT III, de Assessor Técnico de Qualidade Regulatória, na SGE/ANP.</w:t>
            </w:r>
          </w:p>
          <w:p w:rsidR="00D3393E" w:rsidRPr="00575807" w:rsidRDefault="00D3393E" w:rsidP="00E97947">
            <w:pPr>
              <w:widowControl/>
              <w:adjustRightInd/>
              <w:spacing w:line="240" w:lineRule="auto"/>
              <w:contextualSpacing/>
              <w:textAlignment w:val="auto"/>
              <w:rPr>
                <w:rFonts w:ascii="Arial" w:eastAsiaTheme="minorHAnsi" w:hAnsi="Arial" w:cs="Arial"/>
                <w:bCs/>
                <w:sz w:val="18"/>
                <w:szCs w:val="18"/>
                <w:lang w:eastAsia="en-US"/>
              </w:rPr>
            </w:pPr>
          </w:p>
        </w:tc>
      </w:tr>
      <w:tr w:rsidR="00D3393E" w:rsidRPr="00575807" w:rsidTr="00E97947">
        <w:tc>
          <w:tcPr>
            <w:tcW w:w="1276" w:type="dxa"/>
            <w:shd w:val="clear" w:color="auto" w:fill="auto"/>
          </w:tcPr>
          <w:p w:rsidR="00D3393E" w:rsidRPr="00575807"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575807">
              <w:rPr>
                <w:rFonts w:ascii="Arial" w:eastAsiaTheme="minorHAnsi" w:hAnsi="Arial" w:cs="Arial"/>
                <w:bCs/>
                <w:sz w:val="18"/>
                <w:szCs w:val="18"/>
                <w:lang w:eastAsia="en-US"/>
              </w:rPr>
              <w:t>1046</w:t>
            </w:r>
          </w:p>
        </w:tc>
        <w:tc>
          <w:tcPr>
            <w:tcW w:w="1134" w:type="dxa"/>
            <w:shd w:val="clear" w:color="auto" w:fill="auto"/>
          </w:tcPr>
          <w:p w:rsidR="00D3393E" w:rsidRPr="00575807" w:rsidRDefault="00D3393E" w:rsidP="00E97947">
            <w:pPr>
              <w:pStyle w:val="textoalinhadoesquerdaespacamentosimples"/>
              <w:jc w:val="center"/>
              <w:rPr>
                <w:rFonts w:ascii="Arial" w:eastAsiaTheme="minorHAnsi" w:hAnsi="Arial" w:cs="Arial"/>
                <w:bCs/>
                <w:sz w:val="18"/>
                <w:szCs w:val="18"/>
                <w:lang w:eastAsia="en-US"/>
              </w:rPr>
            </w:pPr>
            <w:r w:rsidRPr="00575807">
              <w:rPr>
                <w:rFonts w:ascii="Arial" w:eastAsiaTheme="minorHAnsi" w:hAnsi="Arial" w:cs="Arial"/>
                <w:bCs/>
                <w:sz w:val="18"/>
                <w:szCs w:val="18"/>
                <w:lang w:eastAsia="en-US"/>
              </w:rPr>
              <w:t>89/2021</w:t>
            </w:r>
          </w:p>
          <w:p w:rsidR="00D3393E" w:rsidRPr="00575807"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D3393E" w:rsidRPr="00575807"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575807">
              <w:rPr>
                <w:rFonts w:ascii="Arial" w:eastAsiaTheme="minorHAnsi" w:hAnsi="Arial" w:cs="Arial"/>
                <w:bCs/>
                <w:sz w:val="18"/>
                <w:szCs w:val="18"/>
                <w:lang w:eastAsia="en-US"/>
              </w:rPr>
              <w:t>48610.205415/2019</w:t>
            </w:r>
          </w:p>
        </w:tc>
        <w:tc>
          <w:tcPr>
            <w:tcW w:w="2835" w:type="dxa"/>
            <w:shd w:val="clear" w:color="auto" w:fill="auto"/>
          </w:tcPr>
          <w:p w:rsidR="00D3393E" w:rsidRPr="00575807" w:rsidRDefault="00D3393E" w:rsidP="00E97947">
            <w:pPr>
              <w:widowControl/>
              <w:adjustRightInd/>
              <w:spacing w:line="240" w:lineRule="auto"/>
              <w:contextualSpacing/>
              <w:textAlignment w:val="auto"/>
              <w:rPr>
                <w:rFonts w:ascii="Arial" w:eastAsiaTheme="minorHAnsi" w:hAnsi="Arial" w:cs="Arial"/>
                <w:bCs/>
                <w:sz w:val="18"/>
                <w:szCs w:val="18"/>
                <w:lang w:eastAsia="en-US"/>
              </w:rPr>
            </w:pPr>
            <w:r w:rsidRPr="00575807">
              <w:rPr>
                <w:rFonts w:ascii="Arial" w:eastAsiaTheme="minorHAnsi" w:hAnsi="Arial" w:cs="Arial"/>
                <w:bCs/>
                <w:sz w:val="18"/>
                <w:szCs w:val="18"/>
                <w:lang w:eastAsia="en-US"/>
              </w:rPr>
              <w:t>Aprovação do 2° Termo Aditivo relativo à alteração qualitativa do contrato de manutenção de equipamentos nº 5.018/19-ANP-205.415 do CPT</w:t>
            </w:r>
          </w:p>
        </w:tc>
        <w:tc>
          <w:tcPr>
            <w:tcW w:w="850" w:type="dxa"/>
            <w:shd w:val="clear" w:color="auto" w:fill="auto"/>
          </w:tcPr>
          <w:p w:rsidR="00D3393E" w:rsidRPr="00575807"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 xml:space="preserve">CPT </w:t>
            </w:r>
          </w:p>
        </w:tc>
        <w:tc>
          <w:tcPr>
            <w:tcW w:w="1354" w:type="dxa"/>
            <w:shd w:val="clear" w:color="auto" w:fill="auto"/>
          </w:tcPr>
          <w:p w:rsidR="00D3393E" w:rsidRPr="00575807"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575807">
              <w:rPr>
                <w:rFonts w:ascii="Arial" w:eastAsiaTheme="minorHAnsi" w:hAnsi="Arial" w:cs="Arial"/>
                <w:bCs/>
                <w:sz w:val="18"/>
                <w:szCs w:val="18"/>
                <w:lang w:eastAsia="en-US"/>
              </w:rPr>
              <w:t>253/2021</w:t>
            </w:r>
          </w:p>
        </w:tc>
        <w:tc>
          <w:tcPr>
            <w:tcW w:w="1275" w:type="dxa"/>
            <w:shd w:val="clear" w:color="auto" w:fill="auto"/>
          </w:tcPr>
          <w:p w:rsidR="00D3393E" w:rsidRPr="00575807" w:rsidRDefault="00D3393E" w:rsidP="00E97947">
            <w:pPr>
              <w:pStyle w:val="textoalinhadoesquerdaespacamentosimples"/>
              <w:jc w:val="center"/>
              <w:rPr>
                <w:rFonts w:ascii="Arial" w:eastAsiaTheme="minorHAnsi" w:hAnsi="Arial" w:cs="Arial"/>
                <w:bCs/>
                <w:sz w:val="18"/>
                <w:szCs w:val="18"/>
                <w:lang w:eastAsia="en-US"/>
              </w:rPr>
            </w:pPr>
            <w:r w:rsidRPr="00575807">
              <w:rPr>
                <w:rFonts w:ascii="Arial" w:eastAsiaTheme="minorHAnsi" w:hAnsi="Arial" w:cs="Arial"/>
                <w:bCs/>
                <w:sz w:val="18"/>
                <w:szCs w:val="18"/>
                <w:lang w:eastAsia="en-US"/>
              </w:rPr>
              <w:t>10/05/2021</w:t>
            </w:r>
          </w:p>
          <w:p w:rsidR="00D3393E" w:rsidRPr="00575807"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D3393E" w:rsidRPr="00A07E3A" w:rsidRDefault="00D3393E" w:rsidP="00E97947">
            <w:pPr>
              <w:widowControl/>
              <w:adjustRightInd/>
              <w:spacing w:line="240" w:lineRule="auto"/>
              <w:contextualSpacing/>
              <w:jc w:val="center"/>
              <w:textAlignment w:val="auto"/>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D3393E" w:rsidRPr="00575807" w:rsidRDefault="00D3393E" w:rsidP="00E97947">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75807">
              <w:rPr>
                <w:rFonts w:ascii="Arial" w:eastAsiaTheme="minorHAnsi" w:hAnsi="Arial" w:cs="Arial"/>
                <w:bCs/>
                <w:sz w:val="18"/>
                <w:szCs w:val="18"/>
                <w:lang w:eastAsia="en-US"/>
              </w:rPr>
              <w:t>A Diretoria da Agência Nacional do Petróleo, Gás Natural e Biocombustíveis - ANP, com base na Proposta de Ação nº 89, de 05 de Março de 2021, na Nota Técnica nº 65/2021/SBQ-CPT-CLI/SBQ/ANP-DF, na Nota Técnica nº 9/2021/SBQ-CPT-CLI/SBQ/ANP-DF e no Parecer nº 117/NLC/ETRLIC/PGF/AGU, de 24/02/2021, aprovado pelo Despacho nº 300/2021/PFANP/PGF/AGU, de 25/02/2021, resolve:</w:t>
            </w:r>
          </w:p>
          <w:p w:rsidR="00D3393E" w:rsidRPr="00575807" w:rsidRDefault="00D3393E" w:rsidP="00E97947">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75807">
              <w:rPr>
                <w:rFonts w:ascii="Arial" w:eastAsiaTheme="minorHAnsi" w:hAnsi="Arial" w:cs="Arial"/>
                <w:bCs/>
                <w:sz w:val="18"/>
                <w:szCs w:val="18"/>
                <w:lang w:eastAsia="en-US"/>
              </w:rPr>
              <w:t>Aprovar o Termo Aditivo nº 2 para alteração qualitativa do contrato de manutenção nº 5.018/19-ANP-205.415 com a empresa PENSALAB, consolidando o valor previsto para as subdivisão “Peças Previstas” e “Peças Não Previstas” em “Peças para Manutenção Corretiva”.</w:t>
            </w:r>
          </w:p>
        </w:tc>
      </w:tr>
      <w:tr w:rsidR="00D3393E" w:rsidRPr="00333944" w:rsidTr="00E97947">
        <w:tc>
          <w:tcPr>
            <w:tcW w:w="16444" w:type="dxa"/>
            <w:gridSpan w:val="9"/>
            <w:shd w:val="clear" w:color="auto" w:fill="auto"/>
          </w:tcPr>
          <w:p w:rsidR="00D3393E" w:rsidRPr="00333944" w:rsidRDefault="00D3393E" w:rsidP="00E97947">
            <w:pPr>
              <w:pStyle w:val="NormalWeb"/>
              <w:spacing w:before="0" w:beforeAutospacing="0" w:after="0" w:afterAutospacing="0"/>
              <w:contextualSpacing/>
              <w:rPr>
                <w:rFonts w:ascii="Arial" w:eastAsiaTheme="minorHAnsi" w:hAnsi="Arial" w:cs="Arial"/>
                <w:b/>
                <w:sz w:val="18"/>
                <w:szCs w:val="18"/>
                <w:lang w:eastAsia="en-US"/>
              </w:rPr>
            </w:pPr>
            <w:r>
              <w:rPr>
                <w:rFonts w:ascii="Arial" w:eastAsiaTheme="minorHAnsi" w:hAnsi="Arial" w:cs="Arial"/>
                <w:b/>
                <w:sz w:val="18"/>
                <w:szCs w:val="18"/>
                <w:lang w:eastAsia="en-US"/>
              </w:rPr>
              <w:t>PA</w:t>
            </w:r>
            <w:r w:rsidRPr="00333944">
              <w:rPr>
                <w:rFonts w:ascii="Arial" w:eastAsiaTheme="minorHAnsi" w:hAnsi="Arial" w:cs="Arial"/>
                <w:b/>
                <w:sz w:val="18"/>
                <w:szCs w:val="18"/>
                <w:lang w:eastAsia="en-US"/>
              </w:rPr>
              <w:t xml:space="preserve"> = Proposta de Ação</w:t>
            </w:r>
          </w:p>
          <w:p w:rsidR="00D3393E" w:rsidRPr="00333944" w:rsidRDefault="00D3393E" w:rsidP="00E97947">
            <w:pPr>
              <w:widowControl/>
              <w:adjustRightInd/>
              <w:spacing w:line="240" w:lineRule="auto"/>
              <w:contextualSpacing/>
              <w:textAlignment w:val="auto"/>
              <w:rPr>
                <w:rFonts w:ascii="Arial" w:eastAsiaTheme="minorHAnsi" w:hAnsi="Arial" w:cs="Arial"/>
                <w:b/>
                <w:sz w:val="18"/>
                <w:szCs w:val="18"/>
                <w:lang w:eastAsia="en-US"/>
              </w:rPr>
            </w:pPr>
            <w:r>
              <w:rPr>
                <w:rFonts w:ascii="Arial" w:hAnsi="Arial" w:cs="Arial"/>
                <w:b/>
                <w:sz w:val="18"/>
                <w:szCs w:val="18"/>
              </w:rPr>
              <w:t>U</w:t>
            </w:r>
            <w:r w:rsidRPr="00333944">
              <w:rPr>
                <w:rFonts w:ascii="Arial" w:hAnsi="Arial" w:cs="Arial"/>
                <w:b/>
                <w:sz w:val="18"/>
                <w:szCs w:val="18"/>
              </w:rPr>
              <w:t>ORG = Unidade Organizacional</w:t>
            </w:r>
          </w:p>
        </w:tc>
      </w:tr>
    </w:tbl>
    <w:p w:rsidR="00D21680" w:rsidRDefault="00D21680"/>
    <w:sectPr w:rsidR="00D21680" w:rsidSect="00D3393E">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93E" w:rsidRDefault="00D3393E" w:rsidP="00D3393E">
      <w:pPr>
        <w:spacing w:line="240" w:lineRule="auto"/>
      </w:pPr>
      <w:r>
        <w:separator/>
      </w:r>
    </w:p>
  </w:endnote>
  <w:endnote w:type="continuationSeparator" w:id="0">
    <w:p w:rsidR="00D3393E" w:rsidRDefault="00D3393E" w:rsidP="00D33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93E" w:rsidRDefault="00D3393E" w:rsidP="00D3393E">
      <w:pPr>
        <w:spacing w:line="240" w:lineRule="auto"/>
      </w:pPr>
      <w:r>
        <w:separator/>
      </w:r>
    </w:p>
  </w:footnote>
  <w:footnote w:type="continuationSeparator" w:id="0">
    <w:p w:rsidR="00D3393E" w:rsidRDefault="00D3393E" w:rsidP="00D339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93E" w:rsidRDefault="0092644D">
    <w:pPr>
      <w:pStyle w:val="Cabealho"/>
    </w:pPr>
    <w:r>
      <w:rPr>
        <w:noProof/>
      </w:rPr>
      <w:object w:dxaOrig="1440" w:dyaOrig="1440" w14:anchorId="6D08A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5pt;margin-top:-28.6pt;width:133.25pt;height:57.8pt;z-index:251658240;mso-position-horizontal-relative:text;mso-position-vertical-relative:text">
          <v:imagedata r:id="rId1" o:title=""/>
          <w10:wrap type="topAndBottom" anchorx="page"/>
        </v:shape>
        <o:OLEObject Type="Embed" ProgID="MSPhotoEd.3" ShapeID="_x0000_s2049" DrawAspect="Content" ObjectID="_1682435327"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3E"/>
    <w:rsid w:val="00005F6D"/>
    <w:rsid w:val="000245DC"/>
    <w:rsid w:val="00030AB6"/>
    <w:rsid w:val="00032B09"/>
    <w:rsid w:val="000331F2"/>
    <w:rsid w:val="0004516B"/>
    <w:rsid w:val="00045504"/>
    <w:rsid w:val="000523DC"/>
    <w:rsid w:val="00062D64"/>
    <w:rsid w:val="00065645"/>
    <w:rsid w:val="00066FA7"/>
    <w:rsid w:val="00076A0C"/>
    <w:rsid w:val="00081CDC"/>
    <w:rsid w:val="00083BE4"/>
    <w:rsid w:val="00092F8B"/>
    <w:rsid w:val="000C270F"/>
    <w:rsid w:val="000C5BBC"/>
    <w:rsid w:val="000C7FB2"/>
    <w:rsid w:val="000D1162"/>
    <w:rsid w:val="000D26AC"/>
    <w:rsid w:val="000D42F8"/>
    <w:rsid w:val="000D5863"/>
    <w:rsid w:val="000D74C0"/>
    <w:rsid w:val="000E4B00"/>
    <w:rsid w:val="000F6C91"/>
    <w:rsid w:val="00111553"/>
    <w:rsid w:val="00116930"/>
    <w:rsid w:val="00150A3A"/>
    <w:rsid w:val="001554D6"/>
    <w:rsid w:val="00157985"/>
    <w:rsid w:val="001617BC"/>
    <w:rsid w:val="001659ED"/>
    <w:rsid w:val="001719EB"/>
    <w:rsid w:val="0018069C"/>
    <w:rsid w:val="00181A5B"/>
    <w:rsid w:val="00184F4A"/>
    <w:rsid w:val="00193429"/>
    <w:rsid w:val="00195F38"/>
    <w:rsid w:val="00196AAF"/>
    <w:rsid w:val="001A66AE"/>
    <w:rsid w:val="001B200F"/>
    <w:rsid w:val="001B7E9A"/>
    <w:rsid w:val="001C4B78"/>
    <w:rsid w:val="001C7D66"/>
    <w:rsid w:val="001D07D7"/>
    <w:rsid w:val="001D39B1"/>
    <w:rsid w:val="001D4933"/>
    <w:rsid w:val="001D6775"/>
    <w:rsid w:val="001D7488"/>
    <w:rsid w:val="00203A00"/>
    <w:rsid w:val="002051B7"/>
    <w:rsid w:val="00213857"/>
    <w:rsid w:val="00217822"/>
    <w:rsid w:val="002207F1"/>
    <w:rsid w:val="002221BB"/>
    <w:rsid w:val="002239CE"/>
    <w:rsid w:val="002325C4"/>
    <w:rsid w:val="00232C48"/>
    <w:rsid w:val="00245375"/>
    <w:rsid w:val="00251557"/>
    <w:rsid w:val="00251D23"/>
    <w:rsid w:val="00254CB6"/>
    <w:rsid w:val="00263132"/>
    <w:rsid w:val="002679A5"/>
    <w:rsid w:val="00267A68"/>
    <w:rsid w:val="00267A78"/>
    <w:rsid w:val="002708C6"/>
    <w:rsid w:val="00271FA7"/>
    <w:rsid w:val="002761F5"/>
    <w:rsid w:val="00282DD4"/>
    <w:rsid w:val="00292ABF"/>
    <w:rsid w:val="00293E3C"/>
    <w:rsid w:val="002972ED"/>
    <w:rsid w:val="002A3107"/>
    <w:rsid w:val="002A5CF7"/>
    <w:rsid w:val="002B2F57"/>
    <w:rsid w:val="002B7C72"/>
    <w:rsid w:val="002C342A"/>
    <w:rsid w:val="002E16DA"/>
    <w:rsid w:val="002F4D30"/>
    <w:rsid w:val="00301AA9"/>
    <w:rsid w:val="00310555"/>
    <w:rsid w:val="003133D3"/>
    <w:rsid w:val="00316639"/>
    <w:rsid w:val="00330EC0"/>
    <w:rsid w:val="00337CAF"/>
    <w:rsid w:val="003412DC"/>
    <w:rsid w:val="00354403"/>
    <w:rsid w:val="00354A26"/>
    <w:rsid w:val="00356CF4"/>
    <w:rsid w:val="00370E34"/>
    <w:rsid w:val="00372683"/>
    <w:rsid w:val="00375722"/>
    <w:rsid w:val="0037705C"/>
    <w:rsid w:val="003777B1"/>
    <w:rsid w:val="003824DA"/>
    <w:rsid w:val="00384717"/>
    <w:rsid w:val="00387FF3"/>
    <w:rsid w:val="003A29A0"/>
    <w:rsid w:val="003A2D3A"/>
    <w:rsid w:val="003A3139"/>
    <w:rsid w:val="003A5FFB"/>
    <w:rsid w:val="003B0050"/>
    <w:rsid w:val="003B1692"/>
    <w:rsid w:val="003D5790"/>
    <w:rsid w:val="003E6706"/>
    <w:rsid w:val="003F1589"/>
    <w:rsid w:val="00406896"/>
    <w:rsid w:val="00413DFD"/>
    <w:rsid w:val="00414A2A"/>
    <w:rsid w:val="0041574A"/>
    <w:rsid w:val="004166C7"/>
    <w:rsid w:val="00417081"/>
    <w:rsid w:val="004265F5"/>
    <w:rsid w:val="004358AC"/>
    <w:rsid w:val="00444D17"/>
    <w:rsid w:val="00447E6C"/>
    <w:rsid w:val="004527D0"/>
    <w:rsid w:val="004569E4"/>
    <w:rsid w:val="00462B5F"/>
    <w:rsid w:val="004632D4"/>
    <w:rsid w:val="00464774"/>
    <w:rsid w:val="0047497B"/>
    <w:rsid w:val="00475FCD"/>
    <w:rsid w:val="0048545B"/>
    <w:rsid w:val="0048648F"/>
    <w:rsid w:val="00487252"/>
    <w:rsid w:val="004877BE"/>
    <w:rsid w:val="00492AA6"/>
    <w:rsid w:val="00493E0F"/>
    <w:rsid w:val="004A6379"/>
    <w:rsid w:val="004C63DD"/>
    <w:rsid w:val="004D6F30"/>
    <w:rsid w:val="004E5C51"/>
    <w:rsid w:val="005047A9"/>
    <w:rsid w:val="0051127A"/>
    <w:rsid w:val="0051416D"/>
    <w:rsid w:val="00520FEE"/>
    <w:rsid w:val="0053150B"/>
    <w:rsid w:val="00532F87"/>
    <w:rsid w:val="00537E4C"/>
    <w:rsid w:val="005470CB"/>
    <w:rsid w:val="00551457"/>
    <w:rsid w:val="005734A9"/>
    <w:rsid w:val="005778F8"/>
    <w:rsid w:val="00586030"/>
    <w:rsid w:val="005874F4"/>
    <w:rsid w:val="00590C25"/>
    <w:rsid w:val="00596E29"/>
    <w:rsid w:val="005A237D"/>
    <w:rsid w:val="005A253E"/>
    <w:rsid w:val="005A2660"/>
    <w:rsid w:val="005A63EF"/>
    <w:rsid w:val="005B225F"/>
    <w:rsid w:val="005B2BAC"/>
    <w:rsid w:val="005B3F48"/>
    <w:rsid w:val="005B7FB9"/>
    <w:rsid w:val="005C4A9B"/>
    <w:rsid w:val="005C6ED1"/>
    <w:rsid w:val="005D1F0E"/>
    <w:rsid w:val="005D4307"/>
    <w:rsid w:val="005D55FC"/>
    <w:rsid w:val="005E0979"/>
    <w:rsid w:val="005E2589"/>
    <w:rsid w:val="005E5143"/>
    <w:rsid w:val="005F5F1E"/>
    <w:rsid w:val="00605F38"/>
    <w:rsid w:val="006073AD"/>
    <w:rsid w:val="0061292B"/>
    <w:rsid w:val="00612F78"/>
    <w:rsid w:val="006168F4"/>
    <w:rsid w:val="00625018"/>
    <w:rsid w:val="0063297F"/>
    <w:rsid w:val="0064412B"/>
    <w:rsid w:val="0065119A"/>
    <w:rsid w:val="00651C11"/>
    <w:rsid w:val="00652699"/>
    <w:rsid w:val="00667774"/>
    <w:rsid w:val="0067117D"/>
    <w:rsid w:val="00671F7B"/>
    <w:rsid w:val="00682B4A"/>
    <w:rsid w:val="0068350E"/>
    <w:rsid w:val="00690388"/>
    <w:rsid w:val="00694056"/>
    <w:rsid w:val="006B4483"/>
    <w:rsid w:val="006B487B"/>
    <w:rsid w:val="006B5F68"/>
    <w:rsid w:val="006C6448"/>
    <w:rsid w:val="006D6864"/>
    <w:rsid w:val="006E0564"/>
    <w:rsid w:val="006E532F"/>
    <w:rsid w:val="006F1A58"/>
    <w:rsid w:val="0070244C"/>
    <w:rsid w:val="00703553"/>
    <w:rsid w:val="00705371"/>
    <w:rsid w:val="00706823"/>
    <w:rsid w:val="00722D8F"/>
    <w:rsid w:val="00723E9D"/>
    <w:rsid w:val="0073151B"/>
    <w:rsid w:val="0073275B"/>
    <w:rsid w:val="007502DC"/>
    <w:rsid w:val="0075051F"/>
    <w:rsid w:val="00750FE8"/>
    <w:rsid w:val="007512CB"/>
    <w:rsid w:val="00752743"/>
    <w:rsid w:val="0075279B"/>
    <w:rsid w:val="00752915"/>
    <w:rsid w:val="007567D9"/>
    <w:rsid w:val="007665E7"/>
    <w:rsid w:val="00770645"/>
    <w:rsid w:val="00771EFC"/>
    <w:rsid w:val="00796707"/>
    <w:rsid w:val="007A035D"/>
    <w:rsid w:val="007A6A52"/>
    <w:rsid w:val="007B3930"/>
    <w:rsid w:val="007C1D2E"/>
    <w:rsid w:val="007C1EEB"/>
    <w:rsid w:val="007C20EE"/>
    <w:rsid w:val="007C25B9"/>
    <w:rsid w:val="007C5485"/>
    <w:rsid w:val="007D1DB8"/>
    <w:rsid w:val="007D4351"/>
    <w:rsid w:val="007D635E"/>
    <w:rsid w:val="007E2092"/>
    <w:rsid w:val="007E4760"/>
    <w:rsid w:val="007E6F46"/>
    <w:rsid w:val="007E7A27"/>
    <w:rsid w:val="00800F1F"/>
    <w:rsid w:val="00806981"/>
    <w:rsid w:val="00825E46"/>
    <w:rsid w:val="00843B5C"/>
    <w:rsid w:val="00851F8B"/>
    <w:rsid w:val="0086525E"/>
    <w:rsid w:val="00875ADF"/>
    <w:rsid w:val="00883144"/>
    <w:rsid w:val="00885A8D"/>
    <w:rsid w:val="008A0004"/>
    <w:rsid w:val="008A04BE"/>
    <w:rsid w:val="008A462C"/>
    <w:rsid w:val="008B05AE"/>
    <w:rsid w:val="008C4DCF"/>
    <w:rsid w:val="008C6533"/>
    <w:rsid w:val="008C6B3D"/>
    <w:rsid w:val="008D1B31"/>
    <w:rsid w:val="008E123A"/>
    <w:rsid w:val="008E3D10"/>
    <w:rsid w:val="008F12CF"/>
    <w:rsid w:val="008F3658"/>
    <w:rsid w:val="008F3A25"/>
    <w:rsid w:val="008F3A53"/>
    <w:rsid w:val="008F40DD"/>
    <w:rsid w:val="00906CA0"/>
    <w:rsid w:val="00915476"/>
    <w:rsid w:val="00921BEA"/>
    <w:rsid w:val="0092644D"/>
    <w:rsid w:val="009301D4"/>
    <w:rsid w:val="00954097"/>
    <w:rsid w:val="00954F5B"/>
    <w:rsid w:val="00964802"/>
    <w:rsid w:val="00966BD4"/>
    <w:rsid w:val="009707B9"/>
    <w:rsid w:val="00973097"/>
    <w:rsid w:val="0097777B"/>
    <w:rsid w:val="00981E03"/>
    <w:rsid w:val="009835F8"/>
    <w:rsid w:val="009837DD"/>
    <w:rsid w:val="00984939"/>
    <w:rsid w:val="009A1DFF"/>
    <w:rsid w:val="009A58C3"/>
    <w:rsid w:val="009B5C5E"/>
    <w:rsid w:val="009B7AC1"/>
    <w:rsid w:val="009D0F3C"/>
    <w:rsid w:val="009D1C28"/>
    <w:rsid w:val="009D2E53"/>
    <w:rsid w:val="009D5CDB"/>
    <w:rsid w:val="009E7644"/>
    <w:rsid w:val="00A0513D"/>
    <w:rsid w:val="00A17E3A"/>
    <w:rsid w:val="00A21868"/>
    <w:rsid w:val="00A27636"/>
    <w:rsid w:val="00A3098F"/>
    <w:rsid w:val="00A40F88"/>
    <w:rsid w:val="00A413E3"/>
    <w:rsid w:val="00A4195B"/>
    <w:rsid w:val="00A43647"/>
    <w:rsid w:val="00A52520"/>
    <w:rsid w:val="00A57C23"/>
    <w:rsid w:val="00A61873"/>
    <w:rsid w:val="00A64779"/>
    <w:rsid w:val="00A76F15"/>
    <w:rsid w:val="00A77678"/>
    <w:rsid w:val="00A77ACA"/>
    <w:rsid w:val="00A77E9C"/>
    <w:rsid w:val="00A81236"/>
    <w:rsid w:val="00A934A5"/>
    <w:rsid w:val="00A94015"/>
    <w:rsid w:val="00A96006"/>
    <w:rsid w:val="00A97EA7"/>
    <w:rsid w:val="00AB1B29"/>
    <w:rsid w:val="00AB2706"/>
    <w:rsid w:val="00AB6A9F"/>
    <w:rsid w:val="00AB6F4D"/>
    <w:rsid w:val="00AC2B66"/>
    <w:rsid w:val="00AC53A8"/>
    <w:rsid w:val="00AD22F5"/>
    <w:rsid w:val="00AD479D"/>
    <w:rsid w:val="00AD48FA"/>
    <w:rsid w:val="00AE164C"/>
    <w:rsid w:val="00AE4638"/>
    <w:rsid w:val="00AE78A7"/>
    <w:rsid w:val="00AF01E3"/>
    <w:rsid w:val="00AF41B6"/>
    <w:rsid w:val="00AF4C49"/>
    <w:rsid w:val="00AF61B4"/>
    <w:rsid w:val="00B205C3"/>
    <w:rsid w:val="00B2116E"/>
    <w:rsid w:val="00B318C8"/>
    <w:rsid w:val="00B32BC8"/>
    <w:rsid w:val="00B44A7F"/>
    <w:rsid w:val="00B6189A"/>
    <w:rsid w:val="00B77D70"/>
    <w:rsid w:val="00B800E1"/>
    <w:rsid w:val="00B815A1"/>
    <w:rsid w:val="00B84BFA"/>
    <w:rsid w:val="00B947BB"/>
    <w:rsid w:val="00B973FC"/>
    <w:rsid w:val="00BB34E9"/>
    <w:rsid w:val="00BB69D9"/>
    <w:rsid w:val="00BC2914"/>
    <w:rsid w:val="00BC4556"/>
    <w:rsid w:val="00BD2B2C"/>
    <w:rsid w:val="00BD3DC9"/>
    <w:rsid w:val="00BD545F"/>
    <w:rsid w:val="00BE2F49"/>
    <w:rsid w:val="00BF0ADD"/>
    <w:rsid w:val="00C016E9"/>
    <w:rsid w:val="00C12860"/>
    <w:rsid w:val="00C205E7"/>
    <w:rsid w:val="00C22E0A"/>
    <w:rsid w:val="00C36D20"/>
    <w:rsid w:val="00C4650A"/>
    <w:rsid w:val="00C47254"/>
    <w:rsid w:val="00C51607"/>
    <w:rsid w:val="00C62B76"/>
    <w:rsid w:val="00C640F0"/>
    <w:rsid w:val="00C71082"/>
    <w:rsid w:val="00C71D47"/>
    <w:rsid w:val="00C82F89"/>
    <w:rsid w:val="00C915BC"/>
    <w:rsid w:val="00C92FEC"/>
    <w:rsid w:val="00C9384F"/>
    <w:rsid w:val="00CD3C70"/>
    <w:rsid w:val="00CD3FF2"/>
    <w:rsid w:val="00CE6C1F"/>
    <w:rsid w:val="00CF42A4"/>
    <w:rsid w:val="00D043F3"/>
    <w:rsid w:val="00D0475B"/>
    <w:rsid w:val="00D0581D"/>
    <w:rsid w:val="00D1687A"/>
    <w:rsid w:val="00D20B64"/>
    <w:rsid w:val="00D20D51"/>
    <w:rsid w:val="00D21680"/>
    <w:rsid w:val="00D30953"/>
    <w:rsid w:val="00D3393E"/>
    <w:rsid w:val="00D40890"/>
    <w:rsid w:val="00D44547"/>
    <w:rsid w:val="00D540C1"/>
    <w:rsid w:val="00D61D52"/>
    <w:rsid w:val="00D631F1"/>
    <w:rsid w:val="00D6616E"/>
    <w:rsid w:val="00D67600"/>
    <w:rsid w:val="00D7462B"/>
    <w:rsid w:val="00D8037F"/>
    <w:rsid w:val="00D857F6"/>
    <w:rsid w:val="00D87459"/>
    <w:rsid w:val="00D91959"/>
    <w:rsid w:val="00DA0518"/>
    <w:rsid w:val="00DB3ADE"/>
    <w:rsid w:val="00DC1AF4"/>
    <w:rsid w:val="00DC66E3"/>
    <w:rsid w:val="00DD3651"/>
    <w:rsid w:val="00DE409E"/>
    <w:rsid w:val="00DF288C"/>
    <w:rsid w:val="00E0453C"/>
    <w:rsid w:val="00E101DC"/>
    <w:rsid w:val="00E14B27"/>
    <w:rsid w:val="00E20D65"/>
    <w:rsid w:val="00E21CDB"/>
    <w:rsid w:val="00E358B4"/>
    <w:rsid w:val="00E366F9"/>
    <w:rsid w:val="00E37363"/>
    <w:rsid w:val="00E37D79"/>
    <w:rsid w:val="00E51612"/>
    <w:rsid w:val="00E51C41"/>
    <w:rsid w:val="00E52A37"/>
    <w:rsid w:val="00E54498"/>
    <w:rsid w:val="00E60B06"/>
    <w:rsid w:val="00E67AF9"/>
    <w:rsid w:val="00E8087A"/>
    <w:rsid w:val="00E81763"/>
    <w:rsid w:val="00E850B9"/>
    <w:rsid w:val="00E91F76"/>
    <w:rsid w:val="00EA04CD"/>
    <w:rsid w:val="00EA157A"/>
    <w:rsid w:val="00EA5987"/>
    <w:rsid w:val="00EB2710"/>
    <w:rsid w:val="00EB4FE8"/>
    <w:rsid w:val="00EB7116"/>
    <w:rsid w:val="00EC0260"/>
    <w:rsid w:val="00EC495B"/>
    <w:rsid w:val="00ED0FCC"/>
    <w:rsid w:val="00EE2DFE"/>
    <w:rsid w:val="00EF5F3D"/>
    <w:rsid w:val="00EF6198"/>
    <w:rsid w:val="00F06CE7"/>
    <w:rsid w:val="00F076AF"/>
    <w:rsid w:val="00F11659"/>
    <w:rsid w:val="00F21528"/>
    <w:rsid w:val="00F25A5D"/>
    <w:rsid w:val="00F25FC1"/>
    <w:rsid w:val="00F26572"/>
    <w:rsid w:val="00F35476"/>
    <w:rsid w:val="00F35CCA"/>
    <w:rsid w:val="00F40EBE"/>
    <w:rsid w:val="00F40F7A"/>
    <w:rsid w:val="00F510E6"/>
    <w:rsid w:val="00F6060E"/>
    <w:rsid w:val="00F62B84"/>
    <w:rsid w:val="00F634F7"/>
    <w:rsid w:val="00F64295"/>
    <w:rsid w:val="00F76FCB"/>
    <w:rsid w:val="00F82DB2"/>
    <w:rsid w:val="00F83CB4"/>
    <w:rsid w:val="00F879F5"/>
    <w:rsid w:val="00F92670"/>
    <w:rsid w:val="00F93F29"/>
    <w:rsid w:val="00FB1622"/>
    <w:rsid w:val="00FC1A74"/>
    <w:rsid w:val="00FC1BDE"/>
    <w:rsid w:val="00FD01BD"/>
    <w:rsid w:val="00FD336E"/>
    <w:rsid w:val="00FE27C6"/>
    <w:rsid w:val="00FE2B77"/>
    <w:rsid w:val="00FE5A92"/>
    <w:rsid w:val="00FF0A91"/>
    <w:rsid w:val="00FF4289"/>
    <w:rsid w:val="00FF7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CA2D0E"/>
  <w15:chartTrackingRefBased/>
  <w15:docId w15:val="{CDD4F4CA-5F4A-4F1B-84AE-95566DC2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93E"/>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33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393E"/>
    <w:pPr>
      <w:spacing w:before="100" w:beforeAutospacing="1" w:after="100" w:afterAutospacing="1" w:line="240" w:lineRule="auto"/>
    </w:pPr>
    <w:rPr>
      <w:sz w:val="24"/>
      <w:szCs w:val="24"/>
    </w:rPr>
  </w:style>
  <w:style w:type="paragraph" w:customStyle="1" w:styleId="textoalinhadoesquerdaespacamentosimples">
    <w:name w:val="texto_alinhado_esquerda_espacamento_simples"/>
    <w:basedOn w:val="Normal"/>
    <w:rsid w:val="00D3393E"/>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D3393E"/>
    <w:pPr>
      <w:tabs>
        <w:tab w:val="center" w:pos="4252"/>
        <w:tab w:val="right" w:pos="8504"/>
      </w:tabs>
      <w:spacing w:line="240" w:lineRule="auto"/>
    </w:pPr>
  </w:style>
  <w:style w:type="character" w:customStyle="1" w:styleId="CabealhoChar">
    <w:name w:val="Cabeçalho Char"/>
    <w:basedOn w:val="Fontepargpadro"/>
    <w:link w:val="Cabealho"/>
    <w:uiPriority w:val="99"/>
    <w:rsid w:val="00D3393E"/>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3393E"/>
    <w:pPr>
      <w:tabs>
        <w:tab w:val="center" w:pos="4252"/>
        <w:tab w:val="right" w:pos="8504"/>
      </w:tabs>
      <w:spacing w:line="240" w:lineRule="auto"/>
    </w:pPr>
  </w:style>
  <w:style w:type="character" w:customStyle="1" w:styleId="RodapChar">
    <w:name w:val="Rodapé Char"/>
    <w:basedOn w:val="Fontepargpadro"/>
    <w:link w:val="Rodap"/>
    <w:uiPriority w:val="99"/>
    <w:rsid w:val="00D3393E"/>
    <w:rPr>
      <w:rFonts w:ascii="Times New Roman" w:eastAsia="Times New Roman" w:hAnsi="Times New Roman" w:cs="Times New Roman"/>
      <w:sz w:val="20"/>
      <w:szCs w:val="20"/>
      <w:lang w:eastAsia="pt-BR"/>
    </w:rPr>
  </w:style>
  <w:style w:type="paragraph" w:customStyle="1" w:styleId="textojustificado">
    <w:name w:val="texto_justificado"/>
    <w:basedOn w:val="Normal"/>
    <w:rsid w:val="000F6C91"/>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360333">
      <w:bodyDiv w:val="1"/>
      <w:marLeft w:val="0"/>
      <w:marRight w:val="0"/>
      <w:marTop w:val="0"/>
      <w:marBottom w:val="0"/>
      <w:divBdr>
        <w:top w:val="none" w:sz="0" w:space="0" w:color="auto"/>
        <w:left w:val="none" w:sz="0" w:space="0" w:color="auto"/>
        <w:bottom w:val="none" w:sz="0" w:space="0" w:color="auto"/>
        <w:right w:val="none" w:sz="0" w:space="0" w:color="auto"/>
      </w:divBdr>
    </w:div>
    <w:div w:id="544216707">
      <w:bodyDiv w:val="1"/>
      <w:marLeft w:val="0"/>
      <w:marRight w:val="0"/>
      <w:marTop w:val="0"/>
      <w:marBottom w:val="0"/>
      <w:divBdr>
        <w:top w:val="none" w:sz="0" w:space="0" w:color="auto"/>
        <w:left w:val="none" w:sz="0" w:space="0" w:color="auto"/>
        <w:bottom w:val="none" w:sz="0" w:space="0" w:color="auto"/>
        <w:right w:val="none" w:sz="0" w:space="0" w:color="auto"/>
      </w:divBdr>
    </w:div>
    <w:div w:id="207797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788</Words>
  <Characters>4257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4</cp:revision>
  <dcterms:created xsi:type="dcterms:W3CDTF">2021-05-13T20:55:00Z</dcterms:created>
  <dcterms:modified xsi:type="dcterms:W3CDTF">2021-05-13T21:22:00Z</dcterms:modified>
</cp:coreProperties>
</file>