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A95428" w:rsidTr="006C07FD">
        <w:trPr>
          <w:trHeight w:val="420"/>
        </w:trPr>
        <w:tc>
          <w:tcPr>
            <w:tcW w:w="16444" w:type="dxa"/>
            <w:gridSpan w:val="9"/>
            <w:shd w:val="clear" w:color="auto" w:fill="2F5496" w:themeFill="accent1" w:themeFillShade="BF"/>
          </w:tcPr>
          <w:p w:rsidR="00A95428" w:rsidRDefault="00A95428" w:rsidP="006C07FD">
            <w:pPr>
              <w:spacing w:before="120" w:after="120" w:line="240" w:lineRule="auto"/>
              <w:contextualSpacing/>
              <w:jc w:val="center"/>
              <w:rPr>
                <w:rFonts w:ascii="Arial" w:hAnsi="Arial" w:cs="Arial"/>
                <w:b/>
                <w:color w:val="FFFFFF" w:themeColor="background1"/>
                <w:sz w:val="18"/>
                <w:szCs w:val="18"/>
              </w:rPr>
            </w:pPr>
            <w:r w:rsidRPr="00333944">
              <w:rPr>
                <w:rFonts w:ascii="Arial" w:hAnsi="Arial" w:cs="Arial"/>
                <w:b/>
                <w:color w:val="FFFFFF" w:themeColor="background1"/>
                <w:sz w:val="18"/>
                <w:szCs w:val="18"/>
              </w:rPr>
              <w:t xml:space="preserve">DECISÕES TOMADAS EM CIRCUITO DELIBERATIVO  </w:t>
            </w:r>
            <w:r>
              <w:rPr>
                <w:rFonts w:ascii="Arial" w:hAnsi="Arial" w:cs="Arial"/>
                <w:b/>
                <w:color w:val="FFFFFF" w:themeColor="background1"/>
                <w:sz w:val="18"/>
                <w:szCs w:val="18"/>
              </w:rPr>
              <w:t>(11</w:t>
            </w:r>
            <w:bookmarkStart w:id="0" w:name="_GoBack"/>
            <w:bookmarkEnd w:id="0"/>
            <w:r>
              <w:rPr>
                <w:rFonts w:ascii="Arial" w:hAnsi="Arial" w:cs="Arial"/>
                <w:b/>
                <w:color w:val="FFFFFF" w:themeColor="background1"/>
                <w:sz w:val="18"/>
                <w:szCs w:val="18"/>
              </w:rPr>
              <w:t xml:space="preserve"> a 17/06/2021)</w:t>
            </w:r>
          </w:p>
          <w:p w:rsidR="00A95428" w:rsidRPr="00333944" w:rsidRDefault="00A95428" w:rsidP="006C07FD">
            <w:pPr>
              <w:spacing w:before="120" w:after="120" w:line="240" w:lineRule="auto"/>
              <w:contextualSpacing/>
              <w:jc w:val="center"/>
              <w:rPr>
                <w:rFonts w:ascii="Arial" w:hAnsi="Arial" w:cs="Arial"/>
                <w:b/>
                <w:sz w:val="18"/>
                <w:szCs w:val="18"/>
              </w:rPr>
            </w:pPr>
          </w:p>
        </w:tc>
      </w:tr>
      <w:tr w:rsidR="00A95428" w:rsidRPr="00065991" w:rsidTr="006C07FD">
        <w:tc>
          <w:tcPr>
            <w:tcW w:w="1276" w:type="dxa"/>
            <w:shd w:val="clear" w:color="auto" w:fill="D5DCE4" w:themeFill="text2" w:themeFillTint="33"/>
          </w:tcPr>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A95428" w:rsidRPr="00333944" w:rsidRDefault="00A95428" w:rsidP="006C07F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A95428" w:rsidRPr="00730873" w:rsidTr="006C07FD">
        <w:tc>
          <w:tcPr>
            <w:tcW w:w="1276" w:type="dxa"/>
            <w:shd w:val="clear" w:color="auto" w:fill="FFFFFF" w:themeFill="background1"/>
          </w:tcPr>
          <w:p w:rsidR="00A95428" w:rsidRPr="00730873" w:rsidRDefault="00A95428" w:rsidP="006C07FD">
            <w:pPr>
              <w:pStyle w:val="textoalinhadoesquerdaespacamentosimples"/>
              <w:jc w:val="center"/>
              <w:rPr>
                <w:rFonts w:ascii="Arial" w:eastAsiaTheme="minorHAnsi" w:hAnsi="Arial" w:cs="Arial"/>
                <w:bCs/>
                <w:sz w:val="18"/>
                <w:szCs w:val="18"/>
                <w:lang w:eastAsia="en-US"/>
              </w:rPr>
            </w:pPr>
            <w:r w:rsidRPr="00730873">
              <w:rPr>
                <w:rFonts w:ascii="Arial" w:eastAsiaTheme="minorHAnsi" w:hAnsi="Arial" w:cs="Arial"/>
                <w:bCs/>
                <w:sz w:val="18"/>
                <w:szCs w:val="18"/>
                <w:lang w:eastAsia="en-US"/>
              </w:rPr>
              <w:t>1128</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730873" w:rsidRDefault="00A95428" w:rsidP="006C07FD">
            <w:pPr>
              <w:pStyle w:val="textoalinhadoesquerdaespacamentosimples"/>
              <w:jc w:val="center"/>
              <w:rPr>
                <w:rFonts w:ascii="Arial" w:eastAsiaTheme="minorHAnsi" w:hAnsi="Arial" w:cs="Arial"/>
                <w:bCs/>
                <w:sz w:val="18"/>
                <w:szCs w:val="18"/>
                <w:lang w:eastAsia="en-US"/>
              </w:rPr>
            </w:pPr>
            <w:r w:rsidRPr="00730873">
              <w:rPr>
                <w:rFonts w:ascii="Arial" w:eastAsiaTheme="minorHAnsi" w:hAnsi="Arial" w:cs="Arial"/>
                <w:bCs/>
                <w:sz w:val="18"/>
                <w:szCs w:val="18"/>
                <w:lang w:eastAsia="en-US"/>
              </w:rPr>
              <w:t>295/2021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730873" w:rsidRDefault="00A95428" w:rsidP="006C07FD">
            <w:pPr>
              <w:pStyle w:val="textoalinhadoesquerdaespacamentosimples"/>
              <w:jc w:val="center"/>
              <w:rPr>
                <w:rFonts w:ascii="Arial" w:eastAsiaTheme="minorHAnsi" w:hAnsi="Arial" w:cs="Arial"/>
                <w:bCs/>
                <w:sz w:val="18"/>
                <w:szCs w:val="18"/>
                <w:lang w:eastAsia="en-US"/>
              </w:rPr>
            </w:pPr>
            <w:r w:rsidRPr="00730873">
              <w:rPr>
                <w:rFonts w:ascii="Arial" w:eastAsiaTheme="minorHAnsi" w:hAnsi="Arial" w:cs="Arial"/>
                <w:bCs/>
                <w:sz w:val="18"/>
                <w:szCs w:val="18"/>
                <w:lang w:eastAsia="en-US"/>
              </w:rPr>
              <w:t>48610.209408/2021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730873">
              <w:rPr>
                <w:rFonts w:ascii="Arial" w:eastAsiaTheme="minorHAnsi" w:hAnsi="Arial" w:cs="Arial"/>
                <w:bCs/>
                <w:sz w:val="18"/>
                <w:szCs w:val="18"/>
                <w:lang w:eastAsia="en-US"/>
              </w:rPr>
              <w:t xml:space="preserve">Afastamento ao exterior do servidor Fabio </w:t>
            </w:r>
            <w:proofErr w:type="spellStart"/>
            <w:r w:rsidRPr="00730873">
              <w:rPr>
                <w:rFonts w:ascii="Arial" w:eastAsiaTheme="minorHAnsi" w:hAnsi="Arial" w:cs="Arial"/>
                <w:bCs/>
                <w:sz w:val="18"/>
                <w:szCs w:val="18"/>
                <w:lang w:eastAsia="en-US"/>
              </w:rPr>
              <w:t>Portnoj</w:t>
            </w:r>
            <w:proofErr w:type="spellEnd"/>
            <w:r w:rsidRPr="00730873">
              <w:rPr>
                <w:rFonts w:ascii="Arial" w:eastAsiaTheme="minorHAnsi" w:hAnsi="Arial" w:cs="Arial"/>
                <w:bCs/>
                <w:sz w:val="18"/>
                <w:szCs w:val="18"/>
                <w:lang w:eastAsia="en-US"/>
              </w:rPr>
              <w:t xml:space="preserve"> Cantinho para participação na OTC Houston 2021</w:t>
            </w:r>
          </w:p>
        </w:tc>
        <w:tc>
          <w:tcPr>
            <w:tcW w:w="850"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AE7139">
              <w:rPr>
                <w:rFonts w:ascii="Arial" w:eastAsiaTheme="minorHAnsi" w:hAnsi="Arial" w:cs="Arial"/>
                <w:bCs/>
                <w:sz w:val="18"/>
                <w:szCs w:val="18"/>
                <w:lang w:eastAsia="en-US"/>
              </w:rPr>
              <w:t>SCI</w:t>
            </w:r>
          </w:p>
        </w:tc>
        <w:tc>
          <w:tcPr>
            <w:tcW w:w="1354" w:type="dxa"/>
            <w:shd w:val="clear" w:color="auto" w:fill="FFFFFF" w:themeFill="background1"/>
          </w:tcPr>
          <w:p w:rsidR="00A95428" w:rsidRPr="00730873" w:rsidRDefault="00A95428" w:rsidP="006C07FD">
            <w:pPr>
              <w:pStyle w:val="textoalinhadoesquerdaespacamentosimples"/>
              <w:jc w:val="center"/>
              <w:rPr>
                <w:rFonts w:ascii="Arial" w:eastAsiaTheme="minorHAnsi" w:hAnsi="Arial" w:cs="Arial"/>
                <w:bCs/>
                <w:sz w:val="18"/>
                <w:szCs w:val="18"/>
                <w:lang w:eastAsia="en-US"/>
              </w:rPr>
            </w:pPr>
            <w:r w:rsidRPr="00730873">
              <w:rPr>
                <w:rFonts w:ascii="Arial" w:eastAsiaTheme="minorHAnsi" w:hAnsi="Arial" w:cs="Arial"/>
                <w:bCs/>
                <w:sz w:val="18"/>
                <w:szCs w:val="18"/>
                <w:lang w:eastAsia="en-US"/>
              </w:rPr>
              <w:t>342/2021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730873" w:rsidRDefault="00A95428" w:rsidP="006C07FD">
            <w:pPr>
              <w:pStyle w:val="textoalinhadoesquerdaespacamentosimples"/>
              <w:jc w:val="center"/>
              <w:rPr>
                <w:rFonts w:ascii="Arial" w:eastAsiaTheme="minorHAnsi" w:hAnsi="Arial" w:cs="Arial"/>
                <w:bCs/>
                <w:sz w:val="18"/>
                <w:szCs w:val="18"/>
                <w:lang w:eastAsia="en-US"/>
              </w:rPr>
            </w:pPr>
            <w:r w:rsidRPr="00730873">
              <w:rPr>
                <w:rFonts w:ascii="Arial" w:eastAsiaTheme="minorHAnsi" w:hAnsi="Arial" w:cs="Arial"/>
                <w:bCs/>
                <w:sz w:val="18"/>
                <w:szCs w:val="18"/>
                <w:lang w:eastAsia="en-US"/>
              </w:rPr>
              <w:t>16/06/2021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D24F7F"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FFFFFF" w:themeFill="background1"/>
          </w:tcPr>
          <w:p w:rsidR="00A95428" w:rsidRPr="00730873"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730873">
              <w:rPr>
                <w:rFonts w:ascii="Arial" w:eastAsiaTheme="minorHAnsi" w:hAnsi="Arial" w:cs="Arial"/>
                <w:bCs/>
                <w:sz w:val="18"/>
                <w:szCs w:val="18"/>
                <w:lang w:eastAsia="en-US"/>
              </w:rPr>
              <w:t xml:space="preserve">A Diretoria da Agência Nacional do Petróleo, Gás Natural e Biocombustíveis - ANP, com base na Proposta de Ação nº 295, de 07 de </w:t>
            </w:r>
            <w:proofErr w:type="gramStart"/>
            <w:r w:rsidRPr="00730873">
              <w:rPr>
                <w:rFonts w:ascii="Arial" w:eastAsiaTheme="minorHAnsi" w:hAnsi="Arial" w:cs="Arial"/>
                <w:bCs/>
                <w:sz w:val="18"/>
                <w:szCs w:val="18"/>
                <w:lang w:eastAsia="en-US"/>
              </w:rPr>
              <w:t>Junho</w:t>
            </w:r>
            <w:proofErr w:type="gramEnd"/>
            <w:r w:rsidRPr="00730873">
              <w:rPr>
                <w:rFonts w:ascii="Arial" w:eastAsiaTheme="minorHAnsi" w:hAnsi="Arial" w:cs="Arial"/>
                <w:bCs/>
                <w:sz w:val="18"/>
                <w:szCs w:val="18"/>
                <w:lang w:eastAsia="en-US"/>
              </w:rPr>
              <w:t xml:space="preserve"> de 2021, resolve:</w:t>
            </w:r>
          </w:p>
          <w:p w:rsidR="00A95428" w:rsidRPr="00EC1AE8"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730873">
              <w:rPr>
                <w:rFonts w:ascii="Arial" w:eastAsiaTheme="minorHAnsi" w:hAnsi="Arial" w:cs="Arial"/>
                <w:bCs/>
                <w:sz w:val="18"/>
                <w:szCs w:val="18"/>
                <w:lang w:eastAsia="en-US"/>
              </w:rPr>
              <w:t xml:space="preserve">Autorizar o afastamento do País do servidor FABIO PORTNOJ CANTINHO, no período de 12 a 20 de agosto de 2021, para participação na Offshore Technology </w:t>
            </w:r>
            <w:proofErr w:type="spellStart"/>
            <w:r w:rsidRPr="00730873">
              <w:rPr>
                <w:rFonts w:ascii="Arial" w:eastAsiaTheme="minorHAnsi" w:hAnsi="Arial" w:cs="Arial"/>
                <w:bCs/>
                <w:sz w:val="18"/>
                <w:szCs w:val="18"/>
                <w:lang w:eastAsia="en-US"/>
              </w:rPr>
              <w:t>Conference</w:t>
            </w:r>
            <w:proofErr w:type="spellEnd"/>
            <w:r w:rsidRPr="00730873">
              <w:rPr>
                <w:rFonts w:ascii="Arial" w:eastAsiaTheme="minorHAnsi" w:hAnsi="Arial" w:cs="Arial"/>
                <w:bCs/>
                <w:sz w:val="18"/>
                <w:szCs w:val="18"/>
                <w:lang w:eastAsia="en-US"/>
              </w:rPr>
              <w:t xml:space="preserve"> - OTC 2021, a ser realizada em Houston, EUA.</w:t>
            </w:r>
          </w:p>
        </w:tc>
      </w:tr>
      <w:tr w:rsidR="00A95428" w:rsidRPr="00730873" w:rsidTr="006C07FD">
        <w:tc>
          <w:tcPr>
            <w:tcW w:w="1276"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1115</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299/2021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48610.216017/2020</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t>Atos de delegação de competência do Diretor-Geral para o seu Gabinete</w:t>
            </w:r>
          </w:p>
        </w:tc>
        <w:tc>
          <w:tcPr>
            <w:tcW w:w="850"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5A690E">
              <w:rPr>
                <w:rFonts w:ascii="Arial" w:eastAsiaTheme="minorHAnsi" w:hAnsi="Arial" w:cs="Arial"/>
                <w:bCs/>
                <w:sz w:val="18"/>
                <w:szCs w:val="18"/>
                <w:lang w:eastAsia="en-US"/>
              </w:rPr>
              <w:t>GAB</w:t>
            </w:r>
          </w:p>
        </w:tc>
        <w:tc>
          <w:tcPr>
            <w:tcW w:w="135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341/2021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15/06/2021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D24F7F"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FFFFFF" w:themeFill="background1"/>
          </w:tcPr>
          <w:p w:rsidR="00A95428" w:rsidRPr="00602FB0"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02FB0">
              <w:rPr>
                <w:rFonts w:ascii="Arial" w:eastAsiaTheme="minorHAnsi" w:hAnsi="Arial" w:cs="Arial"/>
                <w:bCs/>
                <w:sz w:val="18"/>
                <w:szCs w:val="18"/>
                <w:lang w:eastAsia="en-US"/>
              </w:rPr>
              <w:t xml:space="preserve">A Diretoria da Agência Nacional do Petróleo, Gás Natural e Biocombustíveis - ANP, com base na Proposta de Ação nº 299, de 08 de </w:t>
            </w:r>
            <w:proofErr w:type="gramStart"/>
            <w:r w:rsidRPr="00602FB0">
              <w:rPr>
                <w:rFonts w:ascii="Arial" w:eastAsiaTheme="minorHAnsi" w:hAnsi="Arial" w:cs="Arial"/>
                <w:bCs/>
                <w:sz w:val="18"/>
                <w:szCs w:val="18"/>
                <w:lang w:eastAsia="en-US"/>
              </w:rPr>
              <w:t>Junho</w:t>
            </w:r>
            <w:proofErr w:type="gramEnd"/>
            <w:r w:rsidRPr="00602FB0">
              <w:rPr>
                <w:rFonts w:ascii="Arial" w:eastAsiaTheme="minorHAnsi" w:hAnsi="Arial" w:cs="Arial"/>
                <w:bCs/>
                <w:sz w:val="18"/>
                <w:szCs w:val="18"/>
                <w:lang w:eastAsia="en-US"/>
              </w:rPr>
              <w:t xml:space="preserve"> de 2021 e o exposto no processo nº 48610.216017/2020-87, resolve:</w:t>
            </w:r>
          </w:p>
          <w:p w:rsidR="00A95428" w:rsidRPr="00602FB0"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02FB0">
              <w:rPr>
                <w:rFonts w:ascii="Arial" w:eastAsiaTheme="minorHAnsi" w:hAnsi="Arial" w:cs="Arial"/>
                <w:bCs/>
                <w:sz w:val="18"/>
                <w:szCs w:val="18"/>
                <w:lang w:eastAsia="en-US"/>
              </w:rPr>
              <w:t>I) Revogar as Portarias de Pessoal ANP nº 31, de 26 de outubro de 2020 e nº 39, de 12 de fevereiro de 2021; e</w:t>
            </w:r>
          </w:p>
          <w:p w:rsidR="00A95428" w:rsidRPr="00602FB0"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02FB0">
              <w:rPr>
                <w:rFonts w:ascii="Arial" w:eastAsiaTheme="minorHAnsi" w:hAnsi="Arial" w:cs="Arial"/>
                <w:bCs/>
                <w:sz w:val="18"/>
                <w:szCs w:val="18"/>
                <w:lang w:eastAsia="en-US"/>
              </w:rPr>
              <w:t>II) Aprovar minuta de Portaria que designa o Chefe de Gabinete e, nos seus afastamentos e impedimentos legais e regulamentares, a Chefe de Gabinete Substituta para praticar os seguintes atos:</w:t>
            </w:r>
          </w:p>
          <w:p w:rsidR="00A95428" w:rsidRPr="00602FB0"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02FB0">
              <w:rPr>
                <w:rFonts w:ascii="Arial" w:eastAsiaTheme="minorHAnsi" w:hAnsi="Arial" w:cs="Arial"/>
                <w:bCs/>
                <w:sz w:val="18"/>
                <w:szCs w:val="18"/>
                <w:lang w:eastAsia="en-US"/>
              </w:rPr>
              <w:t>i) Autorizar, no Sistema de Concessão de Diárias e Passagens (SCDP), a concessão de diárias, passagens e restituições nacionais e internacionais, concedendo-lhes o perfil ordenador de despesa; e</w:t>
            </w:r>
          </w:p>
          <w:p w:rsidR="00A95428" w:rsidRPr="00EC1AE8"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proofErr w:type="spellStart"/>
            <w:r w:rsidRPr="00602FB0">
              <w:rPr>
                <w:rFonts w:ascii="Arial" w:eastAsiaTheme="minorHAnsi" w:hAnsi="Arial" w:cs="Arial"/>
                <w:bCs/>
                <w:sz w:val="18"/>
                <w:szCs w:val="18"/>
                <w:lang w:eastAsia="en-US"/>
              </w:rPr>
              <w:t>ii</w:t>
            </w:r>
            <w:proofErr w:type="spellEnd"/>
            <w:r w:rsidRPr="00602FB0">
              <w:rPr>
                <w:rFonts w:ascii="Arial" w:eastAsiaTheme="minorHAnsi" w:hAnsi="Arial" w:cs="Arial"/>
                <w:bCs/>
                <w:sz w:val="18"/>
                <w:szCs w:val="18"/>
                <w:lang w:eastAsia="en-US"/>
              </w:rPr>
              <w:t xml:space="preserve">) Aprovar os itens do Plano Anual de Contratações e enviá-los ao Ministério da Economia, por meio do Sistema de Planejamento </w:t>
            </w:r>
            <w:r w:rsidRPr="00602FB0">
              <w:rPr>
                <w:rFonts w:ascii="Arial" w:eastAsiaTheme="minorHAnsi" w:hAnsi="Arial" w:cs="Arial"/>
                <w:bCs/>
                <w:sz w:val="18"/>
                <w:szCs w:val="18"/>
                <w:lang w:eastAsia="en-US"/>
              </w:rPr>
              <w:lastRenderedPageBreak/>
              <w:t>e Gerenciamento de Contratações (PGC), concedendo-lhes o perfil PAC-AUTOR.</w:t>
            </w:r>
          </w:p>
        </w:tc>
      </w:tr>
      <w:tr w:rsidR="00A95428" w:rsidRPr="00E60C2D" w:rsidTr="006C07FD">
        <w:tc>
          <w:tcPr>
            <w:tcW w:w="1276"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lastRenderedPageBreak/>
              <w:t>1112</w:t>
            </w:r>
          </w:p>
        </w:tc>
        <w:tc>
          <w:tcPr>
            <w:tcW w:w="113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287/2021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48600.003368/2017 48620.200703/2019 48620.201766/2019 48630.200407/2019 48650.200129/2019</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EC1AE8" w:rsidRDefault="00A95428" w:rsidP="006C07FD">
            <w:pPr>
              <w:widowControl/>
              <w:adjustRightInd/>
              <w:spacing w:line="240" w:lineRule="auto"/>
              <w:ind w:left="119" w:right="119"/>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Recurso Administrativo - Extrato nº 6469 - Revendedores Varejistas de Combustíveis: AUTO POSTO JF COMÉRCIO DE DERIVADOS DE PETRÓLEO LTDA; AUTO POSTO LENÇONI LTDA; AUTO SERVICO LINDOLFO COLLOR LTDA; POSTO JAPIM COMÉRCIO VAREJISTA DE COMBUSTÍVEIS LTDA; COMERCIAL LE MANS TRANSPORTES E SERVIÇOS LTDA</w:t>
            </w:r>
          </w:p>
        </w:tc>
        <w:tc>
          <w:tcPr>
            <w:tcW w:w="850" w:type="dxa"/>
            <w:shd w:val="clear" w:color="auto" w:fill="FFFFFF" w:themeFill="background1"/>
          </w:tcPr>
          <w:p w:rsidR="00A9542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340/2021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15/06/2021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5C6DB1"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 xml:space="preserve">A Diretoria da Agência Nacional do Petróleo, Gás Natural e Biocombustíveis - ANP, com base na Proposta de Ação nº 287, de 01 de </w:t>
            </w:r>
            <w:proofErr w:type="gramStart"/>
            <w:r w:rsidRPr="005C6DB1">
              <w:rPr>
                <w:rFonts w:ascii="Arial" w:eastAsiaTheme="minorHAnsi" w:hAnsi="Arial" w:cs="Arial"/>
                <w:bCs/>
                <w:sz w:val="18"/>
                <w:szCs w:val="18"/>
                <w:lang w:eastAsia="en-US"/>
              </w:rPr>
              <w:t>Junho</w:t>
            </w:r>
            <w:proofErr w:type="gramEnd"/>
            <w:r w:rsidRPr="005C6DB1">
              <w:rPr>
                <w:rFonts w:ascii="Arial" w:eastAsiaTheme="minorHAnsi" w:hAnsi="Arial" w:cs="Arial"/>
                <w:bCs/>
                <w:sz w:val="18"/>
                <w:szCs w:val="18"/>
                <w:lang w:eastAsia="en-US"/>
              </w:rPr>
              <w:t xml:space="preserve"> de 2021, resolve:</w:t>
            </w:r>
          </w:p>
          <w:p w:rsidR="00A95428" w:rsidRPr="00EC1AE8"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Negar provimento aos recursos administrativos interpostos pelos Revendedores Varejistas de Combustíveis AUTO POSTO JF COMÉRCIO DE DERIVADOS DE PETRÓLEO LTDA, AUTO POSTO LENÇONI LTDA, AUTO SERVICO LINDOLFO COLLOR LTDA, POSTO JAPIM COMÉRCIO VAREJISTA DE COMBUSTÍVEIS LTDA, e COMERCIAL LE MANS TRANSPORTES E SERVIÇOS LTDA, com manutenção integral da decisão de 1ª instância, que determina a aplicação de pena pecuniária.</w:t>
            </w:r>
          </w:p>
        </w:tc>
      </w:tr>
      <w:tr w:rsidR="00A95428" w:rsidRPr="00E60C2D" w:rsidTr="006C07FD">
        <w:tc>
          <w:tcPr>
            <w:tcW w:w="1276"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1113</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285/2021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t>48610.000208/2017 48610.006882/2018 48620.000676/2018 48620.000817/2017 48620.201032/2019 48650.200108/2019</w:t>
            </w:r>
          </w:p>
        </w:tc>
        <w:tc>
          <w:tcPr>
            <w:tcW w:w="2835" w:type="dxa"/>
            <w:shd w:val="clear" w:color="auto" w:fill="FFFFFF" w:themeFill="background1"/>
          </w:tcPr>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t>Recurso Administrativo - Extrato nº 4957 - Revendedores Varejistas de Combustíveis: POSTO DE COMBUSTÍVEIS SORIA LARANJAIS LTDA; POSTO METROPOLITANO LTDA; AUTO POSTO MILLENNIUM II LTDA; AUTO POSTO ÍMOLA DE SANTOS LTDA - EPP; AUTO POSTO FALCÃO LTDA; RESS COMÉRCIO DE COMBUSTÍVEIS E LUBRIFICANTES LTDA</w:t>
            </w:r>
          </w:p>
        </w:tc>
        <w:tc>
          <w:tcPr>
            <w:tcW w:w="850" w:type="dxa"/>
            <w:shd w:val="clear" w:color="auto" w:fill="FFFFFF" w:themeFill="background1"/>
          </w:tcPr>
          <w:p w:rsidR="00A9542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339/2021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t>15/06/2021</w:t>
            </w: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5C6DB1"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 xml:space="preserve">A Diretoria da Agência Nacional do Petróleo, Gás Natural e Biocombustíveis - ANP, com base na Proposta de Ação nº 285, de 01 de </w:t>
            </w:r>
            <w:proofErr w:type="gramStart"/>
            <w:r w:rsidRPr="005C6DB1">
              <w:rPr>
                <w:rFonts w:ascii="Arial" w:eastAsiaTheme="minorHAnsi" w:hAnsi="Arial" w:cs="Arial"/>
                <w:bCs/>
                <w:sz w:val="18"/>
                <w:szCs w:val="18"/>
                <w:lang w:eastAsia="en-US"/>
              </w:rPr>
              <w:t>Junho</w:t>
            </w:r>
            <w:proofErr w:type="gramEnd"/>
            <w:r w:rsidRPr="005C6DB1">
              <w:rPr>
                <w:rFonts w:ascii="Arial" w:eastAsiaTheme="minorHAnsi" w:hAnsi="Arial" w:cs="Arial"/>
                <w:bCs/>
                <w:sz w:val="18"/>
                <w:szCs w:val="18"/>
                <w:lang w:eastAsia="en-US"/>
              </w:rPr>
              <w:t xml:space="preserve"> de 2021, resolve:</w:t>
            </w:r>
          </w:p>
          <w:p w:rsidR="00A95428" w:rsidRPr="00EC1AE8"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Negar provimento aos recursos administrativos interpostos pelos Revendedores Varejistas de Combustíveis POSTO DE COMBUSTÍVEIS SORIA LARANJAIS LTDA; POSTO METROPOLITANO LTDA; AUTO POSTO MILLENNIUM II LTDA; AUTO POSTO ÍMOLA DE SANTOS LTDA - EPP; AUTO POSTO FALCÃO LTDA; e RESS COMÉRCIO DE COMBUSTÍVEIS E LUBRIFICANTES LTDA, com manutenção integral da decisão de 1ª instância, que determina a aplicação de pena pecuniária.</w:t>
            </w:r>
          </w:p>
        </w:tc>
      </w:tr>
      <w:tr w:rsidR="00A95428" w:rsidRPr="00E60C2D" w:rsidTr="006C07FD">
        <w:tc>
          <w:tcPr>
            <w:tcW w:w="1276"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1111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288/2021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48600.001333/2018 48620.000790/2018</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5C6DB1"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 xml:space="preserve">Recurso Administrativo - Extrato nº 6728 - Revendedores Varejista de Combustíveis: AUTO POSTO </w:t>
            </w:r>
            <w:r w:rsidRPr="005C6DB1">
              <w:rPr>
                <w:rFonts w:ascii="Arial" w:eastAsiaTheme="minorHAnsi" w:hAnsi="Arial" w:cs="Arial"/>
                <w:bCs/>
                <w:sz w:val="18"/>
                <w:szCs w:val="18"/>
                <w:lang w:eastAsia="en-US"/>
              </w:rPr>
              <w:lastRenderedPageBreak/>
              <w:t>RUBÃO COMÉRCIO VAREJISTA DE COMBUSTÍVEIS LTDA; POSTO DE SERVIÇOS AUTOMOTIVOS E COMÉRCIO DE COMBUSTÍVEIS MADRI EIRELI</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850" w:type="dxa"/>
            <w:shd w:val="clear" w:color="auto" w:fill="FFFFFF" w:themeFill="background1"/>
          </w:tcPr>
          <w:p w:rsidR="00A9542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lastRenderedPageBreak/>
              <w:t>SFI</w:t>
            </w:r>
          </w:p>
        </w:tc>
        <w:tc>
          <w:tcPr>
            <w:tcW w:w="135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338/2021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15/06/2021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5C6DB1"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 xml:space="preserve">A Diretoria da Agência Nacional do Petróleo, Gás Natural e Biocombustíveis - ANP, com base na </w:t>
            </w:r>
            <w:r w:rsidRPr="005C6DB1">
              <w:rPr>
                <w:rFonts w:ascii="Arial" w:eastAsiaTheme="minorHAnsi" w:hAnsi="Arial" w:cs="Arial"/>
                <w:bCs/>
                <w:sz w:val="18"/>
                <w:szCs w:val="18"/>
                <w:lang w:eastAsia="en-US"/>
              </w:rPr>
              <w:lastRenderedPageBreak/>
              <w:t xml:space="preserve">Proposta de Ação nº 288, de 01 de </w:t>
            </w:r>
            <w:proofErr w:type="gramStart"/>
            <w:r w:rsidRPr="005C6DB1">
              <w:rPr>
                <w:rFonts w:ascii="Arial" w:eastAsiaTheme="minorHAnsi" w:hAnsi="Arial" w:cs="Arial"/>
                <w:bCs/>
                <w:sz w:val="18"/>
                <w:szCs w:val="18"/>
                <w:lang w:eastAsia="en-US"/>
              </w:rPr>
              <w:t>Junho</w:t>
            </w:r>
            <w:proofErr w:type="gramEnd"/>
            <w:r w:rsidRPr="005C6DB1">
              <w:rPr>
                <w:rFonts w:ascii="Arial" w:eastAsiaTheme="minorHAnsi" w:hAnsi="Arial" w:cs="Arial"/>
                <w:bCs/>
                <w:sz w:val="18"/>
                <w:szCs w:val="18"/>
                <w:lang w:eastAsia="en-US"/>
              </w:rPr>
              <w:t xml:space="preserve"> de 2021, resolve:</w:t>
            </w:r>
          </w:p>
          <w:p w:rsidR="00A95428" w:rsidRPr="00EC1AE8"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Negar provimento aos recursos administrativos interpostos pelos Revendedores Varejistas de Combustíveis AUTO POSTO RUBÃO COMÉRCIO VAREJISTA DE COMBUSTÍVEIS LTDA e POSTO DE SERVIÇOS AUTOMOTIVOS E COMÉRCIO DE COMBUSTÍVEIS MADRI EIRELI, devido a intempestividade, com manutenção integral da decisão de 1ª instância, que determina a aplicação de pena pecuniária.</w:t>
            </w:r>
          </w:p>
        </w:tc>
      </w:tr>
      <w:tr w:rsidR="00A95428" w:rsidRPr="00E60C2D" w:rsidTr="006C07FD">
        <w:tc>
          <w:tcPr>
            <w:tcW w:w="1276"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lastRenderedPageBreak/>
              <w:t>1110</w:t>
            </w:r>
          </w:p>
        </w:tc>
        <w:tc>
          <w:tcPr>
            <w:tcW w:w="113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262/2021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t>48600.000076/2019 48600.001993/2018 48600.002020/2017 48611.000704/2018 48620.000041/2018</w:t>
            </w:r>
          </w:p>
        </w:tc>
        <w:tc>
          <w:tcPr>
            <w:tcW w:w="2835" w:type="dxa"/>
            <w:shd w:val="clear" w:color="auto" w:fill="FFFFFF" w:themeFill="background1"/>
          </w:tcPr>
          <w:p w:rsidR="00A95428" w:rsidRPr="005C6DB1"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Recurso Administrativo - Extrato nº 5025 - Revendedores Varejistas de Combustíveis: COMERCIAL DE COMBUSTÍVEIS ARENÁPOLIS LTDA; ALA COMÉRCIO DE COMBUSTÍVEIS E DERIVADOS LTDA EPP; AUTO POSTO CARRETEIRO LTDA; JATOBÁ COMBUSTÍVEIS LTDA; AUTO POSTO AEROGAS EIRELI</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850" w:type="dxa"/>
            <w:shd w:val="clear" w:color="auto" w:fill="FFFFFF" w:themeFill="background1"/>
          </w:tcPr>
          <w:p w:rsidR="00A9542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337/2021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t>15/06/2021</w:t>
            </w: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5C6DB1"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 xml:space="preserve">A Diretoria da Agência Nacional do Petróleo, Gás Natural e Biocombustíveis - ANP, com base na Proposta de Ação nº 262, de 26 de </w:t>
            </w:r>
            <w:proofErr w:type="gramStart"/>
            <w:r w:rsidRPr="005C6DB1">
              <w:rPr>
                <w:rFonts w:ascii="Arial" w:eastAsiaTheme="minorHAnsi" w:hAnsi="Arial" w:cs="Arial"/>
                <w:bCs/>
                <w:sz w:val="18"/>
                <w:szCs w:val="18"/>
                <w:lang w:eastAsia="en-US"/>
              </w:rPr>
              <w:t>Maio</w:t>
            </w:r>
            <w:proofErr w:type="gramEnd"/>
            <w:r w:rsidRPr="005C6DB1">
              <w:rPr>
                <w:rFonts w:ascii="Arial" w:eastAsiaTheme="minorHAnsi" w:hAnsi="Arial" w:cs="Arial"/>
                <w:bCs/>
                <w:sz w:val="18"/>
                <w:szCs w:val="18"/>
                <w:lang w:eastAsia="en-US"/>
              </w:rPr>
              <w:t xml:space="preserve"> de 2021, resolve:</w:t>
            </w:r>
          </w:p>
          <w:p w:rsidR="00A95428" w:rsidRPr="00EC1AE8"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C6DB1">
              <w:rPr>
                <w:rFonts w:ascii="Arial" w:eastAsiaTheme="minorHAnsi" w:hAnsi="Arial" w:cs="Arial"/>
                <w:bCs/>
                <w:sz w:val="18"/>
                <w:szCs w:val="18"/>
                <w:lang w:eastAsia="en-US"/>
              </w:rPr>
              <w:t>Negar provimento aos recursos administrativos interpostos pelos Revendedores Varejistas COMERCIAL DE COMBUSTÍVEIS ARENÁPOLIS LTDA; ALA COMÉRCIO DE COMBUSTÍVEIS E DERIVADOS LTDA EPP; AUTO POSTO CARRETEIRO LTDA; JATOBÁ COMBUSTÍVEIS LTDA.; e AUTO POSTO AEROGAS EIRELI, com manutenção integral da decisão de 1ª instância, que determina a aplicação de pena pecuniária.</w:t>
            </w:r>
          </w:p>
        </w:tc>
      </w:tr>
      <w:tr w:rsidR="00A95428" w:rsidRPr="00E60C2D" w:rsidTr="006C07FD">
        <w:tc>
          <w:tcPr>
            <w:tcW w:w="1276"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1109</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261/2021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t>48600.001790/2018 48600.003705/2017 48610.203770/2018 48611.000922/2017 48611.001029/2017 48611.001317/2018 48611.001517/2018</w:t>
            </w:r>
          </w:p>
        </w:tc>
        <w:tc>
          <w:tcPr>
            <w:tcW w:w="2835" w:type="dxa"/>
            <w:shd w:val="clear" w:color="auto" w:fill="FFFFFF" w:themeFill="background1"/>
          </w:tcPr>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t xml:space="preserve">Recurso Administrativo - Extrato nº 5319 - Revendedores Varejistas de Combustíveis: CENTRO COMERCIAL DE COMBUSTÍVEIS MINAS PALMARES LTDA; AUTO POSTO DOHA LTDA; POSTO DE GASOLINA VILA TURISMO LTDA; AUTO POSTO ORIENTE LTDA; ITABUNA COMERCIO DE DERIVADOS DE PETRÓLEO LTDA; HMB </w:t>
            </w:r>
            <w:r w:rsidRPr="00E60C2D">
              <w:rPr>
                <w:rFonts w:ascii="Arial" w:eastAsiaTheme="minorHAnsi" w:hAnsi="Arial" w:cs="Arial"/>
                <w:bCs/>
                <w:sz w:val="18"/>
                <w:szCs w:val="18"/>
                <w:lang w:eastAsia="en-US"/>
              </w:rPr>
              <w:lastRenderedPageBreak/>
              <w:t>COMBUSTÍVEIS LUBRIFICANTES E CONVENIÊNCIA EPP; BARBOSA TORRES COMÉRCIO DE DERIVADOS DE PETRÓLEO LTDA</w:t>
            </w:r>
          </w:p>
        </w:tc>
        <w:tc>
          <w:tcPr>
            <w:tcW w:w="850" w:type="dxa"/>
            <w:shd w:val="clear" w:color="auto" w:fill="FFFFFF" w:themeFill="background1"/>
          </w:tcPr>
          <w:p w:rsidR="00A9542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lastRenderedPageBreak/>
              <w:t>SFI</w:t>
            </w:r>
          </w:p>
        </w:tc>
        <w:tc>
          <w:tcPr>
            <w:tcW w:w="1354"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60C2D">
              <w:rPr>
                <w:rFonts w:ascii="Arial" w:eastAsiaTheme="minorHAnsi" w:hAnsi="Arial" w:cs="Arial"/>
                <w:bCs/>
                <w:sz w:val="18"/>
                <w:szCs w:val="18"/>
                <w:lang w:eastAsia="en-US"/>
              </w:rPr>
              <w:t>336/2021</w:t>
            </w:r>
          </w:p>
        </w:tc>
        <w:tc>
          <w:tcPr>
            <w:tcW w:w="1275" w:type="dxa"/>
            <w:shd w:val="clear" w:color="auto" w:fill="FFFFFF" w:themeFill="background1"/>
          </w:tcPr>
          <w:p w:rsidR="00A95428" w:rsidRPr="00E60C2D" w:rsidRDefault="00A95428" w:rsidP="006C07FD">
            <w:pPr>
              <w:pStyle w:val="textoalinhadoesquerdaespacamentosimples"/>
              <w:jc w:val="center"/>
              <w:rPr>
                <w:rFonts w:ascii="Arial" w:eastAsiaTheme="minorHAnsi" w:hAnsi="Arial" w:cs="Arial"/>
                <w:bCs/>
                <w:sz w:val="18"/>
                <w:szCs w:val="18"/>
                <w:lang w:eastAsia="en-US"/>
              </w:rPr>
            </w:pPr>
            <w:r w:rsidRPr="00E60C2D">
              <w:rPr>
                <w:rFonts w:ascii="Arial" w:eastAsiaTheme="minorHAnsi" w:hAnsi="Arial" w:cs="Arial"/>
                <w:bCs/>
                <w:sz w:val="18"/>
                <w:szCs w:val="18"/>
                <w:lang w:eastAsia="en-US"/>
              </w:rPr>
              <w:t>15/06/2021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CA71BA"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CA71BA">
              <w:rPr>
                <w:rFonts w:ascii="Arial" w:eastAsiaTheme="minorHAnsi" w:hAnsi="Arial" w:cs="Arial"/>
                <w:bCs/>
                <w:sz w:val="18"/>
                <w:szCs w:val="18"/>
                <w:lang w:eastAsia="en-US"/>
              </w:rPr>
              <w:t xml:space="preserve">A Diretoria da Agência Nacional do Petróleo, Gás Natural e Biocombustíveis - ANP, com base na Proposta de Ação nº 261, de 26 de </w:t>
            </w:r>
            <w:proofErr w:type="gramStart"/>
            <w:r w:rsidRPr="00CA71BA">
              <w:rPr>
                <w:rFonts w:ascii="Arial" w:eastAsiaTheme="minorHAnsi" w:hAnsi="Arial" w:cs="Arial"/>
                <w:bCs/>
                <w:sz w:val="18"/>
                <w:szCs w:val="18"/>
                <w:lang w:eastAsia="en-US"/>
              </w:rPr>
              <w:t>Maio</w:t>
            </w:r>
            <w:proofErr w:type="gramEnd"/>
            <w:r w:rsidRPr="00CA71BA">
              <w:rPr>
                <w:rFonts w:ascii="Arial" w:eastAsiaTheme="minorHAnsi" w:hAnsi="Arial" w:cs="Arial"/>
                <w:bCs/>
                <w:sz w:val="18"/>
                <w:szCs w:val="18"/>
                <w:lang w:eastAsia="en-US"/>
              </w:rPr>
              <w:t xml:space="preserve"> de 2021, resolve:</w:t>
            </w:r>
          </w:p>
          <w:p w:rsidR="00A95428" w:rsidRPr="00CA71BA"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CA71BA">
              <w:rPr>
                <w:rFonts w:ascii="Arial" w:eastAsiaTheme="minorHAnsi" w:hAnsi="Arial" w:cs="Arial"/>
                <w:bCs/>
                <w:sz w:val="18"/>
                <w:szCs w:val="18"/>
                <w:lang w:eastAsia="en-US"/>
              </w:rPr>
              <w:t xml:space="preserve">Negar provimento aos recursos administrativos interpostos pelos Revendedores Varejistas CENTRO COMERCIAL DE COMBUSTÍVEIS MINAS PALMARES LTDA; AUTO POSTO DOHA LTDA; POSTO DE GASOLINA VILA TURISMO LTDA; AUTO POSTO ORIENTE LTDA; ITABUNA COMÉRCIO DE DERIVADOS DE PETRÓLEO </w:t>
            </w:r>
            <w:r w:rsidRPr="00CA71BA">
              <w:rPr>
                <w:rFonts w:ascii="Arial" w:eastAsiaTheme="minorHAnsi" w:hAnsi="Arial" w:cs="Arial"/>
                <w:bCs/>
                <w:sz w:val="18"/>
                <w:szCs w:val="18"/>
                <w:lang w:eastAsia="en-US"/>
              </w:rPr>
              <w:lastRenderedPageBreak/>
              <w:t>LTDA; HMB COMBUSTÍVEIS LUBRIFICANTES E CONVENIÊNCIA EPP; e BARBOSA TORRES COMÉRCIO DE DERIVADOS DE PETRÓLEO LTDA, com manutenção integral da decisão de 1ª instância, que determina a aplicação de pena pecuniária.</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r>
      <w:tr w:rsidR="00A95428" w:rsidRPr="00EC1AE8" w:rsidTr="006C07FD">
        <w:tc>
          <w:tcPr>
            <w:tcW w:w="1276" w:type="dxa"/>
            <w:shd w:val="clear" w:color="auto" w:fill="FFFFFF" w:themeFill="background1"/>
          </w:tcPr>
          <w:p w:rsidR="00A95428" w:rsidRPr="00E26B5B" w:rsidRDefault="00A95428" w:rsidP="006C07FD">
            <w:pPr>
              <w:pStyle w:val="textoalinhadoesquerdaespacamentosimples"/>
              <w:jc w:val="center"/>
              <w:rPr>
                <w:rFonts w:ascii="Arial" w:eastAsiaTheme="minorHAnsi" w:hAnsi="Arial" w:cs="Arial"/>
                <w:bCs/>
                <w:sz w:val="18"/>
                <w:szCs w:val="18"/>
                <w:lang w:eastAsia="en-US"/>
              </w:rPr>
            </w:pPr>
            <w:r w:rsidRPr="00E26B5B">
              <w:rPr>
                <w:rFonts w:ascii="Arial" w:eastAsiaTheme="minorHAnsi" w:hAnsi="Arial" w:cs="Arial"/>
                <w:bCs/>
                <w:sz w:val="18"/>
                <w:szCs w:val="18"/>
                <w:lang w:eastAsia="en-US"/>
              </w:rPr>
              <w:lastRenderedPageBreak/>
              <w:t>1108</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E26B5B" w:rsidRDefault="00A95428" w:rsidP="006C07FD">
            <w:pPr>
              <w:pStyle w:val="textoalinhadoesquerdaespacamentosimples"/>
              <w:jc w:val="center"/>
              <w:rPr>
                <w:rFonts w:ascii="Arial" w:eastAsiaTheme="minorHAnsi" w:hAnsi="Arial" w:cs="Arial"/>
                <w:bCs/>
                <w:sz w:val="18"/>
                <w:szCs w:val="18"/>
                <w:lang w:eastAsia="en-US"/>
              </w:rPr>
            </w:pPr>
            <w:r w:rsidRPr="00E26B5B">
              <w:rPr>
                <w:rFonts w:ascii="Arial" w:eastAsiaTheme="minorHAnsi" w:hAnsi="Arial" w:cs="Arial"/>
                <w:bCs/>
                <w:sz w:val="18"/>
                <w:szCs w:val="18"/>
                <w:lang w:eastAsia="en-US"/>
              </w:rPr>
              <w:t>286/2021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E26B5B" w:rsidRDefault="00A95428" w:rsidP="006C07FD">
            <w:pPr>
              <w:pStyle w:val="textoalinhadoesquerdaespacamentosimples"/>
              <w:jc w:val="center"/>
              <w:rPr>
                <w:rFonts w:ascii="Arial" w:eastAsiaTheme="minorHAnsi" w:hAnsi="Arial" w:cs="Arial"/>
                <w:bCs/>
                <w:sz w:val="18"/>
                <w:szCs w:val="18"/>
                <w:lang w:eastAsia="en-US"/>
              </w:rPr>
            </w:pPr>
            <w:r w:rsidRPr="00E26B5B">
              <w:rPr>
                <w:rFonts w:ascii="Arial" w:eastAsiaTheme="minorHAnsi" w:hAnsi="Arial" w:cs="Arial"/>
                <w:bCs/>
                <w:sz w:val="18"/>
                <w:szCs w:val="18"/>
                <w:lang w:eastAsia="en-US"/>
              </w:rPr>
              <w:t>48620.001560/2014</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26B5B">
              <w:rPr>
                <w:rFonts w:ascii="Arial" w:eastAsiaTheme="minorHAnsi" w:hAnsi="Arial" w:cs="Arial"/>
                <w:bCs/>
                <w:sz w:val="18"/>
                <w:szCs w:val="18"/>
                <w:lang w:eastAsia="en-US"/>
              </w:rPr>
              <w:t>Recurso Administrativo - Extrato nº 7437 - Distribuidor de Combustíveis Líquidos: FLÓRIDA DISTRIBUIDORA DE PETRÓLEO LTDA</w:t>
            </w:r>
          </w:p>
        </w:tc>
        <w:tc>
          <w:tcPr>
            <w:tcW w:w="850" w:type="dxa"/>
            <w:shd w:val="clear" w:color="auto" w:fill="FFFFFF" w:themeFill="background1"/>
          </w:tcPr>
          <w:p w:rsidR="00A9542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FFFFFF" w:themeFill="background1"/>
          </w:tcPr>
          <w:p w:rsidR="00A95428" w:rsidRPr="00E26B5B" w:rsidRDefault="00A95428" w:rsidP="006C07FD">
            <w:pPr>
              <w:pStyle w:val="textoalinhadoesquerdaespacamentosimples"/>
              <w:jc w:val="center"/>
              <w:rPr>
                <w:rFonts w:ascii="Arial" w:eastAsiaTheme="minorHAnsi" w:hAnsi="Arial" w:cs="Arial"/>
                <w:bCs/>
                <w:sz w:val="18"/>
                <w:szCs w:val="18"/>
                <w:lang w:eastAsia="en-US"/>
              </w:rPr>
            </w:pPr>
            <w:r w:rsidRPr="00E26B5B">
              <w:rPr>
                <w:rFonts w:ascii="Arial" w:eastAsiaTheme="minorHAnsi" w:hAnsi="Arial" w:cs="Arial"/>
                <w:bCs/>
                <w:sz w:val="18"/>
                <w:szCs w:val="18"/>
                <w:lang w:eastAsia="en-US"/>
              </w:rPr>
              <w:t>335/2021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26B5B">
              <w:rPr>
                <w:rFonts w:ascii="Arial" w:eastAsiaTheme="minorHAnsi" w:hAnsi="Arial" w:cs="Arial"/>
                <w:bCs/>
                <w:sz w:val="18"/>
                <w:szCs w:val="18"/>
                <w:lang w:eastAsia="en-US"/>
              </w:rPr>
              <w:t>14/06/2021</w:t>
            </w: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04188A"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04188A">
              <w:rPr>
                <w:rFonts w:ascii="Arial" w:eastAsiaTheme="minorHAnsi" w:hAnsi="Arial" w:cs="Arial"/>
                <w:bCs/>
                <w:sz w:val="18"/>
                <w:szCs w:val="18"/>
                <w:lang w:eastAsia="en-US"/>
              </w:rPr>
              <w:t xml:space="preserve">A Diretoria da Agência Nacional do Petróleo, Gás Natural e Biocombustíveis - ANP, com base na Proposta de Ação nº 286, de 01 de </w:t>
            </w:r>
            <w:proofErr w:type="gramStart"/>
            <w:r w:rsidRPr="0004188A">
              <w:rPr>
                <w:rFonts w:ascii="Arial" w:eastAsiaTheme="minorHAnsi" w:hAnsi="Arial" w:cs="Arial"/>
                <w:bCs/>
                <w:sz w:val="18"/>
                <w:szCs w:val="18"/>
                <w:lang w:eastAsia="en-US"/>
              </w:rPr>
              <w:t>Junho</w:t>
            </w:r>
            <w:proofErr w:type="gramEnd"/>
            <w:r w:rsidRPr="0004188A">
              <w:rPr>
                <w:rFonts w:ascii="Arial" w:eastAsiaTheme="minorHAnsi" w:hAnsi="Arial" w:cs="Arial"/>
                <w:bCs/>
                <w:sz w:val="18"/>
                <w:szCs w:val="18"/>
                <w:lang w:eastAsia="en-US"/>
              </w:rPr>
              <w:t xml:space="preserve"> de 2021, resolve:</w:t>
            </w:r>
          </w:p>
          <w:p w:rsidR="00A95428" w:rsidRPr="00EC1AE8"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04188A">
              <w:rPr>
                <w:rFonts w:ascii="Arial" w:eastAsiaTheme="minorHAnsi" w:hAnsi="Arial" w:cs="Arial"/>
                <w:bCs/>
                <w:sz w:val="18"/>
                <w:szCs w:val="18"/>
                <w:lang w:eastAsia="en-US"/>
              </w:rPr>
              <w:t>Negar provimento ao pedido de revisão interposto pelo Distribuidor de Combustíveis Líquidos FLÓRIDA DISTRIBUIDORA DE PETRÓLEO LTDA, com manutenção integral da decisão de 1ª instância, que determina a aplicação de pena pecuniária e pena de revogação de sua autorização (já aplicada).</w:t>
            </w:r>
          </w:p>
        </w:tc>
      </w:tr>
      <w:tr w:rsidR="00A95428" w:rsidRPr="00EC1AE8" w:rsidTr="006C07FD">
        <w:tc>
          <w:tcPr>
            <w:tcW w:w="1276" w:type="dxa"/>
            <w:shd w:val="clear" w:color="auto" w:fill="FFFFFF" w:themeFill="background1"/>
          </w:tcPr>
          <w:p w:rsidR="00A95428" w:rsidRPr="00E26B5B" w:rsidRDefault="00A95428" w:rsidP="006C07FD">
            <w:pPr>
              <w:pStyle w:val="textoalinhadoesquerdaespacamentosimples"/>
              <w:jc w:val="center"/>
              <w:rPr>
                <w:rFonts w:ascii="Arial" w:eastAsiaTheme="minorHAnsi" w:hAnsi="Arial" w:cs="Arial"/>
                <w:bCs/>
                <w:sz w:val="18"/>
                <w:szCs w:val="18"/>
                <w:lang w:eastAsia="en-US"/>
              </w:rPr>
            </w:pPr>
            <w:r w:rsidRPr="00E26B5B">
              <w:rPr>
                <w:rFonts w:ascii="Arial" w:eastAsiaTheme="minorHAnsi" w:hAnsi="Arial" w:cs="Arial"/>
                <w:bCs/>
                <w:sz w:val="18"/>
                <w:szCs w:val="18"/>
                <w:lang w:eastAsia="en-US"/>
              </w:rPr>
              <w:t>1107</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E26B5B" w:rsidRDefault="00A95428" w:rsidP="006C07FD">
            <w:pPr>
              <w:pStyle w:val="textoalinhadoesquerdaespacamentosimples"/>
              <w:jc w:val="center"/>
              <w:rPr>
                <w:rFonts w:ascii="Arial" w:eastAsiaTheme="minorHAnsi" w:hAnsi="Arial" w:cs="Arial"/>
                <w:bCs/>
                <w:sz w:val="18"/>
                <w:szCs w:val="18"/>
                <w:lang w:eastAsia="en-US"/>
              </w:rPr>
            </w:pPr>
            <w:r w:rsidRPr="00E26B5B">
              <w:rPr>
                <w:rFonts w:ascii="Arial" w:eastAsiaTheme="minorHAnsi" w:hAnsi="Arial" w:cs="Arial"/>
                <w:bCs/>
                <w:sz w:val="18"/>
                <w:szCs w:val="18"/>
                <w:lang w:eastAsia="en-US"/>
              </w:rPr>
              <w:t>289/2021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E26B5B" w:rsidRDefault="00A95428" w:rsidP="006C07FD">
            <w:pPr>
              <w:pStyle w:val="textoalinhadoesquerdaespacamentosimples"/>
              <w:jc w:val="center"/>
              <w:rPr>
                <w:rFonts w:ascii="Arial" w:eastAsiaTheme="minorHAnsi" w:hAnsi="Arial" w:cs="Arial"/>
                <w:bCs/>
                <w:sz w:val="18"/>
                <w:szCs w:val="18"/>
                <w:lang w:eastAsia="en-US"/>
              </w:rPr>
            </w:pPr>
            <w:r w:rsidRPr="00E26B5B">
              <w:rPr>
                <w:rFonts w:ascii="Arial" w:eastAsiaTheme="minorHAnsi" w:hAnsi="Arial" w:cs="Arial"/>
                <w:bCs/>
                <w:sz w:val="18"/>
                <w:szCs w:val="18"/>
                <w:lang w:eastAsia="en-US"/>
              </w:rPr>
              <w:t>48620.000410/2017 48620.000415/2016 48620.000472/2018</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26B5B">
              <w:rPr>
                <w:rFonts w:ascii="Arial" w:eastAsiaTheme="minorHAnsi" w:hAnsi="Arial" w:cs="Arial"/>
                <w:bCs/>
                <w:sz w:val="18"/>
                <w:szCs w:val="18"/>
                <w:lang w:eastAsia="en-US"/>
              </w:rPr>
              <w:t>Recurso Administrativo - Extrato nº 6340 - Revendedores Varejista de Combustíveis: AUTO POSTO NOVO TUCURUVI; AUTO POSTO ANDRADE ROSA LTDA; AUTO POSTO MC DE ITAQUA LTDA</w:t>
            </w:r>
          </w:p>
        </w:tc>
        <w:tc>
          <w:tcPr>
            <w:tcW w:w="850" w:type="dxa"/>
            <w:shd w:val="clear" w:color="auto" w:fill="FFFFFF" w:themeFill="background1"/>
          </w:tcPr>
          <w:p w:rsidR="00A9542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FFFFFF" w:themeFill="background1"/>
          </w:tcPr>
          <w:p w:rsidR="00A95428" w:rsidRPr="00E26B5B" w:rsidRDefault="00A95428" w:rsidP="006C07FD">
            <w:pPr>
              <w:pStyle w:val="textoalinhadoesquerdaespacamentosimples"/>
              <w:jc w:val="center"/>
              <w:rPr>
                <w:rFonts w:ascii="Arial" w:eastAsiaTheme="minorHAnsi" w:hAnsi="Arial" w:cs="Arial"/>
                <w:bCs/>
                <w:sz w:val="18"/>
                <w:szCs w:val="18"/>
                <w:lang w:eastAsia="en-US"/>
              </w:rPr>
            </w:pPr>
            <w:r w:rsidRPr="00E26B5B">
              <w:rPr>
                <w:rFonts w:ascii="Arial" w:eastAsiaTheme="minorHAnsi" w:hAnsi="Arial" w:cs="Arial"/>
                <w:bCs/>
                <w:sz w:val="18"/>
                <w:szCs w:val="18"/>
                <w:lang w:eastAsia="en-US"/>
              </w:rPr>
              <w:t>334/2021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14/06/2021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04188A"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04188A">
              <w:rPr>
                <w:rFonts w:ascii="Arial" w:eastAsiaTheme="minorHAnsi" w:hAnsi="Arial" w:cs="Arial"/>
                <w:bCs/>
                <w:sz w:val="18"/>
                <w:szCs w:val="18"/>
                <w:lang w:eastAsia="en-US"/>
              </w:rPr>
              <w:t xml:space="preserve">A Diretoria da Agência Nacional do Petróleo, Gás Natural e Biocombustíveis - ANP, com base na Proposta de Ação nº 289, de 01 de </w:t>
            </w:r>
            <w:proofErr w:type="gramStart"/>
            <w:r w:rsidRPr="0004188A">
              <w:rPr>
                <w:rFonts w:ascii="Arial" w:eastAsiaTheme="minorHAnsi" w:hAnsi="Arial" w:cs="Arial"/>
                <w:bCs/>
                <w:sz w:val="18"/>
                <w:szCs w:val="18"/>
                <w:lang w:eastAsia="en-US"/>
              </w:rPr>
              <w:t>Junho</w:t>
            </w:r>
            <w:proofErr w:type="gramEnd"/>
            <w:r w:rsidRPr="0004188A">
              <w:rPr>
                <w:rFonts w:ascii="Arial" w:eastAsiaTheme="minorHAnsi" w:hAnsi="Arial" w:cs="Arial"/>
                <w:bCs/>
                <w:sz w:val="18"/>
                <w:szCs w:val="18"/>
                <w:lang w:eastAsia="en-US"/>
              </w:rPr>
              <w:t xml:space="preserve"> de 2021, resolve:</w:t>
            </w:r>
          </w:p>
          <w:p w:rsidR="00A95428" w:rsidRPr="00EC1AE8"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04188A">
              <w:rPr>
                <w:rFonts w:ascii="Arial" w:eastAsiaTheme="minorHAnsi" w:hAnsi="Arial" w:cs="Arial"/>
                <w:bCs/>
                <w:sz w:val="18"/>
                <w:szCs w:val="18"/>
                <w:lang w:eastAsia="en-US"/>
              </w:rPr>
              <w:t>Dar Provimento parcial aos pedidos de revisão interpostos pelos Revendedores Varejistas de Combustíveis AUTO POSTO NOVO TUCURUVI, AUTO POSTO ANDRADE ROSA LTDA e AUTO POSTO MC DE ITAQUA LTDA, com redução no valor da multa aplicada.</w:t>
            </w:r>
          </w:p>
        </w:tc>
      </w:tr>
      <w:tr w:rsidR="00A95428" w:rsidRPr="00EC1AE8" w:rsidTr="006C07FD">
        <w:tc>
          <w:tcPr>
            <w:tcW w:w="1276"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1099</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231/2021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48610.011250/2014</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Nomeação e Exoneração de Servidor - SAG</w:t>
            </w:r>
          </w:p>
        </w:tc>
        <w:tc>
          <w:tcPr>
            <w:tcW w:w="850"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5460B9">
              <w:rPr>
                <w:rFonts w:ascii="Arial" w:eastAsiaTheme="minorHAnsi" w:hAnsi="Arial" w:cs="Arial"/>
                <w:bCs/>
                <w:sz w:val="18"/>
                <w:szCs w:val="18"/>
                <w:lang w:eastAsia="en-US"/>
              </w:rPr>
              <w:t>SGP</w:t>
            </w:r>
          </w:p>
        </w:tc>
        <w:tc>
          <w:tcPr>
            <w:tcW w:w="1354"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333/2021</w:t>
            </w:r>
          </w:p>
        </w:tc>
        <w:tc>
          <w:tcPr>
            <w:tcW w:w="1275"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14/06/2021</w:t>
            </w:r>
          </w:p>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EC1AE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J</w:t>
            </w:r>
            <w:r w:rsidRPr="005460B9">
              <w:rPr>
                <w:rFonts w:ascii="Arial" w:eastAsiaTheme="minorHAnsi" w:hAnsi="Arial" w:cs="Arial"/>
                <w:bCs/>
                <w:sz w:val="18"/>
                <w:szCs w:val="18"/>
                <w:lang w:eastAsia="en-US"/>
              </w:rPr>
              <w:t>o</w:t>
            </w:r>
            <w:r>
              <w:rPr>
                <w:rFonts w:ascii="Arial" w:eastAsiaTheme="minorHAnsi" w:hAnsi="Arial" w:cs="Arial"/>
                <w:bCs/>
                <w:sz w:val="18"/>
                <w:szCs w:val="18"/>
                <w:lang w:eastAsia="en-US"/>
              </w:rPr>
              <w:t>sé</w:t>
            </w:r>
            <w:r w:rsidRPr="005460B9">
              <w:rPr>
                <w:rFonts w:ascii="Arial" w:eastAsiaTheme="minorHAnsi" w:hAnsi="Arial" w:cs="Arial"/>
                <w:bCs/>
                <w:sz w:val="18"/>
                <w:szCs w:val="18"/>
                <w:lang w:eastAsia="en-US"/>
              </w:rPr>
              <w:t xml:space="preserve"> </w:t>
            </w:r>
            <w:proofErr w:type="spellStart"/>
            <w:r w:rsidRPr="005460B9">
              <w:rPr>
                <w:rFonts w:ascii="Arial" w:eastAsiaTheme="minorHAnsi" w:hAnsi="Arial" w:cs="Arial"/>
                <w:bCs/>
                <w:sz w:val="18"/>
                <w:szCs w:val="18"/>
                <w:lang w:eastAsia="en-US"/>
              </w:rPr>
              <w:t>Cecchi</w:t>
            </w:r>
            <w:proofErr w:type="spellEnd"/>
          </w:p>
        </w:tc>
        <w:tc>
          <w:tcPr>
            <w:tcW w:w="4395" w:type="dxa"/>
            <w:shd w:val="clear" w:color="auto" w:fill="FFFFFF" w:themeFill="background1"/>
          </w:tcPr>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 xml:space="preserve">A </w:t>
            </w:r>
            <w:r w:rsidRPr="00EC1AE8">
              <w:rPr>
                <w:rFonts w:ascii="Arial" w:eastAsiaTheme="minorHAnsi" w:hAnsi="Arial" w:cs="Arial"/>
                <w:bCs/>
                <w:sz w:val="18"/>
                <w:szCs w:val="18"/>
                <w:lang w:eastAsia="en-US"/>
              </w:rPr>
              <w:t xml:space="preserve">Diretoria da Agência Nacional do Petróleo, Gás </w:t>
            </w:r>
            <w:r>
              <w:rPr>
                <w:rFonts w:ascii="Arial" w:eastAsiaTheme="minorHAnsi" w:hAnsi="Arial" w:cs="Arial"/>
                <w:bCs/>
                <w:sz w:val="18"/>
                <w:szCs w:val="18"/>
                <w:lang w:eastAsia="en-US"/>
              </w:rPr>
              <w:t>N</w:t>
            </w:r>
            <w:r w:rsidRPr="00EC1AE8">
              <w:rPr>
                <w:rFonts w:ascii="Arial" w:eastAsiaTheme="minorHAnsi" w:hAnsi="Arial" w:cs="Arial"/>
                <w:bCs/>
                <w:sz w:val="18"/>
                <w:szCs w:val="18"/>
                <w:lang w:eastAsia="en-US"/>
              </w:rPr>
              <w:t xml:space="preserve">atural e Biocombustíveis - ANP, com base na Proposta de Ação nº 231, de 12 de </w:t>
            </w:r>
            <w:proofErr w:type="gramStart"/>
            <w:r w:rsidRPr="00EC1AE8">
              <w:rPr>
                <w:rFonts w:ascii="Arial" w:eastAsiaTheme="minorHAnsi" w:hAnsi="Arial" w:cs="Arial"/>
                <w:bCs/>
                <w:sz w:val="18"/>
                <w:szCs w:val="18"/>
                <w:lang w:eastAsia="en-US"/>
              </w:rPr>
              <w:t>Maio</w:t>
            </w:r>
            <w:proofErr w:type="gramEnd"/>
            <w:r w:rsidRPr="00EC1AE8">
              <w:rPr>
                <w:rFonts w:ascii="Arial" w:eastAsiaTheme="minorHAnsi" w:hAnsi="Arial" w:cs="Arial"/>
                <w:bCs/>
                <w:sz w:val="18"/>
                <w:szCs w:val="18"/>
                <w:lang w:eastAsia="en-US"/>
              </w:rPr>
              <w:t xml:space="preserve"> de 2021, resolve:</w:t>
            </w:r>
          </w:p>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 xml:space="preserve">I) Nomear RODRIGO MORELATTO no cargo comissionado CCT V, de Coordenador Geral de Avaliação Geoeconômica de Bacias Sedimentares, na SAG/ANP, ficando exonerado do cargo </w:t>
            </w:r>
            <w:r w:rsidRPr="00EC1AE8">
              <w:rPr>
                <w:rFonts w:ascii="Arial" w:eastAsiaTheme="minorHAnsi" w:hAnsi="Arial" w:cs="Arial"/>
                <w:bCs/>
                <w:sz w:val="18"/>
                <w:szCs w:val="18"/>
                <w:lang w:eastAsia="en-US"/>
              </w:rPr>
              <w:lastRenderedPageBreak/>
              <w:t>comissionado CCT IV, de Coordenador de Análises Econômicas, na SAG/ANP;</w:t>
            </w:r>
          </w:p>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II) Nomear RAQUEL LIMA FAÇANHA no cargo comissionado CCT IV, de Assessora Técnica de Gestão dos Dados e Informação, na SAG/ANP, ficando exonerada do cargo comissionado técnico CCT III, de Assessora Técnica de Gestão dos Dados e Informação, na SAG/ANP;</w:t>
            </w:r>
          </w:p>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 xml:space="preserve">III) Exonerar HEMERT SANTOS AMORIM do cargo comissionado CCT III, de Coordenador de Avaliação Geológica e Geofísica do </w:t>
            </w:r>
            <w:proofErr w:type="spellStart"/>
            <w:r w:rsidRPr="00EC1AE8">
              <w:rPr>
                <w:rFonts w:ascii="Arial" w:eastAsiaTheme="minorHAnsi" w:hAnsi="Arial" w:cs="Arial"/>
                <w:bCs/>
                <w:sz w:val="18"/>
                <w:szCs w:val="18"/>
                <w:lang w:eastAsia="en-US"/>
              </w:rPr>
              <w:t>Pré</w:t>
            </w:r>
            <w:proofErr w:type="spellEnd"/>
            <w:r w:rsidRPr="00EC1AE8">
              <w:rPr>
                <w:rFonts w:ascii="Arial" w:eastAsiaTheme="minorHAnsi" w:hAnsi="Arial" w:cs="Arial"/>
                <w:bCs/>
                <w:sz w:val="18"/>
                <w:szCs w:val="18"/>
                <w:lang w:eastAsia="en-US"/>
              </w:rPr>
              <w:t>-Sal e Bacias da Margem Leste, na SAG/ANP;</w:t>
            </w:r>
          </w:p>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IV) Nomear BARBARA FERREIRA DA ROSA SAGIORO no cargo comissionado CCT III, de Coordenador de Avaliação Econômica, na SAG/ANP;</w:t>
            </w:r>
          </w:p>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V) Nomear JULIO CESAR DOS SANTOS VITAL no cargo comissionado CAS I, de Assistente de Estudos Geológicos e Geofísicos, na SAG/ANP, ficando exonerado do cargo comissionado CAS II, de Assistente de Estudos Geológicos e Geofísicos, na SAG/ANP; e</w:t>
            </w:r>
          </w:p>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EC1AE8">
              <w:rPr>
                <w:rFonts w:ascii="Arial" w:eastAsiaTheme="minorHAnsi" w:hAnsi="Arial" w:cs="Arial"/>
                <w:bCs/>
                <w:sz w:val="18"/>
                <w:szCs w:val="18"/>
                <w:lang w:eastAsia="en-US"/>
              </w:rPr>
              <w:t>VI) Alterar a nomenclatura do cargo comissionado CCT III, de Coordenadora de Avaliação Geológica e Geofísica da Margem Equatorial e Bacias Terrestres, ocupado pela servidora ELAINE MARIA LOPES LOUREIRO, para Coordenadora de Avaliação Geológica e Geofísica, na SAG/ANP.</w:t>
            </w:r>
          </w:p>
          <w:p w:rsidR="00A95428" w:rsidRPr="00EC1AE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p>
        </w:tc>
      </w:tr>
      <w:tr w:rsidR="00A95428" w:rsidRPr="00601655" w:rsidTr="006C07FD">
        <w:tc>
          <w:tcPr>
            <w:tcW w:w="1276"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lastRenderedPageBreak/>
              <w:t>1102</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t>184/2021</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t>48610.200870/2021</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601655"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601655">
              <w:rPr>
                <w:rFonts w:ascii="Arial" w:eastAsiaTheme="minorHAnsi" w:hAnsi="Arial" w:cs="Arial"/>
                <w:bCs/>
                <w:sz w:val="18"/>
                <w:szCs w:val="18"/>
                <w:lang w:eastAsia="en-US"/>
              </w:rPr>
              <w:t>Instrução Normativa - Dispõe sobre a utilização de Serviço Móvel Pessoal - SMP pelos agentes públicos a serviço da Agência Nacional do Petróleo, Gás Natural e Biocombustíveis - ANP, revoga a Instrução Normativa nº 10/2008 - Série Financeira e Administrativa e dá outras providências</w:t>
            </w:r>
          </w:p>
        </w:tc>
        <w:tc>
          <w:tcPr>
            <w:tcW w:w="850" w:type="dxa"/>
            <w:shd w:val="clear" w:color="auto" w:fill="FFFFFF" w:themeFill="background1"/>
          </w:tcPr>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F1CEA">
              <w:rPr>
                <w:rFonts w:ascii="Arial" w:eastAsiaTheme="minorHAnsi" w:hAnsi="Arial" w:cs="Arial"/>
                <w:bCs/>
                <w:sz w:val="18"/>
                <w:szCs w:val="18"/>
                <w:lang w:eastAsia="en-US"/>
              </w:rPr>
              <w:t>SGA</w:t>
            </w:r>
          </w:p>
        </w:tc>
        <w:tc>
          <w:tcPr>
            <w:tcW w:w="1354"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t>332/2021</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t>14/06/2021</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D24F7F"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FFFFFF" w:themeFill="background1"/>
          </w:tcPr>
          <w:p w:rsidR="00A95428" w:rsidRPr="00601655"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01655">
              <w:rPr>
                <w:rFonts w:ascii="Arial" w:eastAsiaTheme="minorHAnsi" w:hAnsi="Arial" w:cs="Arial"/>
                <w:bCs/>
                <w:sz w:val="18"/>
                <w:szCs w:val="18"/>
                <w:lang w:eastAsia="en-US"/>
              </w:rPr>
              <w:t>A Diretoria da Agência Nacional do Petróleo, Gás Natural e Biocombustíveis - ANP, com base na Proposta de Ação nº 184, de 16 de Abril de 2021, na Nota Técnica nº3/2021/SGA/ANP-RJ e no Parecer nº 125/2021/PFANP/PGF/AGU, aprovado pelo Despacho nº 874/2021/PFANP/PGF/AGU, resolve:</w:t>
            </w:r>
          </w:p>
          <w:p w:rsidR="00A95428" w:rsidRPr="00601655"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601655">
              <w:rPr>
                <w:rFonts w:ascii="Arial" w:eastAsiaTheme="minorHAnsi" w:hAnsi="Arial" w:cs="Arial"/>
                <w:bCs/>
                <w:sz w:val="18"/>
                <w:szCs w:val="18"/>
                <w:lang w:eastAsia="en-US"/>
              </w:rPr>
              <w:t xml:space="preserve">Aprovar a minuta de Instrução Normativa (SEI nº 1366666), que dispõe sobre a utilização de </w:t>
            </w:r>
            <w:r w:rsidRPr="00601655">
              <w:rPr>
                <w:rFonts w:ascii="Arial" w:eastAsiaTheme="minorHAnsi" w:hAnsi="Arial" w:cs="Arial"/>
                <w:bCs/>
                <w:sz w:val="18"/>
                <w:szCs w:val="18"/>
                <w:lang w:eastAsia="en-US"/>
              </w:rPr>
              <w:lastRenderedPageBreak/>
              <w:t>Serviço Móvel Pessoal - SMP pelos agentes públicos a serviço da ANP.</w:t>
            </w:r>
          </w:p>
        </w:tc>
      </w:tr>
      <w:tr w:rsidR="00A95428" w:rsidRPr="00601655" w:rsidTr="006C07FD">
        <w:tc>
          <w:tcPr>
            <w:tcW w:w="1276"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lastRenderedPageBreak/>
              <w:t>1101</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t>239/2021</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t>48610.207508/2021</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601655" w:rsidRDefault="00A95428" w:rsidP="006C07FD">
            <w:pPr>
              <w:widowControl/>
              <w:adjustRightInd/>
              <w:spacing w:line="240" w:lineRule="auto"/>
              <w:ind w:left="120" w:right="120"/>
              <w:textAlignment w:val="auto"/>
              <w:rPr>
                <w:rFonts w:ascii="Arial" w:eastAsiaTheme="minorHAnsi" w:hAnsi="Arial" w:cs="Arial"/>
                <w:bCs/>
                <w:sz w:val="18"/>
                <w:szCs w:val="18"/>
                <w:lang w:eastAsia="en-US"/>
              </w:rPr>
            </w:pPr>
            <w:r w:rsidRPr="00601655">
              <w:rPr>
                <w:rFonts w:ascii="Arial" w:eastAsiaTheme="minorHAnsi" w:hAnsi="Arial" w:cs="Arial"/>
                <w:bCs/>
                <w:sz w:val="18"/>
                <w:szCs w:val="18"/>
                <w:lang w:eastAsia="en-US"/>
              </w:rPr>
              <w:t>Comissões Especiais de Avaliação de Materiais e Bens Patrimoniais</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850" w:type="dxa"/>
            <w:shd w:val="clear" w:color="auto" w:fill="FFFFFF" w:themeFill="background1"/>
          </w:tcPr>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785EB7">
              <w:rPr>
                <w:rFonts w:ascii="Arial" w:eastAsiaTheme="minorHAnsi" w:hAnsi="Arial" w:cs="Arial"/>
                <w:bCs/>
                <w:sz w:val="18"/>
                <w:szCs w:val="18"/>
                <w:lang w:eastAsia="en-US"/>
              </w:rPr>
              <w:t>SGA</w:t>
            </w:r>
          </w:p>
        </w:tc>
        <w:tc>
          <w:tcPr>
            <w:tcW w:w="1354"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t>331/2021</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601655" w:rsidRDefault="00A95428" w:rsidP="006C07FD">
            <w:pPr>
              <w:pStyle w:val="textoalinhadoesquerdaespacamentosimples"/>
              <w:jc w:val="center"/>
              <w:rPr>
                <w:rFonts w:ascii="Arial" w:eastAsiaTheme="minorHAnsi" w:hAnsi="Arial" w:cs="Arial"/>
                <w:bCs/>
                <w:sz w:val="18"/>
                <w:szCs w:val="18"/>
                <w:lang w:eastAsia="en-US"/>
              </w:rPr>
            </w:pPr>
            <w:r w:rsidRPr="00601655">
              <w:rPr>
                <w:rFonts w:ascii="Arial" w:eastAsiaTheme="minorHAnsi" w:hAnsi="Arial" w:cs="Arial"/>
                <w:bCs/>
                <w:sz w:val="18"/>
                <w:szCs w:val="18"/>
                <w:lang w:eastAsia="en-US"/>
              </w:rPr>
              <w:t>14/06/2021</w:t>
            </w:r>
          </w:p>
          <w:p w:rsidR="00A95428" w:rsidRPr="00601655"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D24F7F"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D24F7F">
              <w:rPr>
                <w:rFonts w:ascii="Arial" w:eastAsiaTheme="minorHAnsi" w:hAnsi="Arial" w:cs="Arial"/>
                <w:bCs/>
                <w:sz w:val="18"/>
                <w:szCs w:val="18"/>
                <w:lang w:eastAsia="en-US"/>
              </w:rPr>
              <w:t>Rodolfo Saboia</w:t>
            </w:r>
          </w:p>
        </w:tc>
        <w:tc>
          <w:tcPr>
            <w:tcW w:w="4395" w:type="dxa"/>
            <w:shd w:val="clear" w:color="auto" w:fill="FFFFFF" w:themeFill="background1"/>
          </w:tcPr>
          <w:p w:rsidR="00A95428" w:rsidRPr="00601655" w:rsidRDefault="00A95428" w:rsidP="006C07FD">
            <w:pPr>
              <w:widowControl/>
              <w:adjustRightInd/>
              <w:spacing w:line="240" w:lineRule="auto"/>
              <w:ind w:left="119" w:right="119"/>
              <w:textAlignment w:val="auto"/>
              <w:rPr>
                <w:rFonts w:ascii="Arial" w:eastAsiaTheme="minorHAnsi" w:hAnsi="Arial" w:cs="Arial"/>
                <w:bCs/>
                <w:sz w:val="18"/>
                <w:szCs w:val="18"/>
                <w:lang w:eastAsia="en-US"/>
              </w:rPr>
            </w:pPr>
            <w:r w:rsidRPr="00601655">
              <w:rPr>
                <w:rFonts w:ascii="Arial" w:eastAsiaTheme="minorHAnsi" w:hAnsi="Arial" w:cs="Arial"/>
                <w:bCs/>
                <w:sz w:val="18"/>
                <w:szCs w:val="18"/>
                <w:lang w:eastAsia="en-US"/>
              </w:rPr>
              <w:t xml:space="preserve">A Diretoria da Agência Nacional do Petróleo, Gás Natural e Biocombustíveis - ANP, com base na Proposta de Ação nº 239, de 17 de </w:t>
            </w:r>
            <w:proofErr w:type="gramStart"/>
            <w:r w:rsidRPr="00601655">
              <w:rPr>
                <w:rFonts w:ascii="Arial" w:eastAsiaTheme="minorHAnsi" w:hAnsi="Arial" w:cs="Arial"/>
                <w:bCs/>
                <w:sz w:val="18"/>
                <w:szCs w:val="18"/>
                <w:lang w:eastAsia="en-US"/>
              </w:rPr>
              <w:t>Maio</w:t>
            </w:r>
            <w:proofErr w:type="gramEnd"/>
            <w:r w:rsidRPr="00601655">
              <w:rPr>
                <w:rFonts w:ascii="Arial" w:eastAsiaTheme="minorHAnsi" w:hAnsi="Arial" w:cs="Arial"/>
                <w:bCs/>
                <w:sz w:val="18"/>
                <w:szCs w:val="18"/>
                <w:lang w:eastAsia="en-US"/>
              </w:rPr>
              <w:t xml:space="preserve"> de 2021 e no art. 10 do Decreto nº 9.373, de 11 de maio de 2018, resolve:</w:t>
            </w:r>
          </w:p>
          <w:p w:rsidR="00A95428" w:rsidRPr="00601655" w:rsidRDefault="00A95428" w:rsidP="006C07FD">
            <w:pPr>
              <w:widowControl/>
              <w:adjustRightInd/>
              <w:spacing w:line="240" w:lineRule="auto"/>
              <w:ind w:left="119" w:right="119"/>
              <w:textAlignment w:val="auto"/>
              <w:rPr>
                <w:rFonts w:ascii="Arial" w:eastAsiaTheme="minorHAnsi" w:hAnsi="Arial" w:cs="Arial"/>
                <w:bCs/>
                <w:sz w:val="18"/>
                <w:szCs w:val="18"/>
                <w:lang w:eastAsia="en-US"/>
              </w:rPr>
            </w:pPr>
            <w:r w:rsidRPr="00601655">
              <w:rPr>
                <w:rFonts w:ascii="Arial" w:eastAsiaTheme="minorHAnsi" w:hAnsi="Arial" w:cs="Arial"/>
                <w:bCs/>
                <w:sz w:val="18"/>
                <w:szCs w:val="18"/>
                <w:lang w:eastAsia="en-US"/>
              </w:rPr>
              <w:t>Aprovar Portaria visando a constituição das Comissões Especiais, com atribuições de exercer atividades relacionadas à gestão patrimonial da ANP nos exercícios 2021 e 2022.</w:t>
            </w:r>
          </w:p>
        </w:tc>
      </w:tr>
      <w:tr w:rsidR="00A95428" w:rsidRPr="00DC183E" w:rsidTr="006C07FD">
        <w:tc>
          <w:tcPr>
            <w:tcW w:w="1276" w:type="dxa"/>
            <w:shd w:val="clear" w:color="auto" w:fill="FFFFFF" w:themeFill="background1"/>
          </w:tcPr>
          <w:p w:rsidR="00A95428" w:rsidRPr="00DC183E" w:rsidRDefault="00A95428" w:rsidP="006C07FD">
            <w:pPr>
              <w:pStyle w:val="textoalinhadoesquerdaespacamentosimples"/>
              <w:jc w:val="center"/>
              <w:rPr>
                <w:rFonts w:ascii="Arial" w:eastAsiaTheme="minorHAnsi" w:hAnsi="Arial" w:cs="Arial"/>
                <w:bCs/>
                <w:sz w:val="18"/>
                <w:szCs w:val="18"/>
                <w:lang w:eastAsia="en-US"/>
              </w:rPr>
            </w:pPr>
            <w:r w:rsidRPr="00DC183E">
              <w:rPr>
                <w:rFonts w:ascii="Arial" w:eastAsiaTheme="minorHAnsi" w:hAnsi="Arial" w:cs="Arial"/>
                <w:bCs/>
                <w:sz w:val="18"/>
                <w:szCs w:val="18"/>
                <w:lang w:eastAsia="en-US"/>
              </w:rPr>
              <w:t>1098</w:t>
            </w:r>
          </w:p>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A95428" w:rsidRPr="00DC183E" w:rsidRDefault="00A95428" w:rsidP="006C07FD">
            <w:pPr>
              <w:pStyle w:val="textoalinhadoesquerdaespacamentosimples"/>
              <w:jc w:val="center"/>
              <w:rPr>
                <w:rFonts w:ascii="Arial" w:eastAsiaTheme="minorHAnsi" w:hAnsi="Arial" w:cs="Arial"/>
                <w:bCs/>
                <w:sz w:val="18"/>
                <w:szCs w:val="18"/>
                <w:lang w:eastAsia="en-US"/>
              </w:rPr>
            </w:pPr>
            <w:r w:rsidRPr="00DC183E">
              <w:rPr>
                <w:rFonts w:ascii="Arial" w:eastAsiaTheme="minorHAnsi" w:hAnsi="Arial" w:cs="Arial"/>
                <w:bCs/>
                <w:sz w:val="18"/>
                <w:szCs w:val="18"/>
                <w:lang w:eastAsia="en-US"/>
              </w:rPr>
              <w:t>290/2021</w:t>
            </w:r>
          </w:p>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DC183E" w:rsidRDefault="00A95428" w:rsidP="006C07FD">
            <w:pPr>
              <w:pStyle w:val="textoalinhadoesquerdaespacamentosimples"/>
              <w:jc w:val="center"/>
              <w:rPr>
                <w:rFonts w:ascii="Arial" w:eastAsiaTheme="minorHAnsi" w:hAnsi="Arial" w:cs="Arial"/>
                <w:bCs/>
                <w:sz w:val="18"/>
                <w:szCs w:val="18"/>
                <w:lang w:eastAsia="en-US"/>
              </w:rPr>
            </w:pPr>
            <w:r w:rsidRPr="00DC183E">
              <w:rPr>
                <w:rFonts w:ascii="Arial" w:eastAsiaTheme="minorHAnsi" w:hAnsi="Arial" w:cs="Arial"/>
                <w:bCs/>
                <w:sz w:val="18"/>
                <w:szCs w:val="18"/>
                <w:lang w:eastAsia="en-US"/>
              </w:rPr>
              <w:t>48600.000171/2018 48600.000740/2018</w:t>
            </w:r>
          </w:p>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DC183E"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DC183E">
              <w:rPr>
                <w:rFonts w:ascii="Arial" w:eastAsiaTheme="minorHAnsi" w:hAnsi="Arial" w:cs="Arial"/>
                <w:bCs/>
                <w:sz w:val="18"/>
                <w:szCs w:val="18"/>
                <w:lang w:eastAsia="en-US"/>
              </w:rPr>
              <w:t>Recurso Administrativo - Extrato nº 4964 - Revendedores Varejistas de Combustíveis: CASCOL COMBUSTÍVEIS PARA VEÍCULOS LTDA; CASCOL COMBUSTÍVEIS PARA VEÍCULOS LTDA</w:t>
            </w:r>
          </w:p>
        </w:tc>
        <w:tc>
          <w:tcPr>
            <w:tcW w:w="850" w:type="dxa"/>
            <w:shd w:val="clear" w:color="auto" w:fill="FFFFFF" w:themeFill="background1"/>
          </w:tcPr>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FFFFFF" w:themeFill="background1"/>
          </w:tcPr>
          <w:p w:rsidR="00A95428" w:rsidRPr="00DC183E" w:rsidRDefault="00A95428" w:rsidP="006C07FD">
            <w:pPr>
              <w:pStyle w:val="textoalinhadoesquerdaespacamentosimples"/>
              <w:jc w:val="center"/>
              <w:rPr>
                <w:rFonts w:ascii="Arial" w:eastAsiaTheme="minorHAnsi" w:hAnsi="Arial" w:cs="Arial"/>
                <w:bCs/>
                <w:sz w:val="18"/>
                <w:szCs w:val="18"/>
                <w:lang w:eastAsia="en-US"/>
              </w:rPr>
            </w:pPr>
            <w:r w:rsidRPr="00DC183E">
              <w:rPr>
                <w:rFonts w:ascii="Arial" w:eastAsiaTheme="minorHAnsi" w:hAnsi="Arial" w:cs="Arial"/>
                <w:bCs/>
                <w:sz w:val="18"/>
                <w:szCs w:val="18"/>
                <w:lang w:eastAsia="en-US"/>
              </w:rPr>
              <w:t>330/2021</w:t>
            </w:r>
          </w:p>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DC183E" w:rsidRDefault="00A95428" w:rsidP="006C07FD">
            <w:pPr>
              <w:pStyle w:val="textoalinhadoesquerdaespacamentosimples"/>
              <w:jc w:val="center"/>
              <w:rPr>
                <w:rFonts w:ascii="Arial" w:eastAsiaTheme="minorHAnsi" w:hAnsi="Arial" w:cs="Arial"/>
                <w:bCs/>
                <w:sz w:val="18"/>
                <w:szCs w:val="18"/>
                <w:lang w:eastAsia="en-US"/>
              </w:rPr>
            </w:pPr>
            <w:r w:rsidRPr="00DC183E">
              <w:rPr>
                <w:rFonts w:ascii="Arial" w:eastAsiaTheme="minorHAnsi" w:hAnsi="Arial" w:cs="Arial"/>
                <w:bCs/>
                <w:sz w:val="18"/>
                <w:szCs w:val="18"/>
                <w:lang w:eastAsia="en-US"/>
              </w:rPr>
              <w:t>14/06/2021</w:t>
            </w:r>
          </w:p>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DC183E"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DC183E">
              <w:rPr>
                <w:rFonts w:ascii="Arial" w:eastAsiaTheme="minorHAnsi" w:hAnsi="Arial" w:cs="Arial"/>
                <w:bCs/>
                <w:sz w:val="18"/>
                <w:szCs w:val="18"/>
                <w:lang w:eastAsia="en-US"/>
              </w:rPr>
              <w:t xml:space="preserve">A Diretoria da Agência Nacional do Petróleo, Gás Natural e Biocombustíveis - ANP, com base na Proposta de Ação nº 290, de 01 de </w:t>
            </w:r>
            <w:proofErr w:type="gramStart"/>
            <w:r w:rsidRPr="00DC183E">
              <w:rPr>
                <w:rFonts w:ascii="Arial" w:eastAsiaTheme="minorHAnsi" w:hAnsi="Arial" w:cs="Arial"/>
                <w:bCs/>
                <w:sz w:val="18"/>
                <w:szCs w:val="18"/>
                <w:lang w:eastAsia="en-US"/>
              </w:rPr>
              <w:t>Junho</w:t>
            </w:r>
            <w:proofErr w:type="gramEnd"/>
            <w:r w:rsidRPr="00DC183E">
              <w:rPr>
                <w:rFonts w:ascii="Arial" w:eastAsiaTheme="minorHAnsi" w:hAnsi="Arial" w:cs="Arial"/>
                <w:bCs/>
                <w:sz w:val="18"/>
                <w:szCs w:val="18"/>
                <w:lang w:eastAsia="en-US"/>
              </w:rPr>
              <w:t xml:space="preserve"> de 2021, resolve:</w:t>
            </w:r>
          </w:p>
          <w:p w:rsidR="00A95428" w:rsidRPr="00DC183E"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DC183E">
              <w:rPr>
                <w:rFonts w:ascii="Arial" w:eastAsiaTheme="minorHAnsi" w:hAnsi="Arial" w:cs="Arial"/>
                <w:bCs/>
                <w:sz w:val="18"/>
                <w:szCs w:val="18"/>
                <w:lang w:eastAsia="en-US"/>
              </w:rPr>
              <w:t>Negar provimento aos recursos administrativos interpostos pelos Revendedores Varejistas CASCOL COMBUSTÍVEIS PARA VEÍCULOS LTDA e CASCOL COMBUSTÍVEIS PARA VEÍCULOS LTDA, com manutenção integral da decisão de 1ª instância, que determina a aplicação de pena pecuniária.</w:t>
            </w:r>
          </w:p>
        </w:tc>
      </w:tr>
      <w:tr w:rsidR="00A95428" w:rsidRPr="00DC183E" w:rsidTr="006C07FD">
        <w:tc>
          <w:tcPr>
            <w:tcW w:w="1276" w:type="dxa"/>
            <w:shd w:val="clear" w:color="auto" w:fill="FFFFFF" w:themeFill="background1"/>
          </w:tcPr>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DC183E">
              <w:rPr>
                <w:rFonts w:ascii="Arial" w:eastAsiaTheme="minorHAnsi" w:hAnsi="Arial" w:cs="Arial"/>
                <w:bCs/>
                <w:sz w:val="18"/>
                <w:szCs w:val="18"/>
                <w:lang w:eastAsia="en-US"/>
              </w:rPr>
              <w:t>1106</w:t>
            </w:r>
          </w:p>
        </w:tc>
        <w:tc>
          <w:tcPr>
            <w:tcW w:w="1134" w:type="dxa"/>
            <w:shd w:val="clear" w:color="auto" w:fill="FFFFFF" w:themeFill="background1"/>
          </w:tcPr>
          <w:p w:rsidR="00A95428" w:rsidRPr="00DC183E" w:rsidRDefault="00A95428" w:rsidP="006C07FD">
            <w:pPr>
              <w:spacing w:line="0" w:lineRule="atLeast"/>
              <w:rPr>
                <w:rFonts w:ascii="Arial" w:eastAsiaTheme="minorHAnsi" w:hAnsi="Arial" w:cs="Arial"/>
                <w:bCs/>
                <w:sz w:val="18"/>
                <w:szCs w:val="18"/>
                <w:lang w:eastAsia="en-US"/>
              </w:rPr>
            </w:pPr>
            <w:r w:rsidRPr="00DC183E">
              <w:rPr>
                <w:rFonts w:ascii="Arial" w:eastAsiaTheme="minorHAnsi" w:hAnsi="Arial" w:cs="Arial"/>
                <w:bCs/>
                <w:sz w:val="18"/>
                <w:szCs w:val="18"/>
                <w:lang w:eastAsia="en-US"/>
              </w:rPr>
              <w:t>37/2021</w:t>
            </w:r>
          </w:p>
        </w:tc>
        <w:tc>
          <w:tcPr>
            <w:tcW w:w="1985" w:type="dxa"/>
            <w:shd w:val="clear" w:color="auto" w:fill="FFFFFF" w:themeFill="background1"/>
          </w:tcPr>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DC183E">
              <w:rPr>
                <w:rFonts w:ascii="Arial" w:eastAsiaTheme="minorHAnsi" w:hAnsi="Arial" w:cs="Arial"/>
                <w:bCs/>
                <w:sz w:val="18"/>
                <w:szCs w:val="18"/>
                <w:lang w:eastAsia="en-US"/>
              </w:rPr>
              <w:t>48610.212444/2020</w:t>
            </w:r>
          </w:p>
        </w:tc>
        <w:tc>
          <w:tcPr>
            <w:tcW w:w="2835" w:type="dxa"/>
            <w:shd w:val="clear" w:color="auto" w:fill="FFFFFF" w:themeFill="background1"/>
          </w:tcPr>
          <w:p w:rsidR="00A95428" w:rsidRPr="00DC183E"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DC183E">
              <w:rPr>
                <w:rFonts w:ascii="Arial" w:eastAsiaTheme="minorHAnsi" w:hAnsi="Arial" w:cs="Arial"/>
                <w:bCs/>
                <w:sz w:val="18"/>
                <w:szCs w:val="18"/>
                <w:lang w:eastAsia="en-US"/>
              </w:rPr>
              <w:t>Solicitação de Aquisição de Bens e Serviços nº 10/2021-e (</w:t>
            </w:r>
            <w:proofErr w:type="spellStart"/>
            <w:r w:rsidRPr="00DC183E">
              <w:rPr>
                <w:rFonts w:ascii="Arial" w:eastAsiaTheme="minorHAnsi" w:hAnsi="Arial" w:cs="Arial"/>
                <w:bCs/>
                <w:sz w:val="18"/>
                <w:szCs w:val="18"/>
                <w:lang w:eastAsia="en-US"/>
              </w:rPr>
              <w:t>doc</w:t>
            </w:r>
            <w:proofErr w:type="spellEnd"/>
            <w:r w:rsidRPr="00DC183E">
              <w:rPr>
                <w:rFonts w:ascii="Arial" w:eastAsiaTheme="minorHAnsi" w:hAnsi="Arial" w:cs="Arial"/>
                <w:bCs/>
                <w:sz w:val="18"/>
                <w:szCs w:val="18"/>
                <w:lang w:eastAsia="en-US"/>
              </w:rPr>
              <w:t xml:space="preserve"> SEI 1131883) Licitação para os estados da BA, PE, AL, SE, PB, RN, CE e MA, a fim de evitar descontinuidades nos Programas de Monitoramento da Qualidade de Combustíveis (PMQC) e de Monitoramento de Lubrificantes (PML)</w:t>
            </w:r>
          </w:p>
        </w:tc>
        <w:tc>
          <w:tcPr>
            <w:tcW w:w="850" w:type="dxa"/>
            <w:shd w:val="clear" w:color="auto" w:fill="FFFFFF" w:themeFill="background1"/>
          </w:tcPr>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SBQ</w:t>
            </w:r>
          </w:p>
        </w:tc>
        <w:tc>
          <w:tcPr>
            <w:tcW w:w="1354" w:type="dxa"/>
            <w:shd w:val="clear" w:color="auto" w:fill="FFFFFF" w:themeFill="background1"/>
          </w:tcPr>
          <w:p w:rsidR="00A95428" w:rsidRPr="00DC183E" w:rsidRDefault="00A95428" w:rsidP="006C07FD">
            <w:pPr>
              <w:spacing w:line="0" w:lineRule="atLeast"/>
              <w:jc w:val="center"/>
              <w:rPr>
                <w:rFonts w:ascii="Arial" w:eastAsiaTheme="minorHAnsi" w:hAnsi="Arial" w:cs="Arial"/>
                <w:bCs/>
                <w:sz w:val="18"/>
                <w:szCs w:val="18"/>
                <w:lang w:eastAsia="en-US"/>
              </w:rPr>
            </w:pPr>
            <w:r w:rsidRPr="00DC183E">
              <w:rPr>
                <w:rFonts w:ascii="Arial" w:eastAsiaTheme="minorHAnsi" w:hAnsi="Arial" w:cs="Arial"/>
                <w:bCs/>
                <w:sz w:val="18"/>
                <w:szCs w:val="18"/>
                <w:lang w:eastAsia="en-US"/>
              </w:rPr>
              <w:t>329/2021</w:t>
            </w:r>
          </w:p>
        </w:tc>
        <w:tc>
          <w:tcPr>
            <w:tcW w:w="1275" w:type="dxa"/>
            <w:shd w:val="clear" w:color="auto" w:fill="FFFFFF" w:themeFill="background1"/>
          </w:tcPr>
          <w:p w:rsidR="00A95428" w:rsidRPr="00DC183E" w:rsidRDefault="00A95428" w:rsidP="006C07FD">
            <w:pPr>
              <w:pStyle w:val="textoalinhadoesquerdaespacamentosimples"/>
              <w:jc w:val="center"/>
              <w:rPr>
                <w:rFonts w:ascii="Arial" w:eastAsiaTheme="minorHAnsi" w:hAnsi="Arial" w:cs="Arial"/>
                <w:bCs/>
                <w:sz w:val="18"/>
                <w:szCs w:val="18"/>
                <w:lang w:eastAsia="en-US"/>
              </w:rPr>
            </w:pPr>
            <w:r w:rsidRPr="00DC183E">
              <w:rPr>
                <w:rFonts w:ascii="Arial" w:eastAsiaTheme="minorHAnsi" w:hAnsi="Arial" w:cs="Arial"/>
                <w:bCs/>
                <w:sz w:val="18"/>
                <w:szCs w:val="18"/>
                <w:lang w:eastAsia="en-US"/>
              </w:rPr>
              <w:t>14/06/2021</w:t>
            </w:r>
          </w:p>
          <w:p w:rsidR="00A95428" w:rsidRPr="00DC183E"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DC183E"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DC183E">
              <w:rPr>
                <w:rFonts w:ascii="Arial" w:eastAsiaTheme="minorHAnsi" w:hAnsi="Arial" w:cs="Arial"/>
                <w:bCs/>
                <w:sz w:val="18"/>
                <w:szCs w:val="18"/>
                <w:lang w:eastAsia="en-US"/>
              </w:rPr>
              <w:t>A Diretoria da Agência Nacional do Petróleo, Gás Natural e Biocombustíveis - ANP, com base na Proposta de Ação nº 37, de 08 de Fevereiro de 2021, na Nota Técnica nº 11/2021/SBQ-CGC/SBQ/ANP-RJ, no Parecer Nº 35/2021/SFO/ANP-RJ e no Parecer nº 73/PFANP/PGF/AGU, de 25/03/2021, aprovado pelo Despacho nº 546/2021/PFANP/PGF/AGU, resolve:</w:t>
            </w:r>
          </w:p>
          <w:p w:rsidR="00A95428" w:rsidRPr="00DC183E"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DC183E">
              <w:rPr>
                <w:rFonts w:ascii="Arial" w:eastAsiaTheme="minorHAnsi" w:hAnsi="Arial" w:cs="Arial"/>
                <w:bCs/>
                <w:sz w:val="18"/>
                <w:szCs w:val="18"/>
                <w:lang w:eastAsia="en-US"/>
              </w:rPr>
              <w:t xml:space="preserve">Aprovar a realização de processo licitatório na modalidade de concorrência do tipo técnica e preço, para a execução dos Programas de Monitoramento da Qualidade de Combustíveis e de Lubrificantes (PMQC e PML) nos Estados da </w:t>
            </w:r>
            <w:r w:rsidRPr="00DC183E">
              <w:rPr>
                <w:rFonts w:ascii="Arial" w:eastAsiaTheme="minorHAnsi" w:hAnsi="Arial" w:cs="Arial"/>
                <w:bCs/>
                <w:sz w:val="18"/>
                <w:szCs w:val="18"/>
                <w:lang w:eastAsia="en-US"/>
              </w:rPr>
              <w:lastRenderedPageBreak/>
              <w:t>Bahia, Sergipe, Alagoas, Pernambuco, Paraíba, Rio Grande do Norte, Ceará e Maranhão.</w:t>
            </w:r>
          </w:p>
        </w:tc>
      </w:tr>
      <w:tr w:rsidR="00A95428" w:rsidRPr="0027424D" w:rsidTr="006C07FD">
        <w:tc>
          <w:tcPr>
            <w:tcW w:w="1276" w:type="dxa"/>
            <w:shd w:val="clear" w:color="auto" w:fill="FFFFFF" w:themeFill="background1"/>
          </w:tcPr>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27424D">
              <w:rPr>
                <w:rFonts w:ascii="Arial" w:eastAsiaTheme="minorHAnsi" w:hAnsi="Arial" w:cs="Arial"/>
                <w:bCs/>
                <w:sz w:val="18"/>
                <w:szCs w:val="18"/>
                <w:lang w:eastAsia="en-US"/>
              </w:rPr>
              <w:lastRenderedPageBreak/>
              <w:t>1104</w:t>
            </w:r>
          </w:p>
        </w:tc>
        <w:tc>
          <w:tcPr>
            <w:tcW w:w="1134" w:type="dxa"/>
            <w:shd w:val="clear" w:color="auto" w:fill="FFFFFF" w:themeFill="background1"/>
          </w:tcPr>
          <w:p w:rsidR="00A95428" w:rsidRPr="0027424D" w:rsidRDefault="00A95428" w:rsidP="006C07FD">
            <w:pPr>
              <w:pStyle w:val="textoalinhadoesquerdaespacamentosimples"/>
              <w:jc w:val="center"/>
              <w:rPr>
                <w:rFonts w:ascii="Arial" w:eastAsiaTheme="minorHAnsi" w:hAnsi="Arial" w:cs="Arial"/>
                <w:bCs/>
                <w:sz w:val="18"/>
                <w:szCs w:val="18"/>
                <w:lang w:eastAsia="en-US"/>
              </w:rPr>
            </w:pPr>
            <w:r w:rsidRPr="0027424D">
              <w:rPr>
                <w:rFonts w:ascii="Arial" w:eastAsiaTheme="minorHAnsi" w:hAnsi="Arial" w:cs="Arial"/>
                <w:bCs/>
                <w:sz w:val="18"/>
                <w:szCs w:val="18"/>
                <w:lang w:eastAsia="en-US"/>
              </w:rPr>
              <w:t>242/2021</w:t>
            </w:r>
          </w:p>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27424D">
              <w:rPr>
                <w:rFonts w:ascii="Arial" w:eastAsiaTheme="minorHAnsi" w:hAnsi="Arial" w:cs="Arial"/>
                <w:bCs/>
                <w:sz w:val="18"/>
                <w:szCs w:val="18"/>
                <w:lang w:eastAsia="en-US"/>
              </w:rPr>
              <w:t>48600.201286/2021</w:t>
            </w:r>
          </w:p>
        </w:tc>
        <w:tc>
          <w:tcPr>
            <w:tcW w:w="2835" w:type="dxa"/>
            <w:shd w:val="clear" w:color="auto" w:fill="FFFFFF" w:themeFill="background1"/>
          </w:tcPr>
          <w:p w:rsidR="00A95428" w:rsidRPr="00F1248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27424D">
              <w:rPr>
                <w:rFonts w:ascii="Arial" w:eastAsiaTheme="minorHAnsi" w:hAnsi="Arial" w:cs="Arial"/>
                <w:bCs/>
                <w:sz w:val="18"/>
                <w:szCs w:val="18"/>
                <w:lang w:eastAsia="en-US"/>
              </w:rPr>
              <w:t>Submeter a aprovação da Diretoria Colegiada a solicitação do servidor Carlos Alberto Freire Costa para participação no Curso de Análise de Crises Internacionais (CACI) da Escola Superior de Guerra (ESG), a ser realizado no campus Brasília - DF, na modalidade semipresencial, nos períodos de 07 a 16 de junho (fase a distância) e de 21 de junho a 09 de julho de 2021 (fase presencial)</w:t>
            </w:r>
          </w:p>
        </w:tc>
        <w:tc>
          <w:tcPr>
            <w:tcW w:w="850" w:type="dxa"/>
            <w:shd w:val="clear" w:color="auto" w:fill="FFFFFF" w:themeFill="background1"/>
          </w:tcPr>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5E0382">
              <w:rPr>
                <w:rFonts w:ascii="Arial" w:eastAsiaTheme="minorHAnsi" w:hAnsi="Arial" w:cs="Arial"/>
                <w:bCs/>
                <w:sz w:val="18"/>
                <w:szCs w:val="18"/>
                <w:lang w:eastAsia="en-US"/>
              </w:rPr>
              <w:t>SFI</w:t>
            </w:r>
          </w:p>
        </w:tc>
        <w:tc>
          <w:tcPr>
            <w:tcW w:w="1354" w:type="dxa"/>
            <w:shd w:val="clear" w:color="auto" w:fill="FFFFFF" w:themeFill="background1"/>
          </w:tcPr>
          <w:p w:rsidR="00A95428" w:rsidRPr="005E45D6" w:rsidRDefault="00A95428" w:rsidP="006C07FD">
            <w:pPr>
              <w:pStyle w:val="textoalinhadoesquerdaespacamentosimples"/>
              <w:jc w:val="center"/>
              <w:rPr>
                <w:rFonts w:ascii="Arial" w:eastAsiaTheme="minorHAnsi" w:hAnsi="Arial" w:cs="Arial"/>
                <w:bCs/>
                <w:sz w:val="18"/>
                <w:szCs w:val="18"/>
                <w:lang w:eastAsia="en-US"/>
              </w:rPr>
            </w:pPr>
            <w:r w:rsidRPr="0027424D">
              <w:rPr>
                <w:rFonts w:ascii="Arial" w:eastAsiaTheme="minorHAnsi" w:hAnsi="Arial" w:cs="Arial"/>
                <w:bCs/>
                <w:sz w:val="18"/>
                <w:szCs w:val="18"/>
                <w:lang w:eastAsia="en-US"/>
              </w:rPr>
              <w:t>328/2021</w:t>
            </w:r>
          </w:p>
        </w:tc>
        <w:tc>
          <w:tcPr>
            <w:tcW w:w="1275" w:type="dxa"/>
            <w:shd w:val="clear" w:color="auto" w:fill="FFFFFF" w:themeFill="background1"/>
          </w:tcPr>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27424D">
              <w:rPr>
                <w:rFonts w:ascii="Arial" w:eastAsiaTheme="minorHAnsi" w:hAnsi="Arial" w:cs="Arial"/>
                <w:bCs/>
                <w:sz w:val="18"/>
                <w:szCs w:val="18"/>
                <w:lang w:eastAsia="en-US"/>
              </w:rPr>
              <w:t>14/06/2021</w:t>
            </w: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27424D"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27424D">
              <w:rPr>
                <w:rFonts w:ascii="Arial" w:eastAsiaTheme="minorHAnsi" w:hAnsi="Arial" w:cs="Arial"/>
                <w:bCs/>
                <w:sz w:val="18"/>
                <w:szCs w:val="18"/>
                <w:lang w:eastAsia="en-US"/>
              </w:rPr>
              <w:t xml:space="preserve">A Diretoria da Agência Nacional do Petróleo, Gás Natural e Biocombustíveis - ANP, com base na Proposta de Ação nº 242, de 18 de </w:t>
            </w:r>
            <w:proofErr w:type="gramStart"/>
            <w:r w:rsidRPr="0027424D">
              <w:rPr>
                <w:rFonts w:ascii="Arial" w:eastAsiaTheme="minorHAnsi" w:hAnsi="Arial" w:cs="Arial"/>
                <w:bCs/>
                <w:sz w:val="18"/>
                <w:szCs w:val="18"/>
                <w:lang w:eastAsia="en-US"/>
              </w:rPr>
              <w:t>Maio</w:t>
            </w:r>
            <w:proofErr w:type="gramEnd"/>
            <w:r w:rsidRPr="0027424D">
              <w:rPr>
                <w:rFonts w:ascii="Arial" w:eastAsiaTheme="minorHAnsi" w:hAnsi="Arial" w:cs="Arial"/>
                <w:bCs/>
                <w:sz w:val="18"/>
                <w:szCs w:val="18"/>
                <w:lang w:eastAsia="en-US"/>
              </w:rPr>
              <w:t xml:space="preserve"> de 2021 e no posicionamento da Superintendência de Gestão de Pessoas e do Conhecimento, resolve:</w:t>
            </w:r>
          </w:p>
          <w:p w:rsidR="00A95428" w:rsidRPr="0027424D"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27424D">
              <w:rPr>
                <w:rFonts w:ascii="Arial" w:eastAsiaTheme="minorHAnsi" w:hAnsi="Arial" w:cs="Arial"/>
                <w:bCs/>
                <w:sz w:val="18"/>
                <w:szCs w:val="18"/>
                <w:lang w:eastAsia="en-US"/>
              </w:rPr>
              <w:t>Aprovar o afastamento presencial do servidor Carlos Alberto Freire Costa para participação no Curso de Análise de Crises Internacionais (CACI), a ser ministrada pela Escola Superior de Guerra (ESG</w:t>
            </w:r>
            <w:proofErr w:type="gramStart"/>
            <w:r w:rsidRPr="0027424D">
              <w:rPr>
                <w:rFonts w:ascii="Arial" w:eastAsiaTheme="minorHAnsi" w:hAnsi="Arial" w:cs="Arial"/>
                <w:bCs/>
                <w:sz w:val="18"/>
                <w:szCs w:val="18"/>
                <w:lang w:eastAsia="en-US"/>
              </w:rPr>
              <w:t>) ,</w:t>
            </w:r>
            <w:proofErr w:type="gramEnd"/>
            <w:r w:rsidRPr="0027424D">
              <w:rPr>
                <w:rFonts w:ascii="Arial" w:eastAsiaTheme="minorHAnsi" w:hAnsi="Arial" w:cs="Arial"/>
                <w:bCs/>
                <w:sz w:val="18"/>
                <w:szCs w:val="18"/>
                <w:lang w:eastAsia="en-US"/>
              </w:rPr>
              <w:t xml:space="preserve"> nos períodos de 07 a 16 de junho de 2021 e de 21 de junho a 09 de julho de 2021, sem ônus para a ANP.</w:t>
            </w:r>
          </w:p>
          <w:p w:rsidR="00A95428" w:rsidRPr="0027424D" w:rsidRDefault="00A95428" w:rsidP="006C07FD">
            <w:pPr>
              <w:widowControl/>
              <w:adjustRightInd/>
              <w:spacing w:line="240" w:lineRule="auto"/>
              <w:contextualSpacing/>
              <w:textAlignment w:val="auto"/>
              <w:rPr>
                <w:rFonts w:ascii="Arial" w:eastAsiaTheme="minorHAnsi" w:hAnsi="Arial" w:cs="Arial"/>
                <w:bCs/>
                <w:sz w:val="18"/>
                <w:szCs w:val="18"/>
                <w:lang w:eastAsia="en-US"/>
              </w:rPr>
            </w:pPr>
          </w:p>
        </w:tc>
      </w:tr>
      <w:tr w:rsidR="00A95428" w:rsidRPr="00F12488" w:rsidTr="006C07FD">
        <w:tc>
          <w:tcPr>
            <w:tcW w:w="1276" w:type="dxa"/>
            <w:shd w:val="clear" w:color="auto" w:fill="FFFFFF" w:themeFill="background1"/>
          </w:tcPr>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12488">
              <w:rPr>
                <w:rFonts w:ascii="Arial" w:eastAsiaTheme="minorHAnsi" w:hAnsi="Arial" w:cs="Arial"/>
                <w:bCs/>
                <w:sz w:val="18"/>
                <w:szCs w:val="18"/>
                <w:lang w:eastAsia="en-US"/>
              </w:rPr>
              <w:t>1116</w:t>
            </w:r>
          </w:p>
        </w:tc>
        <w:tc>
          <w:tcPr>
            <w:tcW w:w="1134" w:type="dxa"/>
            <w:shd w:val="clear" w:color="auto" w:fill="FFFFFF" w:themeFill="background1"/>
          </w:tcPr>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12488">
              <w:rPr>
                <w:rFonts w:ascii="Arial" w:eastAsiaTheme="minorHAnsi" w:hAnsi="Arial" w:cs="Arial"/>
                <w:bCs/>
                <w:sz w:val="18"/>
                <w:szCs w:val="18"/>
                <w:lang w:eastAsia="en-US"/>
              </w:rPr>
              <w:t>306/2021</w:t>
            </w:r>
          </w:p>
        </w:tc>
        <w:tc>
          <w:tcPr>
            <w:tcW w:w="1985" w:type="dxa"/>
            <w:shd w:val="clear" w:color="auto" w:fill="FFFFFF" w:themeFill="background1"/>
          </w:tcPr>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12488">
              <w:rPr>
                <w:rFonts w:ascii="Arial" w:eastAsiaTheme="minorHAnsi" w:hAnsi="Arial" w:cs="Arial"/>
                <w:bCs/>
                <w:sz w:val="18"/>
                <w:szCs w:val="18"/>
                <w:lang w:eastAsia="en-US"/>
              </w:rPr>
              <w:t>48610.209805/2021</w:t>
            </w:r>
          </w:p>
        </w:tc>
        <w:tc>
          <w:tcPr>
            <w:tcW w:w="2835" w:type="dxa"/>
            <w:shd w:val="clear" w:color="auto" w:fill="FFFFFF" w:themeFill="background1"/>
          </w:tcPr>
          <w:p w:rsidR="00A95428" w:rsidRPr="00F12488" w:rsidRDefault="00A95428" w:rsidP="006C07FD">
            <w:pPr>
              <w:widowControl/>
              <w:adjustRightInd/>
              <w:spacing w:line="240" w:lineRule="auto"/>
              <w:contextualSpacing/>
              <w:textAlignment w:val="auto"/>
              <w:rPr>
                <w:rFonts w:ascii="Arial" w:eastAsiaTheme="minorHAnsi" w:hAnsi="Arial" w:cs="Arial"/>
                <w:bCs/>
                <w:sz w:val="18"/>
                <w:szCs w:val="18"/>
                <w:lang w:eastAsia="en-US"/>
              </w:rPr>
            </w:pPr>
            <w:r w:rsidRPr="00F12488">
              <w:rPr>
                <w:rFonts w:ascii="Arial" w:eastAsiaTheme="minorHAnsi" w:hAnsi="Arial" w:cs="Arial"/>
                <w:bCs/>
                <w:sz w:val="18"/>
                <w:szCs w:val="18"/>
                <w:lang w:eastAsia="en-US"/>
              </w:rPr>
              <w:t xml:space="preserve">Pedido de comercialização excepcional, pela Petróleo Brasileiro S.A., de 6,5 mil metros cúbicos de Óleo combustível (OCB1), fora de especificação para termelétrica, com atendimento às especificações de bunker (VLSFO 0,5% S), junto à Petrobras Distribuidora S.A., para atendimento às usinas térmicas </w:t>
            </w:r>
            <w:proofErr w:type="spellStart"/>
            <w:r w:rsidRPr="00F12488">
              <w:rPr>
                <w:rFonts w:ascii="Arial" w:eastAsiaTheme="minorHAnsi" w:hAnsi="Arial" w:cs="Arial"/>
                <w:bCs/>
                <w:sz w:val="18"/>
                <w:szCs w:val="18"/>
                <w:lang w:eastAsia="en-US"/>
              </w:rPr>
              <w:t>Geramar</w:t>
            </w:r>
            <w:proofErr w:type="spellEnd"/>
            <w:r w:rsidRPr="00F12488">
              <w:rPr>
                <w:rFonts w:ascii="Arial" w:eastAsiaTheme="minorHAnsi" w:hAnsi="Arial" w:cs="Arial"/>
                <w:bCs/>
                <w:sz w:val="18"/>
                <w:szCs w:val="18"/>
                <w:lang w:eastAsia="en-US"/>
              </w:rPr>
              <w:t>, localizadas em Miranda do Norte (MA)</w:t>
            </w:r>
          </w:p>
        </w:tc>
        <w:tc>
          <w:tcPr>
            <w:tcW w:w="850" w:type="dxa"/>
            <w:shd w:val="clear" w:color="auto" w:fill="FFFFFF" w:themeFill="background1"/>
          </w:tcPr>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12488">
              <w:rPr>
                <w:rFonts w:ascii="Arial" w:eastAsiaTheme="minorHAnsi" w:hAnsi="Arial" w:cs="Arial"/>
                <w:bCs/>
                <w:sz w:val="18"/>
                <w:szCs w:val="18"/>
                <w:lang w:eastAsia="en-US"/>
              </w:rPr>
              <w:t>SDL</w:t>
            </w:r>
          </w:p>
        </w:tc>
        <w:tc>
          <w:tcPr>
            <w:tcW w:w="1354" w:type="dxa"/>
            <w:shd w:val="clear" w:color="auto" w:fill="FFFFFF" w:themeFill="background1"/>
          </w:tcPr>
          <w:p w:rsidR="00A95428" w:rsidRPr="005E45D6" w:rsidRDefault="00A95428" w:rsidP="006C07FD">
            <w:pPr>
              <w:pStyle w:val="textoalinhadoesquerdaespacamentosimples"/>
              <w:jc w:val="center"/>
              <w:rPr>
                <w:rFonts w:ascii="Arial" w:eastAsiaTheme="minorHAnsi" w:hAnsi="Arial" w:cs="Arial"/>
                <w:bCs/>
                <w:sz w:val="18"/>
                <w:szCs w:val="18"/>
                <w:lang w:eastAsia="en-US"/>
              </w:rPr>
            </w:pPr>
            <w:r w:rsidRPr="005E45D6">
              <w:rPr>
                <w:rFonts w:ascii="Arial" w:eastAsiaTheme="minorHAnsi" w:hAnsi="Arial" w:cs="Arial"/>
                <w:bCs/>
                <w:sz w:val="18"/>
                <w:szCs w:val="18"/>
                <w:lang w:eastAsia="en-US"/>
              </w:rPr>
              <w:t>32</w:t>
            </w:r>
            <w:r>
              <w:rPr>
                <w:rFonts w:ascii="Arial" w:eastAsiaTheme="minorHAnsi" w:hAnsi="Arial" w:cs="Arial"/>
                <w:bCs/>
                <w:sz w:val="18"/>
                <w:szCs w:val="18"/>
                <w:lang w:eastAsia="en-US"/>
              </w:rPr>
              <w:t>7</w:t>
            </w:r>
            <w:r w:rsidRPr="005E45D6">
              <w:rPr>
                <w:rFonts w:ascii="Arial" w:eastAsiaTheme="minorHAnsi" w:hAnsi="Arial" w:cs="Arial"/>
                <w:bCs/>
                <w:sz w:val="18"/>
                <w:szCs w:val="18"/>
                <w:lang w:eastAsia="en-US"/>
              </w:rPr>
              <w:t>/2021</w:t>
            </w:r>
          </w:p>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F12488"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12488">
              <w:rPr>
                <w:rFonts w:ascii="Arial" w:eastAsiaTheme="minorHAnsi" w:hAnsi="Arial" w:cs="Arial"/>
                <w:bCs/>
                <w:sz w:val="18"/>
                <w:szCs w:val="18"/>
                <w:lang w:eastAsia="en-US"/>
              </w:rPr>
              <w:t>11/06/2021</w:t>
            </w:r>
          </w:p>
        </w:tc>
        <w:tc>
          <w:tcPr>
            <w:tcW w:w="1340" w:type="dxa"/>
            <w:shd w:val="clear" w:color="auto" w:fill="FFFFFF" w:themeFill="background1"/>
          </w:tcPr>
          <w:p w:rsidR="00A95428" w:rsidRPr="00155AF2"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2221BB">
              <w:rPr>
                <w:rFonts w:ascii="Arial" w:eastAsiaTheme="minorHAnsi" w:hAnsi="Arial" w:cs="Arial"/>
                <w:bCs/>
                <w:sz w:val="18"/>
                <w:szCs w:val="18"/>
                <w:lang w:eastAsia="en-US"/>
              </w:rPr>
              <w:t>Marcelo Castilho</w:t>
            </w:r>
          </w:p>
        </w:tc>
        <w:tc>
          <w:tcPr>
            <w:tcW w:w="4395" w:type="dxa"/>
            <w:shd w:val="clear" w:color="auto" w:fill="FFFFFF" w:themeFill="background1"/>
          </w:tcPr>
          <w:p w:rsidR="00A95428" w:rsidRPr="00FD0E02" w:rsidRDefault="00A95428" w:rsidP="006C07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FD0E02">
              <w:rPr>
                <w:rFonts w:ascii="Arial" w:eastAsiaTheme="minorHAnsi" w:hAnsi="Arial" w:cs="Arial"/>
                <w:bCs/>
                <w:color w:val="000000" w:themeColor="text1"/>
                <w:sz w:val="18"/>
                <w:szCs w:val="18"/>
                <w:lang w:eastAsia="en-US"/>
              </w:rPr>
              <w:t>A Diretoria da Agência Nacional do Petróleo, Gás Natural e Biocombustíveis - ANP, com base na Proposta de Ação nº 306, de 10 de Junho de 2021, na Nota Técnica nº 13/2021/SDL-CMOV/SDL/ANP-RJ, na Nota Técnica nº 3/2021/SBQ/ANP-RJ-e e na documentação constante do processo 48610.209805/2021-06, resolve, em caráter cautelar e excepcional:</w:t>
            </w:r>
          </w:p>
          <w:p w:rsidR="00A95428" w:rsidRPr="00FD0E02" w:rsidRDefault="00A95428" w:rsidP="006C07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FD0E02">
              <w:rPr>
                <w:rFonts w:ascii="Arial" w:eastAsiaTheme="minorHAnsi" w:hAnsi="Arial" w:cs="Arial"/>
                <w:bCs/>
                <w:color w:val="000000" w:themeColor="text1"/>
                <w:sz w:val="18"/>
                <w:szCs w:val="18"/>
                <w:lang w:eastAsia="en-US"/>
              </w:rPr>
              <w:t xml:space="preserve">I) Autorizar, em caráter precário, a comercialização excepcional de 6,5 mil m³ de óleo combustível (OCB1), fora da especificação para termelétrica, com atendimento às especificações de bunker (VLSFO 0,5% S), junto à Petrobras Distribuidora S.A., para atendimento à térmica </w:t>
            </w:r>
            <w:proofErr w:type="spellStart"/>
            <w:r w:rsidRPr="00FD0E02">
              <w:rPr>
                <w:rFonts w:ascii="Arial" w:eastAsiaTheme="minorHAnsi" w:hAnsi="Arial" w:cs="Arial"/>
                <w:bCs/>
                <w:color w:val="000000" w:themeColor="text1"/>
                <w:sz w:val="18"/>
                <w:szCs w:val="18"/>
                <w:lang w:eastAsia="en-US"/>
              </w:rPr>
              <w:t>Geramar</w:t>
            </w:r>
            <w:proofErr w:type="spellEnd"/>
            <w:r w:rsidRPr="00FD0E02">
              <w:rPr>
                <w:rFonts w:ascii="Arial" w:eastAsiaTheme="minorHAnsi" w:hAnsi="Arial" w:cs="Arial"/>
                <w:bCs/>
                <w:color w:val="000000" w:themeColor="text1"/>
                <w:sz w:val="18"/>
                <w:szCs w:val="18"/>
                <w:lang w:eastAsia="en-US"/>
              </w:rPr>
              <w:t xml:space="preserve">, localizada em Miranda do Norte (MA), tendo em vista a inexistência de combustíveis alternativos ao despacho das térmicas; </w:t>
            </w:r>
          </w:p>
          <w:p w:rsidR="00A95428" w:rsidRPr="00FD0E02" w:rsidRDefault="00A95428" w:rsidP="006C07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FD0E02">
              <w:rPr>
                <w:rFonts w:ascii="Arial" w:eastAsiaTheme="minorHAnsi" w:hAnsi="Arial" w:cs="Arial"/>
                <w:bCs/>
                <w:color w:val="000000" w:themeColor="text1"/>
                <w:sz w:val="18"/>
                <w:szCs w:val="18"/>
                <w:lang w:eastAsia="en-US"/>
              </w:rPr>
              <w:t xml:space="preserve">II) Determinar que, não havendo possibilidade de combustíveis alternativos OCTE (RANP nº 48/2007), óleo diesel B S1800 (RANP nº 45/2012), S500 (RANP nº 50/2013) para utilização em termelétricas, pelos motivos emergenciais que revestem o caso, a distribuidora e as empresas geradoras de energia </w:t>
            </w:r>
            <w:r w:rsidRPr="00FD0E02">
              <w:rPr>
                <w:rFonts w:ascii="Arial" w:eastAsiaTheme="minorHAnsi" w:hAnsi="Arial" w:cs="Arial"/>
                <w:bCs/>
                <w:color w:val="000000" w:themeColor="text1"/>
                <w:sz w:val="18"/>
                <w:szCs w:val="18"/>
                <w:lang w:eastAsia="en-US"/>
              </w:rPr>
              <w:lastRenderedPageBreak/>
              <w:t xml:space="preserve">elétrica que façam uso do óleo combustível autorizado no item I, deverão assumir as responsabilidades por quaisquer danos causados aos equipamentos das térmicas, à segurança e ao meio ambiente; e </w:t>
            </w:r>
          </w:p>
          <w:p w:rsidR="00A95428" w:rsidRPr="00FD0E02" w:rsidRDefault="00A95428" w:rsidP="006C07FD">
            <w:pPr>
              <w:widowControl/>
              <w:adjustRightInd/>
              <w:spacing w:line="240" w:lineRule="auto"/>
              <w:contextualSpacing/>
              <w:textAlignment w:val="auto"/>
              <w:rPr>
                <w:rFonts w:ascii="Arial" w:eastAsiaTheme="minorHAnsi" w:hAnsi="Arial" w:cs="Arial"/>
                <w:bCs/>
                <w:color w:val="000000" w:themeColor="text1"/>
                <w:sz w:val="18"/>
                <w:szCs w:val="18"/>
                <w:lang w:eastAsia="en-US"/>
              </w:rPr>
            </w:pPr>
            <w:r w:rsidRPr="00FD0E02">
              <w:rPr>
                <w:rFonts w:ascii="Arial" w:eastAsiaTheme="minorHAnsi" w:hAnsi="Arial" w:cs="Arial"/>
                <w:bCs/>
                <w:color w:val="000000" w:themeColor="text1"/>
                <w:sz w:val="18"/>
                <w:szCs w:val="18"/>
                <w:lang w:eastAsia="en-US"/>
              </w:rPr>
              <w:t>III) Recomendar à Superintendência de Distribuição e Logística (SDL) que oficie ao solicitante que este é, na qualidade de fornecedor de combustível, integralmente responsável por eventuais danos causados nos equipamentos do destinatário/usuário, em decorrência do uso do produto não conforme.</w:t>
            </w:r>
          </w:p>
        </w:tc>
      </w:tr>
      <w:tr w:rsidR="00A95428" w:rsidRPr="005E45D6" w:rsidTr="006C07FD">
        <w:tc>
          <w:tcPr>
            <w:tcW w:w="1276" w:type="dxa"/>
            <w:shd w:val="clear" w:color="auto" w:fill="FFFFFF" w:themeFill="background1"/>
          </w:tcPr>
          <w:p w:rsidR="00A95428" w:rsidRPr="005E45D6"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lastRenderedPageBreak/>
              <w:t>11</w:t>
            </w:r>
            <w:r w:rsidRPr="005E45D6">
              <w:rPr>
                <w:rFonts w:ascii="Arial" w:eastAsiaTheme="minorHAnsi" w:hAnsi="Arial" w:cs="Arial"/>
                <w:bCs/>
                <w:sz w:val="18"/>
                <w:szCs w:val="18"/>
                <w:lang w:eastAsia="en-US"/>
              </w:rPr>
              <w:t>03</w:t>
            </w:r>
          </w:p>
        </w:tc>
        <w:tc>
          <w:tcPr>
            <w:tcW w:w="1134" w:type="dxa"/>
            <w:shd w:val="clear" w:color="auto" w:fill="FFFFFF" w:themeFill="background1"/>
          </w:tcPr>
          <w:p w:rsidR="00A95428" w:rsidRPr="005E45D6"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5E45D6">
              <w:rPr>
                <w:rFonts w:ascii="Arial" w:eastAsiaTheme="minorHAnsi" w:hAnsi="Arial" w:cs="Arial"/>
                <w:bCs/>
                <w:sz w:val="18"/>
                <w:szCs w:val="18"/>
                <w:lang w:eastAsia="en-US"/>
              </w:rPr>
              <w:t>136/2021</w:t>
            </w:r>
          </w:p>
        </w:tc>
        <w:tc>
          <w:tcPr>
            <w:tcW w:w="1985" w:type="dxa"/>
            <w:shd w:val="clear" w:color="auto" w:fill="FFFFFF" w:themeFill="background1"/>
          </w:tcPr>
          <w:p w:rsidR="00A95428" w:rsidRPr="005E45D6" w:rsidRDefault="00A95428" w:rsidP="006C07FD">
            <w:pPr>
              <w:pStyle w:val="textoalinhadoesquerdaespacamentosimples"/>
              <w:jc w:val="center"/>
              <w:rPr>
                <w:rFonts w:ascii="Arial" w:eastAsiaTheme="minorHAnsi" w:hAnsi="Arial" w:cs="Arial"/>
                <w:bCs/>
                <w:sz w:val="18"/>
                <w:szCs w:val="18"/>
                <w:lang w:eastAsia="en-US"/>
              </w:rPr>
            </w:pPr>
            <w:r w:rsidRPr="005E45D6">
              <w:rPr>
                <w:rFonts w:ascii="Arial" w:eastAsiaTheme="minorHAnsi" w:hAnsi="Arial" w:cs="Arial"/>
                <w:bCs/>
                <w:sz w:val="18"/>
                <w:szCs w:val="18"/>
                <w:lang w:eastAsia="en-US"/>
              </w:rPr>
              <w:t>48610.003069/2017</w:t>
            </w:r>
          </w:p>
          <w:p w:rsidR="00A95428" w:rsidRPr="005E45D6"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A95428" w:rsidRPr="005E45D6"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E45D6">
              <w:rPr>
                <w:rFonts w:ascii="Arial" w:eastAsiaTheme="minorHAnsi" w:hAnsi="Arial" w:cs="Arial"/>
                <w:bCs/>
                <w:sz w:val="18"/>
                <w:szCs w:val="18"/>
                <w:lang w:eastAsia="en-US"/>
              </w:rPr>
              <w:t>1º aditivo ao Termo de Transferência de Tecnologia e Confidencialidade TTTC/2018, para prorrogação de vigência por 24 (vinte e quatro) meses a partir de 12/06/2021, no âmbito do Programa de Marcação Compulsória de Produtos (PMCP), com base na Resolução ANP nº 3, de 2011, e §4º do art. 5º da Lei nº 10.336, de 2001</w:t>
            </w:r>
          </w:p>
          <w:p w:rsidR="00A95428" w:rsidRPr="005E45D6"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850" w:type="dxa"/>
            <w:shd w:val="clear" w:color="auto" w:fill="FFFFFF" w:themeFill="background1"/>
          </w:tcPr>
          <w:p w:rsidR="00A95428" w:rsidRPr="005E45D6"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SBQ</w:t>
            </w:r>
          </w:p>
        </w:tc>
        <w:tc>
          <w:tcPr>
            <w:tcW w:w="1354" w:type="dxa"/>
            <w:shd w:val="clear" w:color="auto" w:fill="FFFFFF" w:themeFill="background1"/>
          </w:tcPr>
          <w:p w:rsidR="00A95428" w:rsidRPr="005E45D6" w:rsidRDefault="00A95428" w:rsidP="006C07FD">
            <w:pPr>
              <w:pStyle w:val="textoalinhadoesquerdaespacamentosimples"/>
              <w:jc w:val="center"/>
              <w:rPr>
                <w:rFonts w:ascii="Arial" w:eastAsiaTheme="minorHAnsi" w:hAnsi="Arial" w:cs="Arial"/>
                <w:bCs/>
                <w:sz w:val="18"/>
                <w:szCs w:val="18"/>
                <w:lang w:eastAsia="en-US"/>
              </w:rPr>
            </w:pPr>
            <w:r w:rsidRPr="005E45D6">
              <w:rPr>
                <w:rFonts w:ascii="Arial" w:eastAsiaTheme="minorHAnsi" w:hAnsi="Arial" w:cs="Arial"/>
                <w:bCs/>
                <w:sz w:val="18"/>
                <w:szCs w:val="18"/>
                <w:lang w:eastAsia="en-US"/>
              </w:rPr>
              <w:t>326/2021</w:t>
            </w:r>
          </w:p>
          <w:p w:rsidR="00A95428" w:rsidRPr="005E45D6"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275" w:type="dxa"/>
            <w:shd w:val="clear" w:color="auto" w:fill="FFFFFF" w:themeFill="background1"/>
          </w:tcPr>
          <w:p w:rsidR="00A95428" w:rsidRPr="005E45D6"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E373CD">
              <w:rPr>
                <w:rFonts w:ascii="Arial" w:eastAsiaTheme="minorHAnsi" w:hAnsi="Arial" w:cs="Arial"/>
                <w:bCs/>
                <w:sz w:val="18"/>
                <w:szCs w:val="18"/>
                <w:lang w:eastAsia="en-US"/>
              </w:rPr>
              <w:t>11/06/2021</w:t>
            </w:r>
          </w:p>
        </w:tc>
        <w:tc>
          <w:tcPr>
            <w:tcW w:w="1340" w:type="dxa"/>
            <w:shd w:val="clear" w:color="auto" w:fill="FFFFFF" w:themeFill="background1"/>
          </w:tcPr>
          <w:p w:rsidR="00A95428" w:rsidRPr="00A07E3A" w:rsidRDefault="00A95428" w:rsidP="006C07FD">
            <w:pPr>
              <w:widowControl/>
              <w:adjustRightInd/>
              <w:spacing w:line="240" w:lineRule="auto"/>
              <w:contextualSpacing/>
              <w:jc w:val="center"/>
              <w:textAlignment w:val="auto"/>
              <w:rPr>
                <w:rFonts w:ascii="Arial" w:eastAsiaTheme="minorHAnsi" w:hAnsi="Arial" w:cs="Arial"/>
                <w:bCs/>
                <w:sz w:val="18"/>
                <w:szCs w:val="18"/>
                <w:lang w:eastAsia="en-US"/>
              </w:rPr>
            </w:pPr>
            <w:r w:rsidRPr="00F311D2">
              <w:rPr>
                <w:rFonts w:ascii="Arial" w:eastAsiaTheme="minorHAnsi" w:hAnsi="Arial" w:cs="Arial"/>
                <w:bCs/>
                <w:sz w:val="18"/>
                <w:szCs w:val="18"/>
                <w:lang w:eastAsia="en-US"/>
              </w:rPr>
              <w:t>Symone Araujo</w:t>
            </w:r>
          </w:p>
        </w:tc>
        <w:tc>
          <w:tcPr>
            <w:tcW w:w="4395" w:type="dxa"/>
            <w:shd w:val="clear" w:color="auto" w:fill="FFFFFF" w:themeFill="background1"/>
          </w:tcPr>
          <w:p w:rsidR="00A95428" w:rsidRPr="005E45D6"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E45D6">
              <w:rPr>
                <w:rFonts w:ascii="Arial" w:eastAsiaTheme="minorHAnsi" w:hAnsi="Arial" w:cs="Arial"/>
                <w:bCs/>
                <w:sz w:val="18"/>
                <w:szCs w:val="18"/>
                <w:lang w:eastAsia="en-US"/>
              </w:rPr>
              <w:t>A Diretoria da Agência Nacional do Petróleo, Gás Natural e Biocombustíveis - ANP, com base na Proposta de Ação nº 136, de 25 de Março de 2021, na Nota Técnica nº 18/2021/SBQ, no Oficio nº 5/2019/DEPCONSU/PGF/AGU e no Despacho nº 221/2021/SGA-CA/SGA/ANP-RJ, resolve:</w:t>
            </w:r>
          </w:p>
          <w:p w:rsidR="00A95428" w:rsidRPr="005E45D6" w:rsidRDefault="00A95428" w:rsidP="006C07FD">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5E45D6">
              <w:rPr>
                <w:rFonts w:ascii="Arial" w:eastAsiaTheme="minorHAnsi" w:hAnsi="Arial" w:cs="Arial"/>
                <w:bCs/>
                <w:sz w:val="18"/>
                <w:szCs w:val="18"/>
                <w:lang w:eastAsia="en-US"/>
              </w:rPr>
              <w:t xml:space="preserve">Aprovar o 1º aditivo ao Termo de Transferência de Tecnologia e Confidencialidade - TTTC/2018 firmado com a </w:t>
            </w:r>
            <w:proofErr w:type="spellStart"/>
            <w:r w:rsidRPr="005E45D6">
              <w:rPr>
                <w:rFonts w:ascii="Arial" w:eastAsiaTheme="minorHAnsi" w:hAnsi="Arial" w:cs="Arial"/>
                <w:bCs/>
                <w:sz w:val="18"/>
                <w:szCs w:val="18"/>
                <w:lang w:eastAsia="en-US"/>
              </w:rPr>
              <w:t>Tracerco</w:t>
            </w:r>
            <w:proofErr w:type="spellEnd"/>
            <w:r w:rsidRPr="005E45D6">
              <w:rPr>
                <w:rFonts w:ascii="Arial" w:eastAsiaTheme="minorHAnsi" w:hAnsi="Arial" w:cs="Arial"/>
                <w:bCs/>
                <w:sz w:val="18"/>
                <w:szCs w:val="18"/>
                <w:lang w:eastAsia="en-US"/>
              </w:rPr>
              <w:t xml:space="preserve"> do Brasil - Diagnósticos de Processos Industriais Ltda., prorrogando sua vigência por um período adicional de 24 (vinte e quatro) meses a partir de 12/06/2021, sem ônus para a ANP.</w:t>
            </w:r>
          </w:p>
        </w:tc>
      </w:tr>
      <w:tr w:rsidR="00A95428" w:rsidRPr="00065991" w:rsidTr="006C07FD">
        <w:tc>
          <w:tcPr>
            <w:tcW w:w="16444" w:type="dxa"/>
            <w:gridSpan w:val="9"/>
            <w:shd w:val="clear" w:color="auto" w:fill="FFFFFF" w:themeFill="background1"/>
          </w:tcPr>
          <w:p w:rsidR="00A95428" w:rsidRPr="00333944" w:rsidRDefault="00A95428" w:rsidP="006C07FD">
            <w:pPr>
              <w:pStyle w:val="NormalWeb"/>
              <w:spacing w:before="0" w:beforeAutospacing="0" w:after="0" w:afterAutospacing="0"/>
              <w:contextualSpacing/>
              <w:rPr>
                <w:rFonts w:ascii="Arial" w:eastAsiaTheme="minorHAnsi" w:hAnsi="Arial" w:cs="Arial"/>
                <w:b/>
                <w:sz w:val="18"/>
                <w:szCs w:val="18"/>
                <w:lang w:eastAsia="en-US"/>
              </w:rPr>
            </w:pPr>
            <w:r>
              <w:rPr>
                <w:rFonts w:ascii="Arial" w:eastAsiaTheme="minorHAnsi" w:hAnsi="Arial" w:cs="Arial"/>
                <w:b/>
                <w:sz w:val="18"/>
                <w:szCs w:val="18"/>
                <w:lang w:eastAsia="en-US"/>
              </w:rPr>
              <w:t>PA</w:t>
            </w:r>
            <w:r w:rsidRPr="00333944">
              <w:rPr>
                <w:rFonts w:ascii="Arial" w:eastAsiaTheme="minorHAnsi" w:hAnsi="Arial" w:cs="Arial"/>
                <w:b/>
                <w:sz w:val="18"/>
                <w:szCs w:val="18"/>
                <w:lang w:eastAsia="en-US"/>
              </w:rPr>
              <w:t xml:space="preserve"> = Proposta de Ação</w:t>
            </w:r>
          </w:p>
          <w:p w:rsidR="00A95428" w:rsidRPr="00333944" w:rsidRDefault="00A95428" w:rsidP="006C07FD">
            <w:pPr>
              <w:widowControl/>
              <w:adjustRightInd/>
              <w:spacing w:line="240" w:lineRule="auto"/>
              <w:contextualSpacing/>
              <w:textAlignment w:val="auto"/>
              <w:rPr>
                <w:rFonts w:ascii="Arial" w:eastAsiaTheme="minorHAnsi" w:hAnsi="Arial" w:cs="Arial"/>
                <w:b/>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rsidR="00D21680" w:rsidRDefault="00D21680"/>
    <w:sectPr w:rsidR="00D21680" w:rsidSect="00A95428">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428" w:rsidRDefault="00A95428" w:rsidP="00A95428">
      <w:pPr>
        <w:spacing w:line="240" w:lineRule="auto"/>
      </w:pPr>
      <w:r>
        <w:separator/>
      </w:r>
    </w:p>
  </w:endnote>
  <w:endnote w:type="continuationSeparator" w:id="0">
    <w:p w:rsidR="00A95428" w:rsidRDefault="00A95428" w:rsidP="00A95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428" w:rsidRDefault="00A95428" w:rsidP="00A95428">
      <w:pPr>
        <w:spacing w:line="240" w:lineRule="auto"/>
      </w:pPr>
      <w:r>
        <w:separator/>
      </w:r>
    </w:p>
  </w:footnote>
  <w:footnote w:type="continuationSeparator" w:id="0">
    <w:p w:rsidR="00A95428" w:rsidRDefault="00A95428" w:rsidP="00A954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428" w:rsidRDefault="00A95428">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685461396"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28"/>
    <w:rsid w:val="00000E34"/>
    <w:rsid w:val="00005F6D"/>
    <w:rsid w:val="000237E2"/>
    <w:rsid w:val="000245DC"/>
    <w:rsid w:val="00030AB6"/>
    <w:rsid w:val="00032B09"/>
    <w:rsid w:val="000331F2"/>
    <w:rsid w:val="0004012E"/>
    <w:rsid w:val="0004516B"/>
    <w:rsid w:val="00045504"/>
    <w:rsid w:val="000520B6"/>
    <w:rsid w:val="000523DC"/>
    <w:rsid w:val="00062D64"/>
    <w:rsid w:val="00065645"/>
    <w:rsid w:val="00066FA7"/>
    <w:rsid w:val="00071C3D"/>
    <w:rsid w:val="00076A0C"/>
    <w:rsid w:val="00081CDC"/>
    <w:rsid w:val="00083BE4"/>
    <w:rsid w:val="00092F8B"/>
    <w:rsid w:val="000B7C53"/>
    <w:rsid w:val="000C270F"/>
    <w:rsid w:val="000C5BBC"/>
    <w:rsid w:val="000C7FB2"/>
    <w:rsid w:val="000D1162"/>
    <w:rsid w:val="000D26AC"/>
    <w:rsid w:val="000D42F8"/>
    <w:rsid w:val="000D5863"/>
    <w:rsid w:val="000D74C0"/>
    <w:rsid w:val="000E4B00"/>
    <w:rsid w:val="00100628"/>
    <w:rsid w:val="00111553"/>
    <w:rsid w:val="00116930"/>
    <w:rsid w:val="00127978"/>
    <w:rsid w:val="00133078"/>
    <w:rsid w:val="00136D82"/>
    <w:rsid w:val="00150A3A"/>
    <w:rsid w:val="00153DAC"/>
    <w:rsid w:val="001554D6"/>
    <w:rsid w:val="00157985"/>
    <w:rsid w:val="001617BC"/>
    <w:rsid w:val="001659ED"/>
    <w:rsid w:val="001719EB"/>
    <w:rsid w:val="0018069C"/>
    <w:rsid w:val="00181A5B"/>
    <w:rsid w:val="00184F4A"/>
    <w:rsid w:val="00193429"/>
    <w:rsid w:val="00195F38"/>
    <w:rsid w:val="00196AAF"/>
    <w:rsid w:val="001A66AE"/>
    <w:rsid w:val="001B200F"/>
    <w:rsid w:val="001B7E9A"/>
    <w:rsid w:val="001C0377"/>
    <w:rsid w:val="001C1DEF"/>
    <w:rsid w:val="001C4B78"/>
    <w:rsid w:val="001C7D66"/>
    <w:rsid w:val="001D07D7"/>
    <w:rsid w:val="001D19C2"/>
    <w:rsid w:val="001D39B1"/>
    <w:rsid w:val="001D4933"/>
    <w:rsid w:val="001D6775"/>
    <w:rsid w:val="001D7488"/>
    <w:rsid w:val="001E3C3F"/>
    <w:rsid w:val="00203A00"/>
    <w:rsid w:val="002051B7"/>
    <w:rsid w:val="00213857"/>
    <w:rsid w:val="00217822"/>
    <w:rsid w:val="002207F1"/>
    <w:rsid w:val="002239CE"/>
    <w:rsid w:val="002325C4"/>
    <w:rsid w:val="00232C48"/>
    <w:rsid w:val="00245375"/>
    <w:rsid w:val="00251557"/>
    <w:rsid w:val="00251D23"/>
    <w:rsid w:val="00254CB6"/>
    <w:rsid w:val="00263132"/>
    <w:rsid w:val="002679A5"/>
    <w:rsid w:val="00267A68"/>
    <w:rsid w:val="00267A78"/>
    <w:rsid w:val="002708C6"/>
    <w:rsid w:val="00271F45"/>
    <w:rsid w:val="00271FA7"/>
    <w:rsid w:val="00275EF9"/>
    <w:rsid w:val="002761F5"/>
    <w:rsid w:val="00282DD4"/>
    <w:rsid w:val="00292ABF"/>
    <w:rsid w:val="00293E3C"/>
    <w:rsid w:val="002972ED"/>
    <w:rsid w:val="002A3107"/>
    <w:rsid w:val="002A5CF7"/>
    <w:rsid w:val="002B2F57"/>
    <w:rsid w:val="002B7C72"/>
    <w:rsid w:val="002C342A"/>
    <w:rsid w:val="002D0FC7"/>
    <w:rsid w:val="002E16DA"/>
    <w:rsid w:val="002F4D30"/>
    <w:rsid w:val="00301AA9"/>
    <w:rsid w:val="00302A7D"/>
    <w:rsid w:val="00310555"/>
    <w:rsid w:val="003133D3"/>
    <w:rsid w:val="00316639"/>
    <w:rsid w:val="00330EC0"/>
    <w:rsid w:val="00337CAF"/>
    <w:rsid w:val="003412DC"/>
    <w:rsid w:val="00347207"/>
    <w:rsid w:val="00354403"/>
    <w:rsid w:val="00354A26"/>
    <w:rsid w:val="00356CF4"/>
    <w:rsid w:val="00370E34"/>
    <w:rsid w:val="00372683"/>
    <w:rsid w:val="00375722"/>
    <w:rsid w:val="0037705C"/>
    <w:rsid w:val="003777B1"/>
    <w:rsid w:val="003824DA"/>
    <w:rsid w:val="00384717"/>
    <w:rsid w:val="00387FF3"/>
    <w:rsid w:val="003A29A0"/>
    <w:rsid w:val="003A2D3A"/>
    <w:rsid w:val="003A3139"/>
    <w:rsid w:val="003A5FFB"/>
    <w:rsid w:val="003B0050"/>
    <w:rsid w:val="003B1692"/>
    <w:rsid w:val="003B6758"/>
    <w:rsid w:val="003C2AAC"/>
    <w:rsid w:val="003D5790"/>
    <w:rsid w:val="003E6706"/>
    <w:rsid w:val="003F1589"/>
    <w:rsid w:val="004011DB"/>
    <w:rsid w:val="0040417F"/>
    <w:rsid w:val="00406027"/>
    <w:rsid w:val="00406896"/>
    <w:rsid w:val="00413DFD"/>
    <w:rsid w:val="00414A2A"/>
    <w:rsid w:val="0041574A"/>
    <w:rsid w:val="004166C7"/>
    <w:rsid w:val="00417081"/>
    <w:rsid w:val="004260DE"/>
    <w:rsid w:val="004265F5"/>
    <w:rsid w:val="004358AC"/>
    <w:rsid w:val="004415BC"/>
    <w:rsid w:val="00444D17"/>
    <w:rsid w:val="00447E6C"/>
    <w:rsid w:val="004527D0"/>
    <w:rsid w:val="004569E4"/>
    <w:rsid w:val="00462B5F"/>
    <w:rsid w:val="004632D4"/>
    <w:rsid w:val="00464774"/>
    <w:rsid w:val="00471F38"/>
    <w:rsid w:val="0047497B"/>
    <w:rsid w:val="00475FCD"/>
    <w:rsid w:val="0048545B"/>
    <w:rsid w:val="0048648F"/>
    <w:rsid w:val="00487252"/>
    <w:rsid w:val="004877BE"/>
    <w:rsid w:val="00492AA6"/>
    <w:rsid w:val="00493E0F"/>
    <w:rsid w:val="004A0417"/>
    <w:rsid w:val="004A6379"/>
    <w:rsid w:val="004B455A"/>
    <w:rsid w:val="004B58DB"/>
    <w:rsid w:val="004C63DD"/>
    <w:rsid w:val="004D6F30"/>
    <w:rsid w:val="004D715E"/>
    <w:rsid w:val="004E5C51"/>
    <w:rsid w:val="004F2966"/>
    <w:rsid w:val="004F3442"/>
    <w:rsid w:val="005047A9"/>
    <w:rsid w:val="0051127A"/>
    <w:rsid w:val="0051370C"/>
    <w:rsid w:val="0051416D"/>
    <w:rsid w:val="00520FEE"/>
    <w:rsid w:val="0053150B"/>
    <w:rsid w:val="00532F87"/>
    <w:rsid w:val="00537E4C"/>
    <w:rsid w:val="005470CB"/>
    <w:rsid w:val="00551457"/>
    <w:rsid w:val="005635C0"/>
    <w:rsid w:val="005734A9"/>
    <w:rsid w:val="005778F8"/>
    <w:rsid w:val="00586030"/>
    <w:rsid w:val="005874F4"/>
    <w:rsid w:val="00590C25"/>
    <w:rsid w:val="00596E29"/>
    <w:rsid w:val="005A237D"/>
    <w:rsid w:val="005A253E"/>
    <w:rsid w:val="005A2660"/>
    <w:rsid w:val="005A63EF"/>
    <w:rsid w:val="005B225F"/>
    <w:rsid w:val="005B2BAC"/>
    <w:rsid w:val="005B3F48"/>
    <w:rsid w:val="005B554E"/>
    <w:rsid w:val="005B7FB9"/>
    <w:rsid w:val="005C4A9B"/>
    <w:rsid w:val="005C6ED1"/>
    <w:rsid w:val="005D1F0E"/>
    <w:rsid w:val="005D4307"/>
    <w:rsid w:val="005D55FC"/>
    <w:rsid w:val="005E0979"/>
    <w:rsid w:val="005E2589"/>
    <w:rsid w:val="005E5143"/>
    <w:rsid w:val="005F5F1E"/>
    <w:rsid w:val="00605F38"/>
    <w:rsid w:val="006073AD"/>
    <w:rsid w:val="0061292B"/>
    <w:rsid w:val="00612F78"/>
    <w:rsid w:val="006168F4"/>
    <w:rsid w:val="00625018"/>
    <w:rsid w:val="0063297F"/>
    <w:rsid w:val="00635C44"/>
    <w:rsid w:val="0064412B"/>
    <w:rsid w:val="0065119A"/>
    <w:rsid w:val="00651C11"/>
    <w:rsid w:val="00652699"/>
    <w:rsid w:val="0066155F"/>
    <w:rsid w:val="00667774"/>
    <w:rsid w:val="0067117D"/>
    <w:rsid w:val="00671F7B"/>
    <w:rsid w:val="00682B4A"/>
    <w:rsid w:val="0068350E"/>
    <w:rsid w:val="00690388"/>
    <w:rsid w:val="00694056"/>
    <w:rsid w:val="006A1EF3"/>
    <w:rsid w:val="006B4483"/>
    <w:rsid w:val="006B487B"/>
    <w:rsid w:val="006B5F68"/>
    <w:rsid w:val="006B7F2B"/>
    <w:rsid w:val="006C6448"/>
    <w:rsid w:val="006D1320"/>
    <w:rsid w:val="006D6864"/>
    <w:rsid w:val="006D6F39"/>
    <w:rsid w:val="006E0564"/>
    <w:rsid w:val="006E1308"/>
    <w:rsid w:val="006E532F"/>
    <w:rsid w:val="006F1A58"/>
    <w:rsid w:val="0070244C"/>
    <w:rsid w:val="00703553"/>
    <w:rsid w:val="00705371"/>
    <w:rsid w:val="00706823"/>
    <w:rsid w:val="00707C91"/>
    <w:rsid w:val="007216E4"/>
    <w:rsid w:val="00722D8F"/>
    <w:rsid w:val="00723E9D"/>
    <w:rsid w:val="007251FE"/>
    <w:rsid w:val="0073151B"/>
    <w:rsid w:val="0073275B"/>
    <w:rsid w:val="0073412E"/>
    <w:rsid w:val="0074325A"/>
    <w:rsid w:val="007502DC"/>
    <w:rsid w:val="0075051F"/>
    <w:rsid w:val="00750FE8"/>
    <w:rsid w:val="007512CB"/>
    <w:rsid w:val="00752743"/>
    <w:rsid w:val="0075279B"/>
    <w:rsid w:val="00752915"/>
    <w:rsid w:val="007548C2"/>
    <w:rsid w:val="007567D9"/>
    <w:rsid w:val="007665E7"/>
    <w:rsid w:val="00766B3F"/>
    <w:rsid w:val="00770645"/>
    <w:rsid w:val="00771EFC"/>
    <w:rsid w:val="00796707"/>
    <w:rsid w:val="007A035D"/>
    <w:rsid w:val="007A6A52"/>
    <w:rsid w:val="007B0A78"/>
    <w:rsid w:val="007B3930"/>
    <w:rsid w:val="007C124B"/>
    <w:rsid w:val="007C1D2E"/>
    <w:rsid w:val="007C1EEB"/>
    <w:rsid w:val="007C20EE"/>
    <w:rsid w:val="007C25B9"/>
    <w:rsid w:val="007C5485"/>
    <w:rsid w:val="007D1DB8"/>
    <w:rsid w:val="007D4351"/>
    <w:rsid w:val="007D635E"/>
    <w:rsid w:val="007E2092"/>
    <w:rsid w:val="007E4760"/>
    <w:rsid w:val="007E554B"/>
    <w:rsid w:val="007E6F46"/>
    <w:rsid w:val="007E7460"/>
    <w:rsid w:val="007E7A27"/>
    <w:rsid w:val="00800F1F"/>
    <w:rsid w:val="00806981"/>
    <w:rsid w:val="00811025"/>
    <w:rsid w:val="00825E46"/>
    <w:rsid w:val="0084300F"/>
    <w:rsid w:val="00843B5C"/>
    <w:rsid w:val="00851F8B"/>
    <w:rsid w:val="0086525E"/>
    <w:rsid w:val="008727EF"/>
    <w:rsid w:val="008754F7"/>
    <w:rsid w:val="00875ADF"/>
    <w:rsid w:val="00883144"/>
    <w:rsid w:val="00885A73"/>
    <w:rsid w:val="00885A8D"/>
    <w:rsid w:val="008A0004"/>
    <w:rsid w:val="008A04BE"/>
    <w:rsid w:val="008A462C"/>
    <w:rsid w:val="008B05AE"/>
    <w:rsid w:val="008B19F8"/>
    <w:rsid w:val="008C0B32"/>
    <w:rsid w:val="008C4DCF"/>
    <w:rsid w:val="008C6533"/>
    <w:rsid w:val="008C6B3D"/>
    <w:rsid w:val="008D1B31"/>
    <w:rsid w:val="008D5822"/>
    <w:rsid w:val="008E123A"/>
    <w:rsid w:val="008E3D10"/>
    <w:rsid w:val="008F12CF"/>
    <w:rsid w:val="008F3658"/>
    <w:rsid w:val="008F3A25"/>
    <w:rsid w:val="008F3A53"/>
    <w:rsid w:val="008F40DD"/>
    <w:rsid w:val="009016D0"/>
    <w:rsid w:val="00904735"/>
    <w:rsid w:val="00906CA0"/>
    <w:rsid w:val="00915476"/>
    <w:rsid w:val="00921BEA"/>
    <w:rsid w:val="009301D4"/>
    <w:rsid w:val="009324BD"/>
    <w:rsid w:val="00933AE6"/>
    <w:rsid w:val="00954097"/>
    <w:rsid w:val="00954F5B"/>
    <w:rsid w:val="0095618F"/>
    <w:rsid w:val="00964802"/>
    <w:rsid w:val="00966BD4"/>
    <w:rsid w:val="009707B9"/>
    <w:rsid w:val="00973097"/>
    <w:rsid w:val="0097777B"/>
    <w:rsid w:val="00981E03"/>
    <w:rsid w:val="009835F8"/>
    <w:rsid w:val="009837DD"/>
    <w:rsid w:val="00984939"/>
    <w:rsid w:val="009A1DFF"/>
    <w:rsid w:val="009A58C3"/>
    <w:rsid w:val="009B5C5E"/>
    <w:rsid w:val="009B69BE"/>
    <w:rsid w:val="009B7AC1"/>
    <w:rsid w:val="009C0B97"/>
    <w:rsid w:val="009D0F3C"/>
    <w:rsid w:val="009D1C28"/>
    <w:rsid w:val="009D2E53"/>
    <w:rsid w:val="009D5CDB"/>
    <w:rsid w:val="009E7644"/>
    <w:rsid w:val="009F5441"/>
    <w:rsid w:val="00A0513D"/>
    <w:rsid w:val="00A061D2"/>
    <w:rsid w:val="00A11C77"/>
    <w:rsid w:val="00A17E3A"/>
    <w:rsid w:val="00A21503"/>
    <w:rsid w:val="00A21868"/>
    <w:rsid w:val="00A27636"/>
    <w:rsid w:val="00A3098F"/>
    <w:rsid w:val="00A40F88"/>
    <w:rsid w:val="00A413E3"/>
    <w:rsid w:val="00A4195B"/>
    <w:rsid w:val="00A43647"/>
    <w:rsid w:val="00A52520"/>
    <w:rsid w:val="00A57C23"/>
    <w:rsid w:val="00A61873"/>
    <w:rsid w:val="00A64779"/>
    <w:rsid w:val="00A76F15"/>
    <w:rsid w:val="00A77678"/>
    <w:rsid w:val="00A77ACA"/>
    <w:rsid w:val="00A77E9C"/>
    <w:rsid w:val="00A81236"/>
    <w:rsid w:val="00A934A5"/>
    <w:rsid w:val="00A94015"/>
    <w:rsid w:val="00A95410"/>
    <w:rsid w:val="00A95428"/>
    <w:rsid w:val="00A96006"/>
    <w:rsid w:val="00A97EA7"/>
    <w:rsid w:val="00AB1B29"/>
    <w:rsid w:val="00AB2706"/>
    <w:rsid w:val="00AB6A9F"/>
    <w:rsid w:val="00AB6F4D"/>
    <w:rsid w:val="00AC1472"/>
    <w:rsid w:val="00AC2B66"/>
    <w:rsid w:val="00AC53A8"/>
    <w:rsid w:val="00AD22F5"/>
    <w:rsid w:val="00AD479D"/>
    <w:rsid w:val="00AD48FA"/>
    <w:rsid w:val="00AE164C"/>
    <w:rsid w:val="00AE4638"/>
    <w:rsid w:val="00AE78A7"/>
    <w:rsid w:val="00AF01E3"/>
    <w:rsid w:val="00AF41B6"/>
    <w:rsid w:val="00AF4574"/>
    <w:rsid w:val="00AF4C49"/>
    <w:rsid w:val="00AF61B4"/>
    <w:rsid w:val="00B07BA3"/>
    <w:rsid w:val="00B205C3"/>
    <w:rsid w:val="00B2116E"/>
    <w:rsid w:val="00B318C8"/>
    <w:rsid w:val="00B32BC8"/>
    <w:rsid w:val="00B32ED7"/>
    <w:rsid w:val="00B35A56"/>
    <w:rsid w:val="00B44A7F"/>
    <w:rsid w:val="00B4740F"/>
    <w:rsid w:val="00B6189A"/>
    <w:rsid w:val="00B77D70"/>
    <w:rsid w:val="00B800E1"/>
    <w:rsid w:val="00B815A1"/>
    <w:rsid w:val="00B84BFA"/>
    <w:rsid w:val="00B947BB"/>
    <w:rsid w:val="00B973FC"/>
    <w:rsid w:val="00B97EC7"/>
    <w:rsid w:val="00BA1F53"/>
    <w:rsid w:val="00BA52BD"/>
    <w:rsid w:val="00BB34E9"/>
    <w:rsid w:val="00BB69D9"/>
    <w:rsid w:val="00BC2914"/>
    <w:rsid w:val="00BC4556"/>
    <w:rsid w:val="00BD0707"/>
    <w:rsid w:val="00BD2B2C"/>
    <w:rsid w:val="00BD3D83"/>
    <w:rsid w:val="00BD3DC9"/>
    <w:rsid w:val="00BD545F"/>
    <w:rsid w:val="00BD6C3B"/>
    <w:rsid w:val="00BE2F49"/>
    <w:rsid w:val="00BE316C"/>
    <w:rsid w:val="00BF0ADD"/>
    <w:rsid w:val="00C016E9"/>
    <w:rsid w:val="00C058E5"/>
    <w:rsid w:val="00C12860"/>
    <w:rsid w:val="00C205E7"/>
    <w:rsid w:val="00C22E0A"/>
    <w:rsid w:val="00C36D20"/>
    <w:rsid w:val="00C40D55"/>
    <w:rsid w:val="00C44A97"/>
    <w:rsid w:val="00C4650A"/>
    <w:rsid w:val="00C47254"/>
    <w:rsid w:val="00C51607"/>
    <w:rsid w:val="00C62B76"/>
    <w:rsid w:val="00C640F0"/>
    <w:rsid w:val="00C71082"/>
    <w:rsid w:val="00C71D47"/>
    <w:rsid w:val="00C82F89"/>
    <w:rsid w:val="00C915BC"/>
    <w:rsid w:val="00C92FEC"/>
    <w:rsid w:val="00C9384F"/>
    <w:rsid w:val="00CC45B3"/>
    <w:rsid w:val="00CD1F6C"/>
    <w:rsid w:val="00CD3C70"/>
    <w:rsid w:val="00CD3FF2"/>
    <w:rsid w:val="00CE6C1F"/>
    <w:rsid w:val="00D043F3"/>
    <w:rsid w:val="00D0475B"/>
    <w:rsid w:val="00D0581D"/>
    <w:rsid w:val="00D1687A"/>
    <w:rsid w:val="00D20B64"/>
    <w:rsid w:val="00D20D51"/>
    <w:rsid w:val="00D21680"/>
    <w:rsid w:val="00D221DA"/>
    <w:rsid w:val="00D244B6"/>
    <w:rsid w:val="00D30953"/>
    <w:rsid w:val="00D40890"/>
    <w:rsid w:val="00D44547"/>
    <w:rsid w:val="00D540C1"/>
    <w:rsid w:val="00D61D52"/>
    <w:rsid w:val="00D631F1"/>
    <w:rsid w:val="00D6616E"/>
    <w:rsid w:val="00D67600"/>
    <w:rsid w:val="00D7462B"/>
    <w:rsid w:val="00D8037F"/>
    <w:rsid w:val="00D80A40"/>
    <w:rsid w:val="00D84305"/>
    <w:rsid w:val="00D857F6"/>
    <w:rsid w:val="00D87459"/>
    <w:rsid w:val="00D91959"/>
    <w:rsid w:val="00D969A4"/>
    <w:rsid w:val="00DA0518"/>
    <w:rsid w:val="00DB3ADE"/>
    <w:rsid w:val="00DB6757"/>
    <w:rsid w:val="00DC1AF4"/>
    <w:rsid w:val="00DC2BE5"/>
    <w:rsid w:val="00DC66E3"/>
    <w:rsid w:val="00DD3651"/>
    <w:rsid w:val="00DE409E"/>
    <w:rsid w:val="00DE6CD7"/>
    <w:rsid w:val="00DF288C"/>
    <w:rsid w:val="00E03E27"/>
    <w:rsid w:val="00E0453C"/>
    <w:rsid w:val="00E101DC"/>
    <w:rsid w:val="00E14B27"/>
    <w:rsid w:val="00E20D65"/>
    <w:rsid w:val="00E21CDB"/>
    <w:rsid w:val="00E358B4"/>
    <w:rsid w:val="00E366F9"/>
    <w:rsid w:val="00E3695E"/>
    <w:rsid w:val="00E37363"/>
    <w:rsid w:val="00E37D79"/>
    <w:rsid w:val="00E51612"/>
    <w:rsid w:val="00E51C41"/>
    <w:rsid w:val="00E52A37"/>
    <w:rsid w:val="00E54498"/>
    <w:rsid w:val="00E60B06"/>
    <w:rsid w:val="00E67AF9"/>
    <w:rsid w:val="00E7233A"/>
    <w:rsid w:val="00E8087A"/>
    <w:rsid w:val="00E81763"/>
    <w:rsid w:val="00E850B9"/>
    <w:rsid w:val="00E91F76"/>
    <w:rsid w:val="00E95E9E"/>
    <w:rsid w:val="00EA04CD"/>
    <w:rsid w:val="00EA157A"/>
    <w:rsid w:val="00EA5987"/>
    <w:rsid w:val="00EB1750"/>
    <w:rsid w:val="00EB2710"/>
    <w:rsid w:val="00EB33A8"/>
    <w:rsid w:val="00EB4FE8"/>
    <w:rsid w:val="00EB7116"/>
    <w:rsid w:val="00EC0260"/>
    <w:rsid w:val="00EC495B"/>
    <w:rsid w:val="00ED0FCC"/>
    <w:rsid w:val="00EE2DFE"/>
    <w:rsid w:val="00EF5F3D"/>
    <w:rsid w:val="00EF6198"/>
    <w:rsid w:val="00F024C1"/>
    <w:rsid w:val="00F06CE7"/>
    <w:rsid w:val="00F076AF"/>
    <w:rsid w:val="00F11659"/>
    <w:rsid w:val="00F21528"/>
    <w:rsid w:val="00F25A5D"/>
    <w:rsid w:val="00F25FC1"/>
    <w:rsid w:val="00F26572"/>
    <w:rsid w:val="00F265F8"/>
    <w:rsid w:val="00F35476"/>
    <w:rsid w:val="00F35CCA"/>
    <w:rsid w:val="00F40EBE"/>
    <w:rsid w:val="00F40F7A"/>
    <w:rsid w:val="00F510E6"/>
    <w:rsid w:val="00F6060E"/>
    <w:rsid w:val="00F62B84"/>
    <w:rsid w:val="00F634F7"/>
    <w:rsid w:val="00F64295"/>
    <w:rsid w:val="00F76FCB"/>
    <w:rsid w:val="00F82DB2"/>
    <w:rsid w:val="00F83CB4"/>
    <w:rsid w:val="00F879F5"/>
    <w:rsid w:val="00F92670"/>
    <w:rsid w:val="00F93F29"/>
    <w:rsid w:val="00FB1622"/>
    <w:rsid w:val="00FC1A74"/>
    <w:rsid w:val="00FC1BDE"/>
    <w:rsid w:val="00FD01BD"/>
    <w:rsid w:val="00FD336E"/>
    <w:rsid w:val="00FE27C6"/>
    <w:rsid w:val="00FE2B77"/>
    <w:rsid w:val="00FE5A92"/>
    <w:rsid w:val="00FF0A91"/>
    <w:rsid w:val="00FF4289"/>
    <w:rsid w:val="00FF510F"/>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5AFA96"/>
  <w15:chartTrackingRefBased/>
  <w15:docId w15:val="{F851D603-6067-4B3C-B3F9-C2DBA5E1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28"/>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9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5428"/>
    <w:pPr>
      <w:spacing w:before="100" w:beforeAutospacing="1" w:after="100" w:afterAutospacing="1" w:line="240" w:lineRule="auto"/>
    </w:pPr>
    <w:rPr>
      <w:sz w:val="24"/>
      <w:szCs w:val="24"/>
    </w:rPr>
  </w:style>
  <w:style w:type="paragraph" w:customStyle="1" w:styleId="textoalinhadoesquerdaespacamentosimples">
    <w:name w:val="texto_alinhado_esquerda_espacamento_simples"/>
    <w:basedOn w:val="Normal"/>
    <w:rsid w:val="00A95428"/>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A95428"/>
    <w:pPr>
      <w:tabs>
        <w:tab w:val="center" w:pos="4252"/>
        <w:tab w:val="right" w:pos="8504"/>
      </w:tabs>
      <w:spacing w:line="240" w:lineRule="auto"/>
    </w:pPr>
  </w:style>
  <w:style w:type="character" w:customStyle="1" w:styleId="CabealhoChar">
    <w:name w:val="Cabeçalho Char"/>
    <w:basedOn w:val="Fontepargpadro"/>
    <w:link w:val="Cabealho"/>
    <w:uiPriority w:val="99"/>
    <w:rsid w:val="00A9542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95428"/>
    <w:pPr>
      <w:tabs>
        <w:tab w:val="center" w:pos="4252"/>
        <w:tab w:val="right" w:pos="8504"/>
      </w:tabs>
      <w:spacing w:line="240" w:lineRule="auto"/>
    </w:pPr>
  </w:style>
  <w:style w:type="character" w:customStyle="1" w:styleId="RodapChar">
    <w:name w:val="Rodapé Char"/>
    <w:basedOn w:val="Fontepargpadro"/>
    <w:link w:val="Rodap"/>
    <w:uiPriority w:val="99"/>
    <w:rsid w:val="00A9542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2579</Words>
  <Characters>13931</Characters>
  <Application>Microsoft Office Word</Application>
  <DocSecurity>0</DocSecurity>
  <Lines>116</Lines>
  <Paragraphs>32</Paragraphs>
  <ScaleCrop>false</ScaleCrop>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2021-06-17T21:50:00Z</dcterms:created>
  <dcterms:modified xsi:type="dcterms:W3CDTF">2021-06-17T21:57:00Z</dcterms:modified>
</cp:coreProperties>
</file>