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6444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276"/>
        <w:gridCol w:w="1134"/>
        <w:gridCol w:w="1985"/>
        <w:gridCol w:w="2835"/>
        <w:gridCol w:w="850"/>
        <w:gridCol w:w="1354"/>
        <w:gridCol w:w="1275"/>
        <w:gridCol w:w="1340"/>
        <w:gridCol w:w="4395"/>
      </w:tblGrid>
      <w:tr w:rsidR="00D678D1" w:rsidTr="00EC0F35">
        <w:trPr>
          <w:trHeight w:val="420"/>
        </w:trPr>
        <w:tc>
          <w:tcPr>
            <w:tcW w:w="16444" w:type="dxa"/>
            <w:gridSpan w:val="9"/>
            <w:shd w:val="clear" w:color="auto" w:fill="2E74B5" w:themeFill="accent1" w:themeFillShade="BF"/>
          </w:tcPr>
          <w:p w:rsidR="00D678D1" w:rsidRDefault="00D678D1" w:rsidP="00792C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bookmarkStart w:id="0" w:name="_GoBack"/>
            <w:bookmarkEnd w:id="0"/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DECISÕES TOMADAS EM CIRCUITO DELIBERATIVO  (</w:t>
            </w:r>
            <w:r w:rsidR="00341D1A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02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 a </w:t>
            </w:r>
            <w:r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08/10</w:t>
            </w:r>
            <w:r w:rsidRPr="00333944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 xml:space="preserve">/2020) </w:t>
            </w:r>
          </w:p>
          <w:p w:rsidR="00B1212A" w:rsidRPr="00333944" w:rsidRDefault="00B1212A" w:rsidP="00792CCB">
            <w:pPr>
              <w:spacing w:before="120" w:after="120" w:line="240" w:lineRule="auto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D678D1" w:rsidRPr="00065991" w:rsidTr="00EC0F35">
        <w:tc>
          <w:tcPr>
            <w:tcW w:w="1276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D678D1" w:rsidRPr="00E529F2" w:rsidTr="00EC0F35">
        <w:tc>
          <w:tcPr>
            <w:tcW w:w="1276" w:type="dxa"/>
            <w:shd w:val="clear" w:color="auto" w:fill="auto"/>
          </w:tcPr>
          <w:p w:rsidR="00D678D1" w:rsidRPr="00E529F2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29F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0710</w:t>
            </w:r>
          </w:p>
        </w:tc>
        <w:tc>
          <w:tcPr>
            <w:tcW w:w="1134" w:type="dxa"/>
            <w:shd w:val="clear" w:color="auto" w:fill="auto"/>
          </w:tcPr>
          <w:p w:rsidR="00D678D1" w:rsidRPr="00E529F2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29F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0591/2020</w:t>
            </w:r>
          </w:p>
        </w:tc>
        <w:tc>
          <w:tcPr>
            <w:tcW w:w="1985" w:type="dxa"/>
            <w:shd w:val="clear" w:color="auto" w:fill="auto"/>
          </w:tcPr>
          <w:p w:rsidR="00D678D1" w:rsidRPr="00E529F2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29F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48610.213658/2020</w:t>
            </w:r>
          </w:p>
        </w:tc>
        <w:tc>
          <w:tcPr>
            <w:tcW w:w="2835" w:type="dxa"/>
            <w:shd w:val="clear" w:color="auto" w:fill="auto"/>
          </w:tcPr>
          <w:p w:rsidR="00D678D1" w:rsidRPr="00E529F2" w:rsidRDefault="00D678D1" w:rsidP="00EC0F3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29F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Avaliação do balanço entre a oferta e a demanda prevista de biodiesel para o sexto bimestre de 2020 - L76</w:t>
            </w:r>
          </w:p>
        </w:tc>
        <w:tc>
          <w:tcPr>
            <w:tcW w:w="850" w:type="dxa"/>
            <w:shd w:val="clear" w:color="auto" w:fill="auto"/>
          </w:tcPr>
          <w:p w:rsidR="00D678D1" w:rsidRPr="00E529F2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29F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SDL</w:t>
            </w:r>
          </w:p>
        </w:tc>
        <w:tc>
          <w:tcPr>
            <w:tcW w:w="1354" w:type="dxa"/>
            <w:shd w:val="clear" w:color="auto" w:fill="auto"/>
          </w:tcPr>
          <w:p w:rsidR="00D678D1" w:rsidRPr="00E529F2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29F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0499/2020</w:t>
            </w:r>
          </w:p>
        </w:tc>
        <w:tc>
          <w:tcPr>
            <w:tcW w:w="1275" w:type="dxa"/>
            <w:shd w:val="clear" w:color="auto" w:fill="auto"/>
          </w:tcPr>
          <w:p w:rsidR="00D678D1" w:rsidRPr="00E529F2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29F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07/10/2020</w:t>
            </w:r>
          </w:p>
        </w:tc>
        <w:tc>
          <w:tcPr>
            <w:tcW w:w="1340" w:type="dxa"/>
            <w:shd w:val="clear" w:color="auto" w:fill="auto"/>
          </w:tcPr>
          <w:p w:rsidR="00D678D1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29F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 </w:t>
            </w:r>
          </w:p>
          <w:p w:rsidR="00D678D1" w:rsidRPr="00E529F2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E529F2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MOURA</w:t>
            </w:r>
          </w:p>
        </w:tc>
        <w:tc>
          <w:tcPr>
            <w:tcW w:w="4395" w:type="dxa"/>
            <w:shd w:val="clear" w:color="auto" w:fill="auto"/>
          </w:tcPr>
          <w:p w:rsidR="00D678D1" w:rsidRPr="005F72E6" w:rsidRDefault="00D678D1" w:rsidP="00EC0F3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F72E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0591, de 5 de outubro de 2020, resolve:</w:t>
            </w:r>
          </w:p>
          <w:p w:rsidR="00D678D1" w:rsidRPr="005F72E6" w:rsidRDefault="00D678D1" w:rsidP="00EC0F3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F72E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aprovar a redução da mistura obrigatória de biodiesel ao óleo diesel de 12% para 11% nos meses de novembro e dezembro de 2020;</w:t>
            </w:r>
          </w:p>
          <w:p w:rsidR="00D678D1" w:rsidRPr="005F72E6" w:rsidRDefault="00D678D1" w:rsidP="00EC0F35">
            <w:pPr>
              <w:widowControl/>
              <w:adjustRightInd/>
              <w:spacing w:before="120" w:after="120" w:line="240" w:lineRule="auto"/>
              <w:ind w:left="12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F72E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de forma a mitigar eventuais riscos decorrentes da adoção do B11, e em razão da não adoção de margem de segurança ligeiramente inferior aos 20% (vinte por cento) inicialmente proposto, recomendar que a SDL utilize as ferramentas já aplicadas em leilões anteriores, para assegurar o abastecimento de combustíveis, conforme se segue:</w:t>
            </w:r>
          </w:p>
          <w:p w:rsidR="00D678D1" w:rsidRPr="005F72E6" w:rsidRDefault="00D678D1" w:rsidP="00EC0F35">
            <w:pPr>
              <w:widowControl/>
              <w:adjustRightInd/>
              <w:spacing w:before="120" w:after="120" w:line="240" w:lineRule="auto"/>
              <w:ind w:left="60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F72E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a) no caso de todo o volume ofertado pelos produtores de biodiesel ser adquirido pelos distribuidores de combustíveis na etapa comercial (etapa 3), promover o encerramento do leilão, evitando-se, dessa forma, o aumento dos preços, com a respectiva publicação do Aviso no dia anterior, contendo a programação de finalização do leilão para faixa horária do dia seguinte; e</w:t>
            </w:r>
          </w:p>
          <w:p w:rsidR="00D678D1" w:rsidRPr="005F72E6" w:rsidRDefault="00D678D1" w:rsidP="00EC0F35">
            <w:pPr>
              <w:widowControl/>
              <w:adjustRightInd/>
              <w:spacing w:before="120" w:after="120" w:line="240" w:lineRule="auto"/>
              <w:ind w:left="600" w:right="120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5F72E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 xml:space="preserve">b) monitorar as entregas e níveis de estoques dos distribuidores, após a realização do leilão, podendo propor à Diretoria Colegiada, para determinado período do último bimestre de 2020, a redução do mandato obrigatório de adição </w:t>
            </w:r>
            <w:r w:rsidRPr="005F72E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lastRenderedPageBreak/>
              <w:t>do biodiesel ao Diesel A, caso seja constatado risco ao abastecimento.</w:t>
            </w:r>
          </w:p>
          <w:p w:rsidR="00D678D1" w:rsidRPr="005F72E6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678D1" w:rsidRPr="00065991" w:rsidTr="00EC0F35">
        <w:tc>
          <w:tcPr>
            <w:tcW w:w="1276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lastRenderedPageBreak/>
              <w:t>Circuito</w:t>
            </w:r>
          </w:p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D678D1" w:rsidRPr="00B55156" w:rsidTr="00EC0F35">
        <w:tc>
          <w:tcPr>
            <w:tcW w:w="1276" w:type="dxa"/>
            <w:shd w:val="clear" w:color="auto" w:fill="FFFFFF" w:themeFill="background1"/>
          </w:tcPr>
          <w:p w:rsidR="00D678D1" w:rsidRPr="00B55156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551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0698</w:t>
            </w:r>
          </w:p>
          <w:p w:rsidR="00D678D1" w:rsidRPr="00B55156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D678D1" w:rsidRPr="00B55156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551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0572/2020</w:t>
            </w:r>
          </w:p>
          <w:p w:rsidR="00D678D1" w:rsidRPr="00B55156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D678D1" w:rsidRPr="00B55156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551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48610.005997/2014</w:t>
            </w:r>
          </w:p>
        </w:tc>
        <w:tc>
          <w:tcPr>
            <w:tcW w:w="2835" w:type="dxa"/>
            <w:shd w:val="clear" w:color="auto" w:fill="FFFFFF" w:themeFill="background1"/>
          </w:tcPr>
          <w:p w:rsidR="00D678D1" w:rsidRPr="00B55156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</w:t>
            </w:r>
            <w:r w:rsidRPr="00B551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omeação e Exoneração de Servidor - SDP</w:t>
            </w:r>
          </w:p>
        </w:tc>
        <w:tc>
          <w:tcPr>
            <w:tcW w:w="850" w:type="dxa"/>
            <w:shd w:val="clear" w:color="auto" w:fill="FFFFFF" w:themeFill="background1"/>
          </w:tcPr>
          <w:p w:rsidR="00D678D1" w:rsidRPr="00B55156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333333"/>
              </w:rPr>
              <w:t>SGP</w:t>
            </w:r>
          </w:p>
        </w:tc>
        <w:tc>
          <w:tcPr>
            <w:tcW w:w="1354" w:type="dxa"/>
            <w:shd w:val="clear" w:color="auto" w:fill="FFFFFF" w:themeFill="background1"/>
          </w:tcPr>
          <w:p w:rsidR="00D678D1" w:rsidRPr="00B55156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551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0498/2020</w:t>
            </w:r>
          </w:p>
          <w:p w:rsidR="00D678D1" w:rsidRPr="00B55156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shd w:val="clear" w:color="auto" w:fill="FFFFFF" w:themeFill="background1"/>
          </w:tcPr>
          <w:p w:rsidR="00D678D1" w:rsidRPr="00B55156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551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02/10/2020</w:t>
            </w:r>
          </w:p>
        </w:tc>
        <w:tc>
          <w:tcPr>
            <w:tcW w:w="1340" w:type="dxa"/>
            <w:shd w:val="clear" w:color="auto" w:fill="FFFFFF" w:themeFill="background1"/>
          </w:tcPr>
          <w:p w:rsidR="00D678D1" w:rsidRPr="00B55156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333333"/>
              </w:rPr>
              <w:t>JOSÉ GUTMAN</w:t>
            </w:r>
          </w:p>
        </w:tc>
        <w:tc>
          <w:tcPr>
            <w:tcW w:w="4395" w:type="dxa"/>
            <w:shd w:val="clear" w:color="auto" w:fill="FFFFFF" w:themeFill="background1"/>
          </w:tcPr>
          <w:p w:rsidR="00D678D1" w:rsidRPr="00B55156" w:rsidRDefault="00D678D1" w:rsidP="00EC0F35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551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0572, de 24 de setembro de 2020, resolve:</w:t>
            </w:r>
          </w:p>
          <w:p w:rsidR="00D678D1" w:rsidRPr="00B55156" w:rsidRDefault="00D678D1" w:rsidP="00EC0F35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55156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Nomear JESSICA RODRIGUÊS VIEIRA no cargo comissionado CAS-II, de Assistente de Desenvolvimento e Produção em Campos Terrestres, na SDP/ANP.</w:t>
            </w:r>
          </w:p>
          <w:p w:rsidR="00D678D1" w:rsidRPr="00B55156" w:rsidRDefault="00D678D1" w:rsidP="00EC0F35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678D1" w:rsidRPr="00065991" w:rsidTr="00EC0F35">
        <w:tc>
          <w:tcPr>
            <w:tcW w:w="1276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Circuito</w:t>
            </w:r>
          </w:p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Deliberativo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</w:t>
            </w:r>
          </w:p>
        </w:tc>
        <w:tc>
          <w:tcPr>
            <w:tcW w:w="1985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Processo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Assunto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UORG</w:t>
            </w:r>
          </w:p>
        </w:tc>
        <w:tc>
          <w:tcPr>
            <w:tcW w:w="1354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Resolução de Diretoria</w:t>
            </w:r>
          </w:p>
        </w:tc>
        <w:tc>
          <w:tcPr>
            <w:tcW w:w="1275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Data de aprovação</w:t>
            </w:r>
          </w:p>
        </w:tc>
        <w:tc>
          <w:tcPr>
            <w:tcW w:w="1340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Diretor</w:t>
            </w:r>
          </w:p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Relator</w:t>
            </w:r>
          </w:p>
        </w:tc>
        <w:tc>
          <w:tcPr>
            <w:tcW w:w="4395" w:type="dxa"/>
            <w:shd w:val="clear" w:color="auto" w:fill="D5DCE4" w:themeFill="text2" w:themeFillTint="33"/>
          </w:tcPr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jc w:val="center"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Decisão</w:t>
            </w:r>
          </w:p>
        </w:tc>
      </w:tr>
      <w:tr w:rsidR="00D678D1" w:rsidRPr="00C92524" w:rsidTr="00EC0F35">
        <w:tc>
          <w:tcPr>
            <w:tcW w:w="1276" w:type="dxa"/>
            <w:shd w:val="clear" w:color="auto" w:fill="FFFFFF" w:themeFill="background1"/>
          </w:tcPr>
          <w:p w:rsidR="00D678D1" w:rsidRPr="00C92524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925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0699</w:t>
            </w:r>
          </w:p>
        </w:tc>
        <w:tc>
          <w:tcPr>
            <w:tcW w:w="1134" w:type="dxa"/>
            <w:shd w:val="clear" w:color="auto" w:fill="FFFFFF" w:themeFill="background1"/>
          </w:tcPr>
          <w:p w:rsidR="00D678D1" w:rsidRPr="00C92524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925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0570/2020</w:t>
            </w:r>
          </w:p>
        </w:tc>
        <w:tc>
          <w:tcPr>
            <w:tcW w:w="1985" w:type="dxa"/>
            <w:shd w:val="clear" w:color="auto" w:fill="FFFFFF" w:themeFill="background1"/>
          </w:tcPr>
          <w:p w:rsidR="00D678D1" w:rsidRPr="00C92524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925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48610.015261/2007</w:t>
            </w:r>
          </w:p>
          <w:p w:rsidR="00D678D1" w:rsidRPr="00C92524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2835" w:type="dxa"/>
            <w:shd w:val="clear" w:color="auto" w:fill="FFFFFF" w:themeFill="background1"/>
          </w:tcPr>
          <w:p w:rsidR="00D678D1" w:rsidRPr="00C92524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925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Reestruturação de Cargos Comissionados</w:t>
            </w:r>
          </w:p>
        </w:tc>
        <w:tc>
          <w:tcPr>
            <w:tcW w:w="850" w:type="dxa"/>
            <w:shd w:val="clear" w:color="auto" w:fill="FFFFFF" w:themeFill="background1"/>
          </w:tcPr>
          <w:p w:rsidR="00D678D1" w:rsidRPr="00C92524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color w:val="333333"/>
              </w:rPr>
              <w:t>SGP</w:t>
            </w:r>
          </w:p>
        </w:tc>
        <w:tc>
          <w:tcPr>
            <w:tcW w:w="1354" w:type="dxa"/>
            <w:shd w:val="clear" w:color="auto" w:fill="FFFFFF" w:themeFill="background1"/>
          </w:tcPr>
          <w:p w:rsidR="00D678D1" w:rsidRPr="00C92524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925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0497/2020</w:t>
            </w:r>
          </w:p>
        </w:tc>
        <w:tc>
          <w:tcPr>
            <w:tcW w:w="1275" w:type="dxa"/>
            <w:shd w:val="clear" w:color="auto" w:fill="FFFFFF" w:themeFill="background1"/>
          </w:tcPr>
          <w:p w:rsidR="00D678D1" w:rsidRPr="00C92524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925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02/10/2020</w:t>
            </w:r>
          </w:p>
        </w:tc>
        <w:tc>
          <w:tcPr>
            <w:tcW w:w="1340" w:type="dxa"/>
            <w:shd w:val="clear" w:color="auto" w:fill="FFFFFF" w:themeFill="background1"/>
          </w:tcPr>
          <w:p w:rsidR="00D678D1" w:rsidRPr="00C92524" w:rsidRDefault="00D678D1" w:rsidP="00EC0F35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B64E90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RAPHAEL MOURA</w:t>
            </w:r>
          </w:p>
        </w:tc>
        <w:tc>
          <w:tcPr>
            <w:tcW w:w="4395" w:type="dxa"/>
            <w:shd w:val="clear" w:color="auto" w:fill="FFFFFF" w:themeFill="background1"/>
          </w:tcPr>
          <w:p w:rsidR="00D678D1" w:rsidRPr="00C92524" w:rsidRDefault="00D678D1" w:rsidP="00EC0F35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925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A Diretoria da Agência Nacional do Petróleo, Gás Natural e Biocombustíveis - ANP, com base na Proposta de Ação nº 0570, de 24 de setembro de 2020, resolve:</w:t>
            </w:r>
          </w:p>
          <w:p w:rsidR="00D678D1" w:rsidRPr="00C92524" w:rsidRDefault="00D678D1" w:rsidP="00EC0F35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925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I) alterar os quantitativos e a distribuição dos cargos em comissão da estrutura da ANP de: 1 (um) CGE-III, 1 (um) CCT-V, 1 (um) CCT-III, 1 (um) CCT-II e R$ 849,72 do Saldo da ANP, para: 1 (um) CGE-IV, 1 (um) CCT-IV , 1 (um) CA-III e 2 (dois) CAS-II;</w:t>
            </w:r>
          </w:p>
          <w:p w:rsidR="00D678D1" w:rsidRPr="00C92524" w:rsidRDefault="00D678D1" w:rsidP="00EC0F35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925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II) alterar os anexos II e III do Regimento Interno da ANP, publicado na Portaria ANP nº 265, de 10 de setembro de 2020, no Diário Oficial da União de 11 de setembro de 2020; e</w:t>
            </w:r>
          </w:p>
          <w:p w:rsidR="00D678D1" w:rsidRPr="00C92524" w:rsidRDefault="00D678D1" w:rsidP="00EC0F35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  <w:r w:rsidRPr="00C92524"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  <w:t>III) no prazo de no máximo 60 dias da alocação temporária do cargo comissionado CGE IV na SSM, devolver para o saldo da ANP o valor equivalente e devolver o cargo comissionado CCT V, de Coordenador de Exploração e Produção, para a Procuradoria Geral.</w:t>
            </w:r>
          </w:p>
          <w:p w:rsidR="00D678D1" w:rsidRPr="00C92524" w:rsidRDefault="00D678D1" w:rsidP="00EC0F35">
            <w:pPr>
              <w:widowControl/>
              <w:adjustRightInd/>
              <w:spacing w:line="240" w:lineRule="auto"/>
              <w:textAlignment w:val="auto"/>
              <w:rPr>
                <w:rFonts w:ascii="Arial" w:eastAsiaTheme="minorHAnsi" w:hAnsi="Arial" w:cs="Arial"/>
                <w:bCs/>
                <w:sz w:val="18"/>
                <w:szCs w:val="18"/>
                <w:lang w:eastAsia="en-US"/>
              </w:rPr>
            </w:pPr>
          </w:p>
        </w:tc>
      </w:tr>
      <w:tr w:rsidR="00D678D1" w:rsidRPr="00065991" w:rsidTr="00EC0F35">
        <w:tc>
          <w:tcPr>
            <w:tcW w:w="16444" w:type="dxa"/>
            <w:gridSpan w:val="9"/>
            <w:shd w:val="clear" w:color="auto" w:fill="FFFFFF" w:themeFill="background1"/>
          </w:tcPr>
          <w:p w:rsidR="00D678D1" w:rsidRPr="00333944" w:rsidRDefault="00D678D1" w:rsidP="00EC0F35">
            <w:pPr>
              <w:pStyle w:val="NormalWeb"/>
              <w:spacing w:before="0" w:beforeAutospacing="0" w:after="0" w:afterAutospacing="0"/>
              <w:contextualSpacing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 w:rsidRPr="00333944"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  <w:t>PA = Proposta de Ação</w:t>
            </w:r>
          </w:p>
          <w:p w:rsidR="00D678D1" w:rsidRPr="00333944" w:rsidRDefault="00D678D1" w:rsidP="00EC0F35">
            <w:pPr>
              <w:widowControl/>
              <w:adjustRightInd/>
              <w:spacing w:line="240" w:lineRule="auto"/>
              <w:contextualSpacing/>
              <w:textAlignment w:val="auto"/>
              <w:rPr>
                <w:rFonts w:ascii="Arial" w:eastAsiaTheme="minorHAnsi" w:hAnsi="Arial" w:cs="Arial"/>
                <w:b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Pr="00333944">
              <w:rPr>
                <w:rFonts w:ascii="Arial" w:hAnsi="Arial" w:cs="Arial"/>
                <w:b/>
                <w:sz w:val="18"/>
                <w:szCs w:val="18"/>
              </w:rPr>
              <w:t>ORG = Unidade Organizacional</w:t>
            </w:r>
          </w:p>
        </w:tc>
      </w:tr>
    </w:tbl>
    <w:p w:rsidR="0038488B" w:rsidRDefault="0038488B"/>
    <w:sectPr w:rsidR="0038488B" w:rsidSect="00D678D1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38E0" w:rsidRDefault="009238E0" w:rsidP="00D678D1">
      <w:pPr>
        <w:spacing w:line="240" w:lineRule="auto"/>
      </w:pPr>
      <w:r>
        <w:separator/>
      </w:r>
    </w:p>
  </w:endnote>
  <w:endnote w:type="continuationSeparator" w:id="0">
    <w:p w:rsidR="009238E0" w:rsidRDefault="009238E0" w:rsidP="00D678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38E0" w:rsidRDefault="009238E0" w:rsidP="00D678D1">
      <w:pPr>
        <w:spacing w:line="240" w:lineRule="auto"/>
      </w:pPr>
      <w:r>
        <w:separator/>
      </w:r>
    </w:p>
  </w:footnote>
  <w:footnote w:type="continuationSeparator" w:id="0">
    <w:p w:rsidR="009238E0" w:rsidRDefault="009238E0" w:rsidP="00D678D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78D1" w:rsidRDefault="009238E0">
    <w:pPr>
      <w:pStyle w:val="Cabealho"/>
    </w:pPr>
    <w:r>
      <w:rPr>
        <w:noProof/>
      </w:rPr>
      <w:object w:dxaOrig="1440" w:dyaOrig="1440" w14:anchorId="6D08A9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9.7pt;margin-top:-19.6pt;width:133.25pt;height:57.8pt;z-index:251658240">
          <v:imagedata r:id="rId1" o:title=""/>
          <w10:wrap type="topAndBottom" anchorx="page"/>
        </v:shape>
        <o:OLEObject Type="Embed" ProgID="MSPhotoEd.3" ShapeID="_x0000_s2049" DrawAspect="Content" ObjectID="_1696087763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D1"/>
    <w:rsid w:val="00004DA3"/>
    <w:rsid w:val="00012429"/>
    <w:rsid w:val="000151A2"/>
    <w:rsid w:val="000260F3"/>
    <w:rsid w:val="00034C02"/>
    <w:rsid w:val="00057036"/>
    <w:rsid w:val="00060A1A"/>
    <w:rsid w:val="000832F2"/>
    <w:rsid w:val="00090D96"/>
    <w:rsid w:val="0009383C"/>
    <w:rsid w:val="00094C5F"/>
    <w:rsid w:val="000A426A"/>
    <w:rsid w:val="000A5D5D"/>
    <w:rsid w:val="000A719A"/>
    <w:rsid w:val="000A79F3"/>
    <w:rsid w:val="000B0B30"/>
    <w:rsid w:val="000B1F26"/>
    <w:rsid w:val="000B3E38"/>
    <w:rsid w:val="000C2C9B"/>
    <w:rsid w:val="000C360D"/>
    <w:rsid w:val="000C545B"/>
    <w:rsid w:val="000D5271"/>
    <w:rsid w:val="000E3A2E"/>
    <w:rsid w:val="000E4DD0"/>
    <w:rsid w:val="000F14F2"/>
    <w:rsid w:val="000F241F"/>
    <w:rsid w:val="00100113"/>
    <w:rsid w:val="00103463"/>
    <w:rsid w:val="00106935"/>
    <w:rsid w:val="001428E3"/>
    <w:rsid w:val="00146521"/>
    <w:rsid w:val="001470A0"/>
    <w:rsid w:val="001568AE"/>
    <w:rsid w:val="00161B4B"/>
    <w:rsid w:val="00174888"/>
    <w:rsid w:val="0018243D"/>
    <w:rsid w:val="00191623"/>
    <w:rsid w:val="001A1089"/>
    <w:rsid w:val="001B0243"/>
    <w:rsid w:val="001B0D38"/>
    <w:rsid w:val="001B79E9"/>
    <w:rsid w:val="001C0D49"/>
    <w:rsid w:val="001C1EEF"/>
    <w:rsid w:val="001C62F5"/>
    <w:rsid w:val="001D4A9C"/>
    <w:rsid w:val="001E08C2"/>
    <w:rsid w:val="001E4956"/>
    <w:rsid w:val="001E528C"/>
    <w:rsid w:val="001F24A7"/>
    <w:rsid w:val="001F518A"/>
    <w:rsid w:val="002003FB"/>
    <w:rsid w:val="0022054B"/>
    <w:rsid w:val="002209F8"/>
    <w:rsid w:val="0022278E"/>
    <w:rsid w:val="00234F5E"/>
    <w:rsid w:val="00243F62"/>
    <w:rsid w:val="0024415A"/>
    <w:rsid w:val="002558F1"/>
    <w:rsid w:val="00260F22"/>
    <w:rsid w:val="00265405"/>
    <w:rsid w:val="002726BA"/>
    <w:rsid w:val="00274DF3"/>
    <w:rsid w:val="00277B75"/>
    <w:rsid w:val="00280D0F"/>
    <w:rsid w:val="0028316B"/>
    <w:rsid w:val="00284E44"/>
    <w:rsid w:val="00292908"/>
    <w:rsid w:val="002A71F9"/>
    <w:rsid w:val="002B0556"/>
    <w:rsid w:val="002C0E37"/>
    <w:rsid w:val="002C3512"/>
    <w:rsid w:val="00304AAC"/>
    <w:rsid w:val="00304AF0"/>
    <w:rsid w:val="00307209"/>
    <w:rsid w:val="003127CC"/>
    <w:rsid w:val="00315CA3"/>
    <w:rsid w:val="00322FE3"/>
    <w:rsid w:val="00323E6A"/>
    <w:rsid w:val="00325964"/>
    <w:rsid w:val="003305BF"/>
    <w:rsid w:val="00334C42"/>
    <w:rsid w:val="00340CBF"/>
    <w:rsid w:val="00341D1A"/>
    <w:rsid w:val="00342364"/>
    <w:rsid w:val="0035135F"/>
    <w:rsid w:val="00351C65"/>
    <w:rsid w:val="00353C97"/>
    <w:rsid w:val="00354D12"/>
    <w:rsid w:val="00355D86"/>
    <w:rsid w:val="00367F11"/>
    <w:rsid w:val="00374FF6"/>
    <w:rsid w:val="0038488B"/>
    <w:rsid w:val="00384D57"/>
    <w:rsid w:val="003903E9"/>
    <w:rsid w:val="0039735A"/>
    <w:rsid w:val="003B466E"/>
    <w:rsid w:val="003B630A"/>
    <w:rsid w:val="003C63AC"/>
    <w:rsid w:val="003D7CE6"/>
    <w:rsid w:val="003F16A3"/>
    <w:rsid w:val="003F3033"/>
    <w:rsid w:val="003F682F"/>
    <w:rsid w:val="00400441"/>
    <w:rsid w:val="00400F5C"/>
    <w:rsid w:val="00401995"/>
    <w:rsid w:val="00417039"/>
    <w:rsid w:val="00430DBF"/>
    <w:rsid w:val="00431A40"/>
    <w:rsid w:val="00436C12"/>
    <w:rsid w:val="00437D1D"/>
    <w:rsid w:val="00451997"/>
    <w:rsid w:val="004531EF"/>
    <w:rsid w:val="00453B62"/>
    <w:rsid w:val="00454B33"/>
    <w:rsid w:val="004724C0"/>
    <w:rsid w:val="0047550D"/>
    <w:rsid w:val="00483247"/>
    <w:rsid w:val="0049009C"/>
    <w:rsid w:val="00496CE4"/>
    <w:rsid w:val="004A0BAE"/>
    <w:rsid w:val="004A0D47"/>
    <w:rsid w:val="004C3686"/>
    <w:rsid w:val="004C5D86"/>
    <w:rsid w:val="004C667C"/>
    <w:rsid w:val="004D1F30"/>
    <w:rsid w:val="004D3811"/>
    <w:rsid w:val="004D38BF"/>
    <w:rsid w:val="004D40D6"/>
    <w:rsid w:val="004E1056"/>
    <w:rsid w:val="004E2EB8"/>
    <w:rsid w:val="004E6995"/>
    <w:rsid w:val="004F3AEB"/>
    <w:rsid w:val="004F3D23"/>
    <w:rsid w:val="004F3DD8"/>
    <w:rsid w:val="005005B8"/>
    <w:rsid w:val="00501F7E"/>
    <w:rsid w:val="005119A1"/>
    <w:rsid w:val="00515398"/>
    <w:rsid w:val="00521255"/>
    <w:rsid w:val="005224EA"/>
    <w:rsid w:val="0052431F"/>
    <w:rsid w:val="00525761"/>
    <w:rsid w:val="00532AFC"/>
    <w:rsid w:val="00550678"/>
    <w:rsid w:val="00555762"/>
    <w:rsid w:val="00562069"/>
    <w:rsid w:val="0056524F"/>
    <w:rsid w:val="0056557E"/>
    <w:rsid w:val="00567916"/>
    <w:rsid w:val="00574836"/>
    <w:rsid w:val="005840E3"/>
    <w:rsid w:val="00586283"/>
    <w:rsid w:val="00587A1F"/>
    <w:rsid w:val="00587AE5"/>
    <w:rsid w:val="00593E84"/>
    <w:rsid w:val="005968FB"/>
    <w:rsid w:val="005A3272"/>
    <w:rsid w:val="005A3944"/>
    <w:rsid w:val="005A6A94"/>
    <w:rsid w:val="005C4239"/>
    <w:rsid w:val="005C7E62"/>
    <w:rsid w:val="005D726C"/>
    <w:rsid w:val="005E128C"/>
    <w:rsid w:val="005E2006"/>
    <w:rsid w:val="005E2510"/>
    <w:rsid w:val="005E59F7"/>
    <w:rsid w:val="005E5B0C"/>
    <w:rsid w:val="005E7C9F"/>
    <w:rsid w:val="00602EDD"/>
    <w:rsid w:val="0061371C"/>
    <w:rsid w:val="00622567"/>
    <w:rsid w:val="0062710D"/>
    <w:rsid w:val="00630EE0"/>
    <w:rsid w:val="00634E02"/>
    <w:rsid w:val="00642178"/>
    <w:rsid w:val="00644B94"/>
    <w:rsid w:val="0065353A"/>
    <w:rsid w:val="0066683D"/>
    <w:rsid w:val="00667DE6"/>
    <w:rsid w:val="00667FA0"/>
    <w:rsid w:val="00673713"/>
    <w:rsid w:val="00682830"/>
    <w:rsid w:val="006875B9"/>
    <w:rsid w:val="00695E1B"/>
    <w:rsid w:val="006A163B"/>
    <w:rsid w:val="006A2EDC"/>
    <w:rsid w:val="006A563D"/>
    <w:rsid w:val="006A5C0E"/>
    <w:rsid w:val="006B0AC1"/>
    <w:rsid w:val="006B1F90"/>
    <w:rsid w:val="006B4756"/>
    <w:rsid w:val="006B4956"/>
    <w:rsid w:val="006C5301"/>
    <w:rsid w:val="006D1A9B"/>
    <w:rsid w:val="006D4001"/>
    <w:rsid w:val="006E3CFA"/>
    <w:rsid w:val="006E4813"/>
    <w:rsid w:val="006E73F7"/>
    <w:rsid w:val="006F2F2E"/>
    <w:rsid w:val="006F4CB0"/>
    <w:rsid w:val="007031AA"/>
    <w:rsid w:val="00703725"/>
    <w:rsid w:val="0070376E"/>
    <w:rsid w:val="00716427"/>
    <w:rsid w:val="00734F98"/>
    <w:rsid w:val="007425EC"/>
    <w:rsid w:val="00745305"/>
    <w:rsid w:val="007528AC"/>
    <w:rsid w:val="00756079"/>
    <w:rsid w:val="007571EE"/>
    <w:rsid w:val="00761976"/>
    <w:rsid w:val="00774240"/>
    <w:rsid w:val="00776D7A"/>
    <w:rsid w:val="00791EBE"/>
    <w:rsid w:val="00792752"/>
    <w:rsid w:val="00792CCB"/>
    <w:rsid w:val="007A1D5E"/>
    <w:rsid w:val="007A6CEE"/>
    <w:rsid w:val="007A7A0B"/>
    <w:rsid w:val="007D4D73"/>
    <w:rsid w:val="007D71D0"/>
    <w:rsid w:val="007F62DE"/>
    <w:rsid w:val="008040D5"/>
    <w:rsid w:val="00815FEA"/>
    <w:rsid w:val="00826AB3"/>
    <w:rsid w:val="008369AF"/>
    <w:rsid w:val="00846A07"/>
    <w:rsid w:val="00847C1D"/>
    <w:rsid w:val="00851252"/>
    <w:rsid w:val="00852B20"/>
    <w:rsid w:val="0085558D"/>
    <w:rsid w:val="00864930"/>
    <w:rsid w:val="008666EE"/>
    <w:rsid w:val="00870A19"/>
    <w:rsid w:val="008A108E"/>
    <w:rsid w:val="008A1CEE"/>
    <w:rsid w:val="008A4351"/>
    <w:rsid w:val="008A6DD1"/>
    <w:rsid w:val="008B3102"/>
    <w:rsid w:val="008B5E8F"/>
    <w:rsid w:val="008B6F5C"/>
    <w:rsid w:val="008C0FED"/>
    <w:rsid w:val="008C4E6C"/>
    <w:rsid w:val="008C5B55"/>
    <w:rsid w:val="008C622C"/>
    <w:rsid w:val="008E4F12"/>
    <w:rsid w:val="008F5985"/>
    <w:rsid w:val="00900E15"/>
    <w:rsid w:val="00900FAF"/>
    <w:rsid w:val="009054C5"/>
    <w:rsid w:val="00907C79"/>
    <w:rsid w:val="00920367"/>
    <w:rsid w:val="00920CB4"/>
    <w:rsid w:val="009238E0"/>
    <w:rsid w:val="009309E6"/>
    <w:rsid w:val="00932186"/>
    <w:rsid w:val="0093325D"/>
    <w:rsid w:val="00947427"/>
    <w:rsid w:val="00947FF7"/>
    <w:rsid w:val="009525DA"/>
    <w:rsid w:val="00953B1A"/>
    <w:rsid w:val="009573DE"/>
    <w:rsid w:val="00957581"/>
    <w:rsid w:val="00964CA5"/>
    <w:rsid w:val="009956D8"/>
    <w:rsid w:val="009D06B3"/>
    <w:rsid w:val="009D67D9"/>
    <w:rsid w:val="009E41AD"/>
    <w:rsid w:val="009E4662"/>
    <w:rsid w:val="009F096F"/>
    <w:rsid w:val="009F0ABB"/>
    <w:rsid w:val="00A010C4"/>
    <w:rsid w:val="00A0278D"/>
    <w:rsid w:val="00A04266"/>
    <w:rsid w:val="00A11E45"/>
    <w:rsid w:val="00A13A2A"/>
    <w:rsid w:val="00A17CA1"/>
    <w:rsid w:val="00A24069"/>
    <w:rsid w:val="00A26129"/>
    <w:rsid w:val="00A27A17"/>
    <w:rsid w:val="00A328D2"/>
    <w:rsid w:val="00A36BC8"/>
    <w:rsid w:val="00A37812"/>
    <w:rsid w:val="00A40EFF"/>
    <w:rsid w:val="00A44A1B"/>
    <w:rsid w:val="00A51E06"/>
    <w:rsid w:val="00A5227B"/>
    <w:rsid w:val="00A52BE1"/>
    <w:rsid w:val="00A608F9"/>
    <w:rsid w:val="00A61640"/>
    <w:rsid w:val="00A75EB9"/>
    <w:rsid w:val="00A76759"/>
    <w:rsid w:val="00A77355"/>
    <w:rsid w:val="00A835D9"/>
    <w:rsid w:val="00A90A4F"/>
    <w:rsid w:val="00A91B2A"/>
    <w:rsid w:val="00A947DC"/>
    <w:rsid w:val="00A9617B"/>
    <w:rsid w:val="00A96847"/>
    <w:rsid w:val="00AA0DDE"/>
    <w:rsid w:val="00AA182C"/>
    <w:rsid w:val="00AA23A1"/>
    <w:rsid w:val="00AA5C2F"/>
    <w:rsid w:val="00AB0CF1"/>
    <w:rsid w:val="00AB171D"/>
    <w:rsid w:val="00AC304A"/>
    <w:rsid w:val="00AC4455"/>
    <w:rsid w:val="00AD18EC"/>
    <w:rsid w:val="00AE123C"/>
    <w:rsid w:val="00AE2A08"/>
    <w:rsid w:val="00AE7ED5"/>
    <w:rsid w:val="00AF39BA"/>
    <w:rsid w:val="00B05D91"/>
    <w:rsid w:val="00B06C8F"/>
    <w:rsid w:val="00B1212A"/>
    <w:rsid w:val="00B20768"/>
    <w:rsid w:val="00B27DFD"/>
    <w:rsid w:val="00B3090E"/>
    <w:rsid w:val="00B33EB9"/>
    <w:rsid w:val="00B53189"/>
    <w:rsid w:val="00B63396"/>
    <w:rsid w:val="00B64A66"/>
    <w:rsid w:val="00B70312"/>
    <w:rsid w:val="00B740C3"/>
    <w:rsid w:val="00B82174"/>
    <w:rsid w:val="00B82361"/>
    <w:rsid w:val="00B834B1"/>
    <w:rsid w:val="00B956E9"/>
    <w:rsid w:val="00BA303A"/>
    <w:rsid w:val="00BA3279"/>
    <w:rsid w:val="00BC4DD9"/>
    <w:rsid w:val="00BC5D31"/>
    <w:rsid w:val="00BD3B79"/>
    <w:rsid w:val="00BD4820"/>
    <w:rsid w:val="00BE7594"/>
    <w:rsid w:val="00BF5C1A"/>
    <w:rsid w:val="00C102B6"/>
    <w:rsid w:val="00C129A1"/>
    <w:rsid w:val="00C12B89"/>
    <w:rsid w:val="00C16995"/>
    <w:rsid w:val="00C1795A"/>
    <w:rsid w:val="00C27BD9"/>
    <w:rsid w:val="00C37180"/>
    <w:rsid w:val="00C41707"/>
    <w:rsid w:val="00C41C08"/>
    <w:rsid w:val="00C51574"/>
    <w:rsid w:val="00C603DC"/>
    <w:rsid w:val="00C63030"/>
    <w:rsid w:val="00C77DC6"/>
    <w:rsid w:val="00C84B1D"/>
    <w:rsid w:val="00C920D2"/>
    <w:rsid w:val="00C97E54"/>
    <w:rsid w:val="00CA1A4B"/>
    <w:rsid w:val="00CA27B6"/>
    <w:rsid w:val="00CA2C72"/>
    <w:rsid w:val="00CA6B6D"/>
    <w:rsid w:val="00CC27D7"/>
    <w:rsid w:val="00CE45D0"/>
    <w:rsid w:val="00CE65E3"/>
    <w:rsid w:val="00CF01C9"/>
    <w:rsid w:val="00CF3730"/>
    <w:rsid w:val="00CF4087"/>
    <w:rsid w:val="00D11F2B"/>
    <w:rsid w:val="00D20F87"/>
    <w:rsid w:val="00D2229F"/>
    <w:rsid w:val="00D253D8"/>
    <w:rsid w:val="00D4153F"/>
    <w:rsid w:val="00D45786"/>
    <w:rsid w:val="00D5311E"/>
    <w:rsid w:val="00D678D1"/>
    <w:rsid w:val="00D71B8A"/>
    <w:rsid w:val="00D74A52"/>
    <w:rsid w:val="00D75597"/>
    <w:rsid w:val="00D76E25"/>
    <w:rsid w:val="00D8467A"/>
    <w:rsid w:val="00D86FB7"/>
    <w:rsid w:val="00DB5CE8"/>
    <w:rsid w:val="00DB7635"/>
    <w:rsid w:val="00DC22C0"/>
    <w:rsid w:val="00DC23A7"/>
    <w:rsid w:val="00DC2625"/>
    <w:rsid w:val="00DC32D2"/>
    <w:rsid w:val="00DC6003"/>
    <w:rsid w:val="00DD6187"/>
    <w:rsid w:val="00DE287B"/>
    <w:rsid w:val="00DE4C3A"/>
    <w:rsid w:val="00DE7998"/>
    <w:rsid w:val="00E01230"/>
    <w:rsid w:val="00E21D3B"/>
    <w:rsid w:val="00E26D32"/>
    <w:rsid w:val="00E33111"/>
    <w:rsid w:val="00E334D1"/>
    <w:rsid w:val="00E34AC5"/>
    <w:rsid w:val="00E4141E"/>
    <w:rsid w:val="00E47C91"/>
    <w:rsid w:val="00E56129"/>
    <w:rsid w:val="00E64802"/>
    <w:rsid w:val="00E75B5F"/>
    <w:rsid w:val="00E853DF"/>
    <w:rsid w:val="00E9130D"/>
    <w:rsid w:val="00EB1723"/>
    <w:rsid w:val="00EB19B9"/>
    <w:rsid w:val="00EC3261"/>
    <w:rsid w:val="00EC7352"/>
    <w:rsid w:val="00ED017B"/>
    <w:rsid w:val="00ED742F"/>
    <w:rsid w:val="00EE2A9C"/>
    <w:rsid w:val="00EE6019"/>
    <w:rsid w:val="00EF0C6B"/>
    <w:rsid w:val="00EF0ED4"/>
    <w:rsid w:val="00EF1FA9"/>
    <w:rsid w:val="00F028E0"/>
    <w:rsid w:val="00F0381A"/>
    <w:rsid w:val="00F0390F"/>
    <w:rsid w:val="00F03D09"/>
    <w:rsid w:val="00F14564"/>
    <w:rsid w:val="00F15C4A"/>
    <w:rsid w:val="00F16E9F"/>
    <w:rsid w:val="00F273EA"/>
    <w:rsid w:val="00F30EE7"/>
    <w:rsid w:val="00F32CA4"/>
    <w:rsid w:val="00F36177"/>
    <w:rsid w:val="00F4635A"/>
    <w:rsid w:val="00F46F67"/>
    <w:rsid w:val="00F47803"/>
    <w:rsid w:val="00F526E6"/>
    <w:rsid w:val="00F52C7A"/>
    <w:rsid w:val="00F56161"/>
    <w:rsid w:val="00F63711"/>
    <w:rsid w:val="00F67259"/>
    <w:rsid w:val="00F67E0E"/>
    <w:rsid w:val="00F83F9F"/>
    <w:rsid w:val="00F84141"/>
    <w:rsid w:val="00F84F3F"/>
    <w:rsid w:val="00F902D4"/>
    <w:rsid w:val="00F95A61"/>
    <w:rsid w:val="00F974DB"/>
    <w:rsid w:val="00FD0FFE"/>
    <w:rsid w:val="00FD274C"/>
    <w:rsid w:val="00FD7E15"/>
    <w:rsid w:val="00FE1395"/>
    <w:rsid w:val="00FE406D"/>
    <w:rsid w:val="00FE66ED"/>
    <w:rsid w:val="00FF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C7D700A-4BE6-4813-A391-9FB93F839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78D1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67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D678D1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678D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78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78D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78D1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513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da Cunha Esteves</dc:creator>
  <cp:keywords/>
  <dc:description/>
  <cp:lastModifiedBy>Simone Goulart dos Santos</cp:lastModifiedBy>
  <cp:revision>3</cp:revision>
  <dcterms:created xsi:type="dcterms:W3CDTF">2021-10-18T21:43:00Z</dcterms:created>
  <dcterms:modified xsi:type="dcterms:W3CDTF">2021-10-18T21:43:00Z</dcterms:modified>
</cp:coreProperties>
</file>