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F6" w:rsidRDefault="00F34FF6" w:rsidP="00F34FF6">
      <w:bookmarkStart w:id="0" w:name="_GoBack"/>
      <w:bookmarkEnd w:id="0"/>
    </w:p>
    <w:tbl>
      <w:tblPr>
        <w:tblStyle w:val="Tabelacomgrade"/>
        <w:tblW w:w="16302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985"/>
        <w:gridCol w:w="2835"/>
        <w:gridCol w:w="928"/>
        <w:gridCol w:w="1276"/>
        <w:gridCol w:w="1275"/>
        <w:gridCol w:w="1134"/>
        <w:gridCol w:w="4459"/>
      </w:tblGrid>
      <w:tr w:rsidR="00F34FF6" w:rsidRPr="001149A5" w:rsidTr="00BE289E">
        <w:tc>
          <w:tcPr>
            <w:tcW w:w="16302" w:type="dxa"/>
            <w:gridSpan w:val="9"/>
            <w:shd w:val="clear" w:color="auto" w:fill="2E74B5" w:themeFill="accent1" w:themeFillShade="BF"/>
          </w:tcPr>
          <w:p w:rsidR="00F34FF6" w:rsidRPr="001149A5" w:rsidRDefault="00F34FF6" w:rsidP="005D61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30/04 a </w:t>
            </w:r>
            <w:r w:rsidR="005D6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07/05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/2020) </w:t>
            </w:r>
          </w:p>
        </w:tc>
      </w:tr>
      <w:tr w:rsidR="00BE289E" w:rsidRPr="00C80DCD" w:rsidTr="00BE289E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BE289E" w:rsidRPr="00BF2C00" w:rsidTr="00BE289E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BE289E" w:rsidRPr="00A11308" w:rsidRDefault="00990805" w:rsidP="0099080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45</w:t>
            </w:r>
            <w:r w:rsidR="00BE289E" w:rsidRPr="00A11308">
              <w:rPr>
                <w:rFonts w:ascii="Arial" w:hAnsi="Arial" w:cs="Arial"/>
                <w:color w:val="444444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E289E" w:rsidRPr="00A11308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hAnsi="Arial" w:cs="Arial"/>
                <w:color w:val="444444"/>
                <w:sz w:val="18"/>
                <w:szCs w:val="18"/>
              </w:rPr>
              <w:t>243/2020</w:t>
            </w:r>
          </w:p>
        </w:tc>
        <w:tc>
          <w:tcPr>
            <w:tcW w:w="1985" w:type="dxa"/>
            <w:shd w:val="clear" w:color="auto" w:fill="auto"/>
          </w:tcPr>
          <w:p w:rsidR="00BE289E" w:rsidRPr="00A11308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hAnsi="Arial" w:cs="Arial"/>
                <w:color w:val="444444"/>
                <w:sz w:val="18"/>
                <w:szCs w:val="18"/>
              </w:rPr>
              <w:t>48610.015014/2017</w:t>
            </w:r>
          </w:p>
        </w:tc>
        <w:tc>
          <w:tcPr>
            <w:tcW w:w="2835" w:type="dxa"/>
            <w:shd w:val="clear" w:color="auto" w:fill="auto"/>
          </w:tcPr>
          <w:p w:rsidR="00BE289E" w:rsidRPr="00A11308" w:rsidRDefault="00990805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T</w:t>
            </w:r>
            <w:r w:rsidR="00BE289E" w:rsidRPr="00A11308">
              <w:rPr>
                <w:rFonts w:ascii="Arial" w:hAnsi="Arial" w:cs="Arial"/>
                <w:color w:val="444444"/>
                <w:sz w:val="18"/>
                <w:szCs w:val="18"/>
              </w:rPr>
              <w:t>ermo de Compromisso de Abandono de Poços Marítimos entre a ANP e a Petrobras</w:t>
            </w:r>
          </w:p>
        </w:tc>
        <w:tc>
          <w:tcPr>
            <w:tcW w:w="928" w:type="dxa"/>
            <w:shd w:val="clear" w:color="auto" w:fill="auto"/>
          </w:tcPr>
          <w:p w:rsidR="00BE289E" w:rsidRPr="00A11308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hAnsi="Arial" w:cs="Arial"/>
                <w:color w:val="444444"/>
                <w:sz w:val="18"/>
                <w:szCs w:val="18"/>
              </w:rPr>
              <w:t>SSM</w:t>
            </w:r>
          </w:p>
        </w:tc>
        <w:tc>
          <w:tcPr>
            <w:tcW w:w="1276" w:type="dxa"/>
            <w:shd w:val="clear" w:color="auto" w:fill="auto"/>
          </w:tcPr>
          <w:p w:rsidR="00BE289E" w:rsidRPr="00A11308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hAnsi="Arial" w:cs="Arial"/>
                <w:color w:val="444444"/>
                <w:sz w:val="18"/>
                <w:szCs w:val="18"/>
              </w:rPr>
              <w:t>0226/2020</w:t>
            </w:r>
          </w:p>
        </w:tc>
        <w:tc>
          <w:tcPr>
            <w:tcW w:w="1275" w:type="dxa"/>
            <w:shd w:val="clear" w:color="auto" w:fill="auto"/>
          </w:tcPr>
          <w:p w:rsidR="00BE289E" w:rsidRPr="00A11308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hAnsi="Arial" w:cs="Arial"/>
                <w:color w:val="444444"/>
                <w:sz w:val="18"/>
                <w:szCs w:val="18"/>
              </w:rPr>
              <w:t>07/05/2020</w:t>
            </w:r>
          </w:p>
        </w:tc>
        <w:tc>
          <w:tcPr>
            <w:tcW w:w="1134" w:type="dxa"/>
            <w:shd w:val="clear" w:color="auto" w:fill="auto"/>
          </w:tcPr>
          <w:p w:rsidR="00BE289E" w:rsidRPr="00A11308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  <w:shd w:val="clear" w:color="auto" w:fill="auto"/>
          </w:tcPr>
          <w:p w:rsidR="00BE289E" w:rsidRPr="00A11308" w:rsidRDefault="00BE289E" w:rsidP="000E134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</w:pPr>
            <w:r w:rsidRPr="00A11308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A Diretoria decidiu:</w:t>
            </w:r>
          </w:p>
          <w:p w:rsidR="00BE289E" w:rsidRPr="00A11308" w:rsidRDefault="00BE289E" w:rsidP="000E134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</w:pPr>
            <w:r w:rsidRPr="00A11308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I) indeferir a Proposta de Ação nº 0243/2020, constante do Processo Administrativo nº 48610.015014/2017-22, o qual visava à assinatura do Termo de Compromisso de Abandono Permanente de Poços Marítimos com a Petrobras, para afastamento da incidência do item 10.5.3.3 do SGIP, durante a vigência do Termo, mediante o cumprimento do cronograma de abandono nele previsto e entrega das compensações propostas; e</w:t>
            </w:r>
          </w:p>
          <w:p w:rsidR="00BE289E" w:rsidRDefault="00BE289E" w:rsidP="000E134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11308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II) determinar o retorno do Processo para a Superintendência de Segurança Operacional e Meio Ambiente, para a a</w:t>
            </w:r>
            <w:r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doção das providências cabíveis.</w:t>
            </w:r>
          </w:p>
        </w:tc>
      </w:tr>
      <w:tr w:rsidR="00BE289E" w:rsidRPr="00C80DCD" w:rsidTr="00BE289E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BE289E" w:rsidRPr="00A46C86" w:rsidTr="00BE289E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BE289E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</w:tcPr>
          <w:p w:rsidR="00BE289E" w:rsidRPr="00C80DCD" w:rsidRDefault="00701D4A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  <w:r w:rsidR="00BE289E" w:rsidRPr="00761A52">
              <w:rPr>
                <w:rFonts w:ascii="Arial" w:hAnsi="Arial" w:cs="Arial"/>
                <w:color w:val="444444"/>
                <w:sz w:val="18"/>
                <w:szCs w:val="18"/>
              </w:rPr>
              <w:t>51/2020</w:t>
            </w:r>
          </w:p>
        </w:tc>
        <w:tc>
          <w:tcPr>
            <w:tcW w:w="1985" w:type="dxa"/>
            <w:shd w:val="clear" w:color="auto" w:fill="auto"/>
          </w:tcPr>
          <w:p w:rsidR="00BE289E" w:rsidRPr="00761A52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61A52">
              <w:rPr>
                <w:rFonts w:ascii="Arial" w:hAnsi="Arial" w:cs="Arial"/>
                <w:color w:val="444444"/>
                <w:sz w:val="18"/>
                <w:szCs w:val="18"/>
              </w:rPr>
              <w:t>48610.204399/2019</w:t>
            </w:r>
          </w:p>
        </w:tc>
        <w:tc>
          <w:tcPr>
            <w:tcW w:w="2835" w:type="dxa"/>
            <w:shd w:val="clear" w:color="auto" w:fill="auto"/>
          </w:tcPr>
          <w:p w:rsidR="00BE289E" w:rsidRPr="00C80DCD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61A52">
              <w:rPr>
                <w:rFonts w:ascii="Arial" w:hAnsi="Arial" w:cs="Arial"/>
                <w:color w:val="444444"/>
                <w:sz w:val="18"/>
                <w:szCs w:val="18"/>
              </w:rPr>
              <w:t>Solicitação de Prorrogação de Prazo para Apresentação de Garantia Financeira do 2º Período Exploratório e Suspensão Cautelar de Contagem de Prazo do Contrato REC-T-152_R13, operado pela Recôncavo Energia e proveniente da Rodada 13</w:t>
            </w:r>
          </w:p>
        </w:tc>
        <w:tc>
          <w:tcPr>
            <w:tcW w:w="928" w:type="dxa"/>
            <w:shd w:val="clear" w:color="auto" w:fill="auto"/>
          </w:tcPr>
          <w:p w:rsidR="00BE289E" w:rsidRPr="00C80DCD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61A52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  <w:shd w:val="clear" w:color="auto" w:fill="auto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46C86">
              <w:rPr>
                <w:rFonts w:ascii="Arial" w:hAnsi="Arial" w:cs="Arial"/>
                <w:color w:val="444444"/>
                <w:sz w:val="18"/>
                <w:szCs w:val="18"/>
              </w:rPr>
              <w:t>0225/2020</w:t>
            </w:r>
          </w:p>
        </w:tc>
        <w:tc>
          <w:tcPr>
            <w:tcW w:w="1275" w:type="dxa"/>
            <w:shd w:val="clear" w:color="auto" w:fill="auto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04/05/2020</w:t>
            </w:r>
          </w:p>
        </w:tc>
        <w:tc>
          <w:tcPr>
            <w:tcW w:w="1134" w:type="dxa"/>
            <w:shd w:val="clear" w:color="auto" w:fill="auto"/>
          </w:tcPr>
          <w:p w:rsidR="00BE289E" w:rsidRPr="00A46C86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57468A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  <w:shd w:val="clear" w:color="auto" w:fill="auto"/>
          </w:tcPr>
          <w:p w:rsidR="00BE289E" w:rsidRPr="00154184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Diretoria, com base </w:t>
            </w:r>
            <w:r w:rsidRPr="00154184">
              <w:rPr>
                <w:rFonts w:ascii="Arial" w:hAnsi="Arial" w:cs="Arial"/>
                <w:color w:val="444444"/>
                <w:sz w:val="18"/>
                <w:szCs w:val="18"/>
              </w:rPr>
              <w:t xml:space="preserve">no Parecer Técnico nº 50/2020/SEP-e-ANP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e no Memorando nº 077/2019/SEP, decidiu:</w:t>
            </w:r>
          </w:p>
          <w:p w:rsidR="00BE289E" w:rsidRPr="00154184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54184">
              <w:rPr>
                <w:rFonts w:ascii="Arial" w:hAnsi="Arial" w:cs="Arial"/>
                <w:color w:val="444444"/>
                <w:sz w:val="18"/>
                <w:szCs w:val="18"/>
              </w:rPr>
              <w:t xml:space="preserve">I) indeferir o pleito da Recôncavo Energia quanto à prorrogação do 1º Período Exploratório do bloco REC-T-152_R13 para apresentação de garantia financeira do 2º Período Exploratório e de suspensão cautelar de contagem de prazo do 1º Período </w:t>
            </w:r>
            <w:r w:rsidRPr="00154184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Exploratório do bloco REC-T-152_R13 quando o contrato voltar a viger; e</w:t>
            </w:r>
          </w:p>
          <w:p w:rsidR="00BE289E" w:rsidRPr="00154184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54184">
              <w:rPr>
                <w:rFonts w:ascii="Arial" w:hAnsi="Arial" w:cs="Arial"/>
                <w:color w:val="444444"/>
                <w:sz w:val="18"/>
                <w:szCs w:val="18"/>
              </w:rPr>
              <w:t>II) retornar o contrato REC-T-152_R13 à vigência, restituindo ao mesmo 13 (treze) dias, contados a partir da comunicação da presente decisão da Diretoria Colegiada, tendo em vista a aprovação da Proposta de Ação nº 0019/2020 que considerou saneadas as irregularidades apontadas no processo administrativo.</w:t>
            </w:r>
          </w:p>
          <w:p w:rsidR="00BE289E" w:rsidRPr="003F65F5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BE289E" w:rsidRPr="00C80DCD" w:rsidTr="00BE289E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BE289E" w:rsidRPr="00761A52" w:rsidTr="00BE289E">
        <w:tblPrEx>
          <w:shd w:val="clear" w:color="auto" w:fill="auto"/>
        </w:tblPrEx>
        <w:tc>
          <w:tcPr>
            <w:tcW w:w="1418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444</w:t>
            </w:r>
          </w:p>
        </w:tc>
        <w:tc>
          <w:tcPr>
            <w:tcW w:w="992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>175/2020</w:t>
            </w:r>
          </w:p>
        </w:tc>
        <w:tc>
          <w:tcPr>
            <w:tcW w:w="1985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>48600.201824/2019, 48610.001864/2016, 48600.201264/2019, 48610.000499/2018</w:t>
            </w:r>
          </w:p>
        </w:tc>
        <w:tc>
          <w:tcPr>
            <w:tcW w:w="2835" w:type="dxa"/>
          </w:tcPr>
          <w:p w:rsidR="00BE289E" w:rsidRPr="003F65F5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 xml:space="preserve">Recurso de decisão administrativa na apuração de débito para restituição de valores à ANP em virtude de alteração de regime tributário da empresa </w:t>
            </w:r>
            <w:proofErr w:type="spellStart"/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>Blend</w:t>
            </w:r>
            <w:proofErr w:type="spellEnd"/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 xml:space="preserve"> BR, no âmbito do Contrato n° 9.058/16-ANP-001864</w:t>
            </w:r>
          </w:p>
        </w:tc>
        <w:tc>
          <w:tcPr>
            <w:tcW w:w="928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>EDF</w:t>
            </w:r>
          </w:p>
        </w:tc>
        <w:tc>
          <w:tcPr>
            <w:tcW w:w="1276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224/2020</w:t>
            </w:r>
          </w:p>
        </w:tc>
        <w:tc>
          <w:tcPr>
            <w:tcW w:w="1275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01/05/2020</w:t>
            </w:r>
          </w:p>
        </w:tc>
        <w:tc>
          <w:tcPr>
            <w:tcW w:w="1134" w:type="dxa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A075A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BE289E" w:rsidRPr="003F65F5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9013AF">
              <w:rPr>
                <w:rFonts w:ascii="Arial" w:hAnsi="Arial" w:cs="Arial"/>
                <w:color w:val="444444"/>
                <w:sz w:val="18"/>
                <w:szCs w:val="18"/>
              </w:rPr>
              <w:t xml:space="preserve"> conhecer o recurso e no mérito, em razão de ter sido assegurado à recorrente manifestar-se em todas as fases do processo, pois houve citação válida, não existindo qualquer prejuízo à defesa, nem nulidade processual, negar provimento para que seja mantida a decisão administrativa de nº SEI 0647579 de ressarcimento à ANP do montante de R$ 18.096,96 (dezoito mil e noventa e seis reais e noventa e seis centavos), referente ao período de janeiro de 2017 a outubro de 2019, pagos indevidamente pela Agência, em razão da diferença tributária decorrente da migração pela recorrente para o Simples Nacional, à empresa TOP COMÉRCIO E IMPORTAÇÃO DE MANUFATURADOS E SERVIÇOS DE LOCAÇÃO E TRANSPORTES EIRELI, atualmente denominada BLEND BR COMERCIO DE ARTIGOS PROMOCIONAIS E SERVICOS DE TRANSPORTES EIRELI, CNPJ/MF nº 10.414.625/0001-53, com fundamento no art. 65, §5º, da Lei nº 8.666/1993.</w:t>
            </w:r>
          </w:p>
        </w:tc>
      </w:tr>
      <w:tr w:rsidR="00BE289E" w:rsidRPr="00C80DCD" w:rsidTr="00BE289E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BE289E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BE289E" w:rsidRPr="00BC669C" w:rsidRDefault="00BE289E" w:rsidP="000E1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BE289E" w:rsidRPr="00C80DCD" w:rsidTr="00BE289E">
        <w:tblPrEx>
          <w:shd w:val="clear" w:color="auto" w:fill="auto"/>
        </w:tblPrEx>
        <w:tc>
          <w:tcPr>
            <w:tcW w:w="1418" w:type="dxa"/>
            <w:shd w:val="clear" w:color="auto" w:fill="FFFFFF" w:themeFill="background1"/>
          </w:tcPr>
          <w:p w:rsidR="00BE289E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446</w:t>
            </w:r>
          </w:p>
        </w:tc>
        <w:tc>
          <w:tcPr>
            <w:tcW w:w="992" w:type="dxa"/>
            <w:shd w:val="clear" w:color="auto" w:fill="FFFFFF" w:themeFill="background1"/>
          </w:tcPr>
          <w:p w:rsidR="00BE289E" w:rsidRPr="0025009B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80DCD">
              <w:rPr>
                <w:rFonts w:ascii="Arial" w:hAnsi="Arial" w:cs="Arial"/>
                <w:color w:val="444444"/>
                <w:sz w:val="18"/>
                <w:szCs w:val="18"/>
              </w:rPr>
              <w:t>106/2020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BE289E" w:rsidRPr="0025009B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80DCD">
              <w:rPr>
                <w:rFonts w:ascii="Arial" w:hAnsi="Arial" w:cs="Arial"/>
                <w:color w:val="444444"/>
                <w:sz w:val="18"/>
                <w:szCs w:val="18"/>
              </w:rPr>
              <w:t>48610.009900/2018</w:t>
            </w:r>
          </w:p>
        </w:tc>
        <w:tc>
          <w:tcPr>
            <w:tcW w:w="2835" w:type="dxa"/>
            <w:shd w:val="clear" w:color="auto" w:fill="FFFFFF" w:themeFill="background1"/>
          </w:tcPr>
          <w:p w:rsidR="00BE289E" w:rsidRPr="0025009B" w:rsidRDefault="00BE289E" w:rsidP="000E1346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80DCD">
              <w:rPr>
                <w:rFonts w:ascii="Arial" w:hAnsi="Arial" w:cs="Arial"/>
                <w:color w:val="444444"/>
                <w:sz w:val="18"/>
                <w:szCs w:val="18"/>
              </w:rPr>
              <w:t>Postergação do prazo para a Petrobras concluir negociações e submeter pedido de cessão de direitos na ANP dos contratos de campos em terra e águas rasas parte do seu processo de desinvestimento, determinado pelo item III) da Resolução de Diretoria N° 568/2018</w:t>
            </w:r>
          </w:p>
        </w:tc>
        <w:tc>
          <w:tcPr>
            <w:tcW w:w="928" w:type="dxa"/>
            <w:shd w:val="clear" w:color="auto" w:fill="FFFFFF" w:themeFill="background1"/>
          </w:tcPr>
          <w:p w:rsidR="00BE289E" w:rsidRPr="0025009B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80DCD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  <w:shd w:val="clear" w:color="auto" w:fill="FFFFFF" w:themeFill="background1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0223/2020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BE289E" w:rsidRPr="003F65F5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30/04/2020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BE289E" w:rsidRPr="00FA075A" w:rsidRDefault="00BE289E" w:rsidP="000E1346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31BC6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  <w:shd w:val="clear" w:color="auto" w:fill="FFFFFF" w:themeFill="background1"/>
          </w:tcPr>
          <w:p w:rsidR="00BE289E" w:rsidRPr="001F257E" w:rsidRDefault="00BE289E" w:rsidP="000E1346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Diretoria, </w:t>
            </w:r>
            <w:r w:rsidRPr="002829D5">
              <w:rPr>
                <w:rFonts w:ascii="Arial" w:hAnsi="Arial" w:cs="Arial"/>
                <w:color w:val="444444"/>
                <w:sz w:val="18"/>
                <w:szCs w:val="18"/>
              </w:rPr>
              <w:t xml:space="preserve">com base </w:t>
            </w:r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nos Pareceres nº 5/2020/SDP-E-ANP, nº 15/2020/SDP-EANP e nº 39/2020/SDP-E-ANP e no Parecer nº 00069/2020/PFANP/PGF/AGU, decidiu:</w:t>
            </w:r>
          </w:p>
          <w:p w:rsidR="00BE289E" w:rsidRPr="001F257E" w:rsidRDefault="00BE289E" w:rsidP="000E1346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I) estabelecer o prazo de 31/12/2020 para conclusão das negociações e entrada do pedido de cessão de direitos na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ANP,</w:t>
            </w:r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 para os campos dos polos Fazenda Belém, Sergipe Terra 2, Sergipe Terra 3,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Miranga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,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Cricaré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, Remanso, Rio Ventura, Recôncavo, Ceará Mar, Sergipe Terra 1, Rio Grande do Norte Mar, Merluza,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Carapanaúba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/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Cupiúba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, Garoupa e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Peroá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/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Cangoá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; e</w:t>
            </w:r>
          </w:p>
          <w:p w:rsidR="00BE289E" w:rsidRPr="003F65F5" w:rsidRDefault="00BE289E" w:rsidP="000E1346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II) em caso de descumprimento do prazo do item I, aplicar para os Campos de Viola, Fazenda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lto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 das Pedras, Garoupinha, Lagoa Bonita, Rio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Pipiri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, Aratu,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Mapele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, Anequim, Congro, Corvina, Malhado,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Tapiranga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 e </w:t>
            </w:r>
            <w:proofErr w:type="spellStart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>Tapiranga</w:t>
            </w:r>
            <w:proofErr w:type="spellEnd"/>
            <w:r w:rsidRPr="001F257E">
              <w:rPr>
                <w:rFonts w:ascii="Arial" w:hAnsi="Arial" w:cs="Arial"/>
                <w:color w:val="444444"/>
                <w:sz w:val="18"/>
                <w:szCs w:val="18"/>
              </w:rPr>
              <w:t xml:space="preserve"> Norte o parágrafo único do art.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2º da Resolução CNPE nº 02/2016.</w:t>
            </w:r>
          </w:p>
        </w:tc>
      </w:tr>
      <w:tr w:rsidR="004E6819" w:rsidRPr="00C80DCD" w:rsidTr="004C6217">
        <w:tblPrEx>
          <w:shd w:val="clear" w:color="auto" w:fill="auto"/>
        </w:tblPrEx>
        <w:tc>
          <w:tcPr>
            <w:tcW w:w="16302" w:type="dxa"/>
            <w:gridSpan w:val="9"/>
            <w:shd w:val="clear" w:color="auto" w:fill="FFFFFF" w:themeFill="background1"/>
          </w:tcPr>
          <w:p w:rsidR="004E6819" w:rsidRPr="00855BBE" w:rsidRDefault="004E6819" w:rsidP="004E6819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</w:t>
            </w: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= Proposta de Ação</w:t>
            </w:r>
          </w:p>
          <w:p w:rsidR="004E6819" w:rsidRDefault="004E6819" w:rsidP="004E6819">
            <w:pPr>
              <w:spacing w:before="120" w:after="120"/>
              <w:ind w:right="12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855BBE">
              <w:rPr>
                <w:rFonts w:ascii="Arial" w:hAnsi="Arial" w:cs="Arial"/>
                <w:b/>
                <w:sz w:val="20"/>
                <w:szCs w:val="20"/>
              </w:rPr>
              <w:t>ORG = Unidade Organizacional</w:t>
            </w:r>
          </w:p>
        </w:tc>
      </w:tr>
    </w:tbl>
    <w:p w:rsidR="00F34FF6" w:rsidRDefault="00F34FF6" w:rsidP="00F34FF6"/>
    <w:sectPr w:rsidR="00F34FF6" w:rsidSect="00F34FF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44" w:rsidRDefault="00EF0D44" w:rsidP="00F34FF6">
      <w:pPr>
        <w:spacing w:after="0" w:line="240" w:lineRule="auto"/>
      </w:pPr>
      <w:r>
        <w:separator/>
      </w:r>
    </w:p>
  </w:endnote>
  <w:endnote w:type="continuationSeparator" w:id="0">
    <w:p w:rsidR="00EF0D44" w:rsidRDefault="00EF0D44" w:rsidP="00F3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44" w:rsidRDefault="00EF0D44" w:rsidP="00F34FF6">
      <w:pPr>
        <w:spacing w:after="0" w:line="240" w:lineRule="auto"/>
      </w:pPr>
      <w:r>
        <w:separator/>
      </w:r>
    </w:p>
  </w:footnote>
  <w:footnote w:type="continuationSeparator" w:id="0">
    <w:p w:rsidR="00EF0D44" w:rsidRDefault="00EF0D44" w:rsidP="00F3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FF6" w:rsidRDefault="00EF0D44">
    <w:pPr>
      <w:pStyle w:val="Cabealho"/>
    </w:pPr>
    <w:r>
      <w:rPr>
        <w:noProof/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04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F6"/>
    <w:rsid w:val="00012429"/>
    <w:rsid w:val="00034C02"/>
    <w:rsid w:val="00057036"/>
    <w:rsid w:val="0009383C"/>
    <w:rsid w:val="000A426A"/>
    <w:rsid w:val="000C545B"/>
    <w:rsid w:val="000E3A2E"/>
    <w:rsid w:val="00103463"/>
    <w:rsid w:val="001A1089"/>
    <w:rsid w:val="001B0243"/>
    <w:rsid w:val="001B79E9"/>
    <w:rsid w:val="001C0D49"/>
    <w:rsid w:val="001E4956"/>
    <w:rsid w:val="001F518A"/>
    <w:rsid w:val="002003FB"/>
    <w:rsid w:val="0022054B"/>
    <w:rsid w:val="0024415A"/>
    <w:rsid w:val="00280D0F"/>
    <w:rsid w:val="0028316B"/>
    <w:rsid w:val="00284E44"/>
    <w:rsid w:val="00292908"/>
    <w:rsid w:val="002A71F9"/>
    <w:rsid w:val="002B0556"/>
    <w:rsid w:val="002C3512"/>
    <w:rsid w:val="00315CA3"/>
    <w:rsid w:val="00322FE3"/>
    <w:rsid w:val="00342364"/>
    <w:rsid w:val="00353C97"/>
    <w:rsid w:val="0038488B"/>
    <w:rsid w:val="003903E9"/>
    <w:rsid w:val="003F16A3"/>
    <w:rsid w:val="00430DBF"/>
    <w:rsid w:val="00496CE4"/>
    <w:rsid w:val="004A0BAE"/>
    <w:rsid w:val="004A0D47"/>
    <w:rsid w:val="004C3686"/>
    <w:rsid w:val="004E6819"/>
    <w:rsid w:val="004F3DD8"/>
    <w:rsid w:val="00521255"/>
    <w:rsid w:val="005224EA"/>
    <w:rsid w:val="00562069"/>
    <w:rsid w:val="0056524F"/>
    <w:rsid w:val="0056557E"/>
    <w:rsid w:val="00567916"/>
    <w:rsid w:val="00574836"/>
    <w:rsid w:val="005840E3"/>
    <w:rsid w:val="00587AE5"/>
    <w:rsid w:val="005968FB"/>
    <w:rsid w:val="005C4239"/>
    <w:rsid w:val="005D6195"/>
    <w:rsid w:val="005D726C"/>
    <w:rsid w:val="005E2006"/>
    <w:rsid w:val="005E2510"/>
    <w:rsid w:val="005E5B0C"/>
    <w:rsid w:val="00602EDD"/>
    <w:rsid w:val="0061371C"/>
    <w:rsid w:val="00634E02"/>
    <w:rsid w:val="0066683D"/>
    <w:rsid w:val="00686BE1"/>
    <w:rsid w:val="006A2EDC"/>
    <w:rsid w:val="006A5C0E"/>
    <w:rsid w:val="006B1F90"/>
    <w:rsid w:val="006D4001"/>
    <w:rsid w:val="006E73F7"/>
    <w:rsid w:val="00701D4A"/>
    <w:rsid w:val="007031AA"/>
    <w:rsid w:val="0070376E"/>
    <w:rsid w:val="007425EC"/>
    <w:rsid w:val="00761976"/>
    <w:rsid w:val="00762178"/>
    <w:rsid w:val="00791EBE"/>
    <w:rsid w:val="007963E4"/>
    <w:rsid w:val="007A1D5E"/>
    <w:rsid w:val="007A6CEE"/>
    <w:rsid w:val="0081247E"/>
    <w:rsid w:val="008369AF"/>
    <w:rsid w:val="00847C1D"/>
    <w:rsid w:val="00870A19"/>
    <w:rsid w:val="008A1CEE"/>
    <w:rsid w:val="008A6DD1"/>
    <w:rsid w:val="008B3102"/>
    <w:rsid w:val="008C4E6C"/>
    <w:rsid w:val="008E4F12"/>
    <w:rsid w:val="00900E15"/>
    <w:rsid w:val="00920367"/>
    <w:rsid w:val="009309E6"/>
    <w:rsid w:val="0093325D"/>
    <w:rsid w:val="009525DA"/>
    <w:rsid w:val="00953B1A"/>
    <w:rsid w:val="00964CA5"/>
    <w:rsid w:val="00990805"/>
    <w:rsid w:val="009A1FBC"/>
    <w:rsid w:val="009C73BA"/>
    <w:rsid w:val="009F0ABB"/>
    <w:rsid w:val="00A13A2A"/>
    <w:rsid w:val="00A17CA1"/>
    <w:rsid w:val="00A328D2"/>
    <w:rsid w:val="00A40EFF"/>
    <w:rsid w:val="00A44A1B"/>
    <w:rsid w:val="00A5227B"/>
    <w:rsid w:val="00A76759"/>
    <w:rsid w:val="00A77355"/>
    <w:rsid w:val="00A90A4F"/>
    <w:rsid w:val="00A91B2A"/>
    <w:rsid w:val="00AA182C"/>
    <w:rsid w:val="00AA23A1"/>
    <w:rsid w:val="00AB0CF1"/>
    <w:rsid w:val="00AB171D"/>
    <w:rsid w:val="00AC4455"/>
    <w:rsid w:val="00AE123C"/>
    <w:rsid w:val="00AE2A08"/>
    <w:rsid w:val="00B06C8F"/>
    <w:rsid w:val="00B20768"/>
    <w:rsid w:val="00B33EB9"/>
    <w:rsid w:val="00B53189"/>
    <w:rsid w:val="00B63396"/>
    <w:rsid w:val="00B740C3"/>
    <w:rsid w:val="00B834B1"/>
    <w:rsid w:val="00B956E9"/>
    <w:rsid w:val="00BA303A"/>
    <w:rsid w:val="00BD3B79"/>
    <w:rsid w:val="00BE289E"/>
    <w:rsid w:val="00C129A1"/>
    <w:rsid w:val="00C16995"/>
    <w:rsid w:val="00C1795A"/>
    <w:rsid w:val="00C27BD9"/>
    <w:rsid w:val="00C37180"/>
    <w:rsid w:val="00C77DC6"/>
    <w:rsid w:val="00CA1A4B"/>
    <w:rsid w:val="00CA2C72"/>
    <w:rsid w:val="00CA6B6D"/>
    <w:rsid w:val="00CC27D7"/>
    <w:rsid w:val="00CF3730"/>
    <w:rsid w:val="00CF4087"/>
    <w:rsid w:val="00D2229F"/>
    <w:rsid w:val="00D4153F"/>
    <w:rsid w:val="00D71B8A"/>
    <w:rsid w:val="00D75597"/>
    <w:rsid w:val="00DB5CE8"/>
    <w:rsid w:val="00DC6003"/>
    <w:rsid w:val="00DE7998"/>
    <w:rsid w:val="00E01230"/>
    <w:rsid w:val="00E21D3B"/>
    <w:rsid w:val="00E26D32"/>
    <w:rsid w:val="00E33111"/>
    <w:rsid w:val="00E334D1"/>
    <w:rsid w:val="00E462B1"/>
    <w:rsid w:val="00E47C91"/>
    <w:rsid w:val="00E853DF"/>
    <w:rsid w:val="00ED017B"/>
    <w:rsid w:val="00EE6019"/>
    <w:rsid w:val="00EF0C6B"/>
    <w:rsid w:val="00EF0D44"/>
    <w:rsid w:val="00EF1FA9"/>
    <w:rsid w:val="00F0381A"/>
    <w:rsid w:val="00F0390F"/>
    <w:rsid w:val="00F273EA"/>
    <w:rsid w:val="00F32CA4"/>
    <w:rsid w:val="00F34FF6"/>
    <w:rsid w:val="00F526E6"/>
    <w:rsid w:val="00F52C7A"/>
    <w:rsid w:val="00F56161"/>
    <w:rsid w:val="00F67259"/>
    <w:rsid w:val="00F84F3F"/>
    <w:rsid w:val="00F902D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80DF9-814A-4CE1-9445-ABF920AA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3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4FF6"/>
  </w:style>
  <w:style w:type="paragraph" w:styleId="Rodap">
    <w:name w:val="footer"/>
    <w:basedOn w:val="Normal"/>
    <w:link w:val="RodapChar"/>
    <w:uiPriority w:val="99"/>
    <w:unhideWhenUsed/>
    <w:rsid w:val="00F3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2021-10-18T19:18:00Z</dcterms:created>
  <dcterms:modified xsi:type="dcterms:W3CDTF">2021-10-18T19:18:00Z</dcterms:modified>
</cp:coreProperties>
</file>