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018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1134"/>
        <w:gridCol w:w="4175"/>
      </w:tblGrid>
      <w:tr w:rsidR="008C5373" w:rsidRPr="001149A5" w:rsidTr="008C5373">
        <w:tc>
          <w:tcPr>
            <w:tcW w:w="16018" w:type="dxa"/>
            <w:gridSpan w:val="9"/>
            <w:shd w:val="clear" w:color="auto" w:fill="2E74B5" w:themeFill="accent1" w:themeFillShade="BF"/>
          </w:tcPr>
          <w:p w:rsidR="008C5373" w:rsidRPr="001149A5" w:rsidRDefault="008C5373" w:rsidP="006E04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6E04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 a 28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/05/2020)</w:t>
            </w:r>
          </w:p>
        </w:tc>
      </w:tr>
      <w:tr w:rsidR="008C5373" w:rsidTr="001637F9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8C5373" w:rsidRPr="005C1956" w:rsidTr="001637F9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8C5373" w:rsidRPr="005C1956" w:rsidRDefault="00117FF6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</w:t>
            </w:r>
            <w:r w:rsidR="008C5373" w:rsidRPr="005C1956">
              <w:rPr>
                <w:rFonts w:ascii="Arial" w:hAnsi="Arial" w:cs="Arial"/>
                <w:color w:val="444444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0294/2020</w:t>
            </w:r>
          </w:p>
        </w:tc>
        <w:tc>
          <w:tcPr>
            <w:tcW w:w="1843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48610.207327/2020</w:t>
            </w:r>
          </w:p>
        </w:tc>
        <w:tc>
          <w:tcPr>
            <w:tcW w:w="2835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Preço Máximo de Referência (PMR) do 73° Leilão de Biodiesel</w:t>
            </w:r>
          </w:p>
        </w:tc>
        <w:tc>
          <w:tcPr>
            <w:tcW w:w="928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SDL</w:t>
            </w:r>
          </w:p>
        </w:tc>
        <w:tc>
          <w:tcPr>
            <w:tcW w:w="1276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246/2020</w:t>
            </w:r>
          </w:p>
        </w:tc>
        <w:tc>
          <w:tcPr>
            <w:tcW w:w="1275" w:type="dxa"/>
            <w:shd w:val="clear" w:color="auto" w:fill="auto"/>
          </w:tcPr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5C1956">
              <w:rPr>
                <w:rFonts w:ascii="Arial" w:hAnsi="Arial" w:cs="Arial"/>
                <w:color w:val="444444"/>
                <w:sz w:val="18"/>
                <w:szCs w:val="18"/>
              </w:rPr>
              <w:t>27/05/2020</w:t>
            </w:r>
          </w:p>
          <w:p w:rsidR="008C5373" w:rsidRPr="005C1956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C5373" w:rsidRPr="00813300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175" w:type="dxa"/>
            <w:shd w:val="clear" w:color="auto" w:fill="auto"/>
          </w:tcPr>
          <w:p w:rsidR="008C5373" w:rsidRPr="005C1956" w:rsidRDefault="00CE0853" w:rsidP="00313EE0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313EE0">
              <w:rPr>
                <w:rFonts w:ascii="Arial" w:hAnsi="Arial" w:cs="Arial"/>
                <w:color w:val="444444"/>
                <w:sz w:val="18"/>
                <w:szCs w:val="18"/>
              </w:rPr>
              <w:t xml:space="preserve"> Diretoria aprovou</w:t>
            </w:r>
            <w:r w:rsidR="008C5373" w:rsidRPr="005C1956">
              <w:rPr>
                <w:rFonts w:ascii="Arial" w:hAnsi="Arial" w:cs="Arial"/>
                <w:color w:val="444444"/>
                <w:sz w:val="18"/>
                <w:szCs w:val="18"/>
              </w:rPr>
              <w:t xml:space="preserve"> o Preço Máximo de Referência (PMR) a ser adotado no 73º Leilão de Biodiesel (L73), com entregas previstas para o quarto bimestre de 2020 - 1º de julho de 2020 a 31 de agosto de 2020.</w:t>
            </w:r>
          </w:p>
        </w:tc>
      </w:tr>
      <w:tr w:rsidR="008C5373" w:rsidTr="001637F9">
        <w:tblPrEx>
          <w:shd w:val="clear" w:color="auto" w:fill="auto"/>
        </w:tblPrEx>
        <w:tc>
          <w:tcPr>
            <w:tcW w:w="1418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8C5373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D5DCE4" w:themeFill="text2" w:themeFillTint="33"/>
          </w:tcPr>
          <w:p w:rsidR="008C5373" w:rsidRPr="00BC669C" w:rsidRDefault="008C5373" w:rsidP="00A959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8C5373" w:rsidRPr="00914658" w:rsidTr="001637F9">
        <w:tblPrEx>
          <w:shd w:val="clear" w:color="auto" w:fill="auto"/>
        </w:tblPrEx>
        <w:tc>
          <w:tcPr>
            <w:tcW w:w="1418" w:type="dxa"/>
            <w:shd w:val="clear" w:color="auto" w:fill="auto"/>
          </w:tcPr>
          <w:p w:rsidR="008C5373" w:rsidRPr="00914658" w:rsidRDefault="00CE085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47</w:t>
            </w:r>
            <w:r w:rsidR="008C5373" w:rsidRPr="00914658"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0145/2020</w:t>
            </w:r>
          </w:p>
        </w:tc>
        <w:tc>
          <w:tcPr>
            <w:tcW w:w="1843" w:type="dxa"/>
            <w:shd w:val="clear" w:color="auto" w:fill="auto"/>
          </w:tcPr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48610.218343/2019</w:t>
            </w:r>
          </w:p>
        </w:tc>
        <w:tc>
          <w:tcPr>
            <w:tcW w:w="2835" w:type="dxa"/>
            <w:shd w:val="clear" w:color="auto" w:fill="auto"/>
          </w:tcPr>
          <w:p w:rsidR="008C5373" w:rsidRPr="00914658" w:rsidRDefault="008C537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 xml:space="preserve">Modalidade de Garantia Financeira a ser apresentada pela 3R </w:t>
            </w:r>
            <w:proofErr w:type="spellStart"/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Petroleum</w:t>
            </w:r>
            <w:proofErr w:type="spellEnd"/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 xml:space="preserve"> e Participações S.A. referente ao descomissionamento dos campos do Polo Macau, composto pelos campos </w:t>
            </w:r>
            <w:proofErr w:type="spellStart"/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Aratum</w:t>
            </w:r>
            <w:proofErr w:type="spellEnd"/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, Lagoa Aroeira, Macau, Porto Carão, Salina Cristal, Serra e Sanhaçu, apresentada por meio da Carta 3R-CORP-2020-004, do dia 3 de março de 2020</w:t>
            </w:r>
          </w:p>
        </w:tc>
        <w:tc>
          <w:tcPr>
            <w:tcW w:w="928" w:type="dxa"/>
            <w:shd w:val="clear" w:color="auto" w:fill="auto"/>
          </w:tcPr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SDP</w:t>
            </w:r>
          </w:p>
        </w:tc>
        <w:tc>
          <w:tcPr>
            <w:tcW w:w="1276" w:type="dxa"/>
            <w:shd w:val="clear" w:color="auto" w:fill="auto"/>
          </w:tcPr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245/2020</w:t>
            </w:r>
          </w:p>
        </w:tc>
        <w:tc>
          <w:tcPr>
            <w:tcW w:w="1275" w:type="dxa"/>
            <w:shd w:val="clear" w:color="auto" w:fill="auto"/>
          </w:tcPr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25/05/2020</w:t>
            </w:r>
          </w:p>
        </w:tc>
        <w:tc>
          <w:tcPr>
            <w:tcW w:w="1134" w:type="dxa"/>
            <w:shd w:val="clear" w:color="auto" w:fill="auto"/>
          </w:tcPr>
          <w:p w:rsidR="00090017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Marcelo </w:t>
            </w:r>
          </w:p>
          <w:p w:rsidR="008C5373" w:rsidRPr="00914658" w:rsidRDefault="008C5373" w:rsidP="00A959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914658">
              <w:rPr>
                <w:rFonts w:ascii="Arial" w:hAnsi="Arial" w:cs="Arial"/>
                <w:color w:val="444444"/>
                <w:sz w:val="18"/>
                <w:szCs w:val="18"/>
              </w:rPr>
              <w:t>Castilho</w:t>
            </w:r>
          </w:p>
        </w:tc>
        <w:tc>
          <w:tcPr>
            <w:tcW w:w="4175" w:type="dxa"/>
            <w:shd w:val="clear" w:color="auto" w:fill="auto"/>
          </w:tcPr>
          <w:p w:rsidR="008C5373" w:rsidRPr="006060AB" w:rsidRDefault="00CE085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="008C5373">
              <w:rPr>
                <w:rFonts w:ascii="Arial" w:hAnsi="Arial" w:cs="Arial"/>
                <w:color w:val="444444"/>
                <w:sz w:val="18"/>
                <w:szCs w:val="18"/>
              </w:rPr>
              <w:t xml:space="preserve"> Diretoria, </w:t>
            </w:r>
            <w:r w:rsidR="008C5373" w:rsidRPr="006060AB">
              <w:rPr>
                <w:rFonts w:ascii="Arial" w:hAnsi="Arial" w:cs="Arial"/>
                <w:color w:val="444444"/>
                <w:sz w:val="18"/>
                <w:szCs w:val="18"/>
              </w:rPr>
              <w:t xml:space="preserve">com base </w:t>
            </w:r>
            <w:r w:rsidR="008C5373"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="008C5373" w:rsidRPr="006060AB">
              <w:rPr>
                <w:rFonts w:ascii="Arial" w:hAnsi="Arial" w:cs="Arial"/>
                <w:color w:val="444444"/>
                <w:sz w:val="18"/>
                <w:szCs w:val="18"/>
              </w:rPr>
              <w:t>ota Técnica 95/2020/SDP/ANP-RJ, resolve:</w:t>
            </w:r>
          </w:p>
          <w:p w:rsidR="008C5373" w:rsidRPr="006060AB" w:rsidRDefault="008C537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I) aprovar a modalidade de garantia por meio de garantia corporativa e fundo de</w:t>
            </w:r>
            <w:r w:rsidR="00E649D7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provisionamento como instrumentos de garantia financeira de descomissionamento do polo Macau, conforme cronograma estabelecido na Nota Técnica 95/2020/SDP/ANP-RJ;</w:t>
            </w:r>
          </w:p>
          <w:p w:rsidR="008C5373" w:rsidRPr="006060AB" w:rsidRDefault="008C537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II) determinar a apresentação da garantia corporativa constituída no valor referente ao ano de 2020, conforme Nota Técnica 95/2020/SDP/ANP-RJ, em até 30 dias a contar da assinatura do termo aditivo de cessão dos contratos;</w:t>
            </w:r>
          </w:p>
          <w:p w:rsidR="008C5373" w:rsidRPr="006060AB" w:rsidRDefault="008C537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III) determinar que a contratada deverá atualizar anualmente, até 30 de junho de cada ano, o valor da garantia corporativa e o valor a ser provisionado no fundo de provisionamento, por meio do Modelo de Aporte Progressivo, nos termos da Nota Técnica 95/2020/SDP/ANP-RJ ou norma superveniente;</w:t>
            </w:r>
          </w:p>
          <w:p w:rsidR="008C5373" w:rsidRPr="006060AB" w:rsidRDefault="008C5373" w:rsidP="00A959AF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 xml:space="preserve">IV) determinar que a contratada deverá adaptar os instrumentos de garantia celebrados com a ANP conforme os termos dos modelos resultantes da processo de Consulta e Audiências Públicas </w:t>
            </w: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referentes à minuta de Resolução que regulamenta procedimentos para apresentação de garantias e instrumentos que assegurem o descomissionamento de instalações de produção em campos de petróleo e gás natural, bem como outros documentos, quando de sua publicação; e</w:t>
            </w:r>
          </w:p>
          <w:p w:rsidR="008C5373" w:rsidRDefault="008C5373" w:rsidP="00C2131A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V) a ANP se reserva no direito de revisar a garantia corporativa e o contrato de fundo de provisionamento, os valores a serem provisionados, ou exigir outras modalidades</w:t>
            </w:r>
            <w:r w:rsidR="00E649D7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 w:rsidRPr="006060AB">
              <w:rPr>
                <w:rFonts w:ascii="Arial" w:hAnsi="Arial" w:cs="Arial"/>
                <w:color w:val="444444"/>
                <w:sz w:val="18"/>
                <w:szCs w:val="18"/>
              </w:rPr>
              <w:t>de garantias financeiras nos termos da legislação específica.</w:t>
            </w:r>
          </w:p>
          <w:p w:rsidR="00C2131A" w:rsidRPr="00914658" w:rsidRDefault="00C2131A" w:rsidP="00C2131A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160737" w:rsidRPr="00914658" w:rsidTr="004B517F">
        <w:tblPrEx>
          <w:shd w:val="clear" w:color="auto" w:fill="auto"/>
        </w:tblPrEx>
        <w:tc>
          <w:tcPr>
            <w:tcW w:w="16018" w:type="dxa"/>
            <w:gridSpan w:val="9"/>
            <w:shd w:val="clear" w:color="auto" w:fill="auto"/>
          </w:tcPr>
          <w:p w:rsidR="00160737" w:rsidRDefault="00160737" w:rsidP="00160737">
            <w:pPr>
              <w:jc w:val="both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4444"/>
                <w:sz w:val="18"/>
                <w:szCs w:val="18"/>
              </w:rPr>
              <w:lastRenderedPageBreak/>
              <w:t>PA = Proposta de Ação</w:t>
            </w:r>
          </w:p>
          <w:p w:rsidR="00160737" w:rsidRDefault="00160737" w:rsidP="00160737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4444"/>
                <w:sz w:val="18"/>
                <w:szCs w:val="18"/>
              </w:rPr>
              <w:t>UORG = Unidade Organizacional</w:t>
            </w:r>
          </w:p>
        </w:tc>
      </w:tr>
    </w:tbl>
    <w:p w:rsidR="0038488B" w:rsidRDefault="0038488B"/>
    <w:sectPr w:rsidR="0038488B" w:rsidSect="008C537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72" w:rsidRDefault="00AD3672" w:rsidP="00A55BFA">
      <w:pPr>
        <w:spacing w:after="0" w:line="240" w:lineRule="auto"/>
      </w:pPr>
      <w:r>
        <w:separator/>
      </w:r>
    </w:p>
  </w:endnote>
  <w:endnote w:type="continuationSeparator" w:id="0">
    <w:p w:rsidR="00AD3672" w:rsidRDefault="00AD3672" w:rsidP="00A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72" w:rsidRDefault="00AD3672" w:rsidP="00A55BFA">
      <w:pPr>
        <w:spacing w:after="0" w:line="240" w:lineRule="auto"/>
      </w:pPr>
      <w:r>
        <w:separator/>
      </w:r>
    </w:p>
  </w:footnote>
  <w:footnote w:type="continuationSeparator" w:id="0">
    <w:p w:rsidR="00AD3672" w:rsidRDefault="00AD3672" w:rsidP="00A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FA" w:rsidRDefault="00AD3672">
    <w:pPr>
      <w:pStyle w:val="Cabealho"/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45pt;margin-top:0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22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73"/>
    <w:rsid w:val="00012429"/>
    <w:rsid w:val="00034C02"/>
    <w:rsid w:val="00057036"/>
    <w:rsid w:val="00090017"/>
    <w:rsid w:val="0009383C"/>
    <w:rsid w:val="000A12D6"/>
    <w:rsid w:val="000A426A"/>
    <w:rsid w:val="000B3E38"/>
    <w:rsid w:val="000C545B"/>
    <w:rsid w:val="000E3A2E"/>
    <w:rsid w:val="00100113"/>
    <w:rsid w:val="00103463"/>
    <w:rsid w:val="00117FF6"/>
    <w:rsid w:val="00160737"/>
    <w:rsid w:val="001637F9"/>
    <w:rsid w:val="001A1089"/>
    <w:rsid w:val="001B0243"/>
    <w:rsid w:val="001B79E9"/>
    <w:rsid w:val="001C0D49"/>
    <w:rsid w:val="001E4956"/>
    <w:rsid w:val="001F518A"/>
    <w:rsid w:val="002003FB"/>
    <w:rsid w:val="0022054B"/>
    <w:rsid w:val="0024415A"/>
    <w:rsid w:val="00274DF3"/>
    <w:rsid w:val="00280D0F"/>
    <w:rsid w:val="0028316B"/>
    <w:rsid w:val="00284E44"/>
    <w:rsid w:val="00292908"/>
    <w:rsid w:val="002A71F9"/>
    <w:rsid w:val="002B0556"/>
    <w:rsid w:val="002C3512"/>
    <w:rsid w:val="00313EE0"/>
    <w:rsid w:val="00315CA3"/>
    <w:rsid w:val="00322FE3"/>
    <w:rsid w:val="00342364"/>
    <w:rsid w:val="00353C97"/>
    <w:rsid w:val="00354D12"/>
    <w:rsid w:val="0038488B"/>
    <w:rsid w:val="003903E9"/>
    <w:rsid w:val="003F16A3"/>
    <w:rsid w:val="00430DBF"/>
    <w:rsid w:val="00496CE4"/>
    <w:rsid w:val="004A0BAE"/>
    <w:rsid w:val="004A0D47"/>
    <w:rsid w:val="004C3686"/>
    <w:rsid w:val="004D1F30"/>
    <w:rsid w:val="004D40D6"/>
    <w:rsid w:val="004F3DD8"/>
    <w:rsid w:val="00521255"/>
    <w:rsid w:val="005224EA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2AAE"/>
    <w:rsid w:val="005968FB"/>
    <w:rsid w:val="005A3272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6683D"/>
    <w:rsid w:val="00682830"/>
    <w:rsid w:val="00695E1B"/>
    <w:rsid w:val="006A2EDC"/>
    <w:rsid w:val="006A5C0E"/>
    <w:rsid w:val="006B1F90"/>
    <w:rsid w:val="006D4001"/>
    <w:rsid w:val="006E0488"/>
    <w:rsid w:val="006E73F7"/>
    <w:rsid w:val="007031AA"/>
    <w:rsid w:val="0070376E"/>
    <w:rsid w:val="00734F98"/>
    <w:rsid w:val="007425EC"/>
    <w:rsid w:val="00761976"/>
    <w:rsid w:val="00774240"/>
    <w:rsid w:val="00791EBE"/>
    <w:rsid w:val="007A1D5E"/>
    <w:rsid w:val="007A6CEE"/>
    <w:rsid w:val="008369AF"/>
    <w:rsid w:val="00847C1D"/>
    <w:rsid w:val="0085558D"/>
    <w:rsid w:val="00870A19"/>
    <w:rsid w:val="008A1CEE"/>
    <w:rsid w:val="008A6DD1"/>
    <w:rsid w:val="008B3102"/>
    <w:rsid w:val="008C4E6C"/>
    <w:rsid w:val="008C5373"/>
    <w:rsid w:val="008E4F12"/>
    <w:rsid w:val="00900E15"/>
    <w:rsid w:val="009054C5"/>
    <w:rsid w:val="00920367"/>
    <w:rsid w:val="009309E6"/>
    <w:rsid w:val="0093325D"/>
    <w:rsid w:val="009525DA"/>
    <w:rsid w:val="00953B1A"/>
    <w:rsid w:val="00964CA5"/>
    <w:rsid w:val="009D2609"/>
    <w:rsid w:val="009F0ABB"/>
    <w:rsid w:val="00A010C4"/>
    <w:rsid w:val="00A13A2A"/>
    <w:rsid w:val="00A17CA1"/>
    <w:rsid w:val="00A27A17"/>
    <w:rsid w:val="00A328D2"/>
    <w:rsid w:val="00A40EFF"/>
    <w:rsid w:val="00A44A1B"/>
    <w:rsid w:val="00A5227B"/>
    <w:rsid w:val="00A55BFA"/>
    <w:rsid w:val="00A76759"/>
    <w:rsid w:val="00A77355"/>
    <w:rsid w:val="00A90A4F"/>
    <w:rsid w:val="00A91B2A"/>
    <w:rsid w:val="00AA182C"/>
    <w:rsid w:val="00AA23A1"/>
    <w:rsid w:val="00AA5C2F"/>
    <w:rsid w:val="00AB0CF1"/>
    <w:rsid w:val="00AB171D"/>
    <w:rsid w:val="00AC4455"/>
    <w:rsid w:val="00AD18EC"/>
    <w:rsid w:val="00AD3672"/>
    <w:rsid w:val="00AE123C"/>
    <w:rsid w:val="00AE2A08"/>
    <w:rsid w:val="00B06C8F"/>
    <w:rsid w:val="00B20768"/>
    <w:rsid w:val="00B33EB9"/>
    <w:rsid w:val="00B53189"/>
    <w:rsid w:val="00B63396"/>
    <w:rsid w:val="00B740C3"/>
    <w:rsid w:val="00B834B1"/>
    <w:rsid w:val="00B956E9"/>
    <w:rsid w:val="00BA303A"/>
    <w:rsid w:val="00BD3B79"/>
    <w:rsid w:val="00BD4820"/>
    <w:rsid w:val="00BF5C1A"/>
    <w:rsid w:val="00C102B6"/>
    <w:rsid w:val="00C129A1"/>
    <w:rsid w:val="00C16995"/>
    <w:rsid w:val="00C1795A"/>
    <w:rsid w:val="00C2131A"/>
    <w:rsid w:val="00C27BD9"/>
    <w:rsid w:val="00C37180"/>
    <w:rsid w:val="00C603DC"/>
    <w:rsid w:val="00C77DC6"/>
    <w:rsid w:val="00CA1A4B"/>
    <w:rsid w:val="00CA2C72"/>
    <w:rsid w:val="00CA6B6D"/>
    <w:rsid w:val="00CC27D7"/>
    <w:rsid w:val="00CE0853"/>
    <w:rsid w:val="00CF3730"/>
    <w:rsid w:val="00CF4087"/>
    <w:rsid w:val="00D2229F"/>
    <w:rsid w:val="00D4153F"/>
    <w:rsid w:val="00D71B8A"/>
    <w:rsid w:val="00D75597"/>
    <w:rsid w:val="00D8467A"/>
    <w:rsid w:val="00DB5CE8"/>
    <w:rsid w:val="00DC6003"/>
    <w:rsid w:val="00DE7998"/>
    <w:rsid w:val="00E01230"/>
    <w:rsid w:val="00E21D3B"/>
    <w:rsid w:val="00E26D32"/>
    <w:rsid w:val="00E33111"/>
    <w:rsid w:val="00E334D1"/>
    <w:rsid w:val="00E47C91"/>
    <w:rsid w:val="00E649D7"/>
    <w:rsid w:val="00E853DF"/>
    <w:rsid w:val="00ED017B"/>
    <w:rsid w:val="00EE6019"/>
    <w:rsid w:val="00EF0C6B"/>
    <w:rsid w:val="00EF1FA9"/>
    <w:rsid w:val="00F0381A"/>
    <w:rsid w:val="00F0390F"/>
    <w:rsid w:val="00F273EA"/>
    <w:rsid w:val="00F32CA4"/>
    <w:rsid w:val="00F526E6"/>
    <w:rsid w:val="00F52C7A"/>
    <w:rsid w:val="00F56161"/>
    <w:rsid w:val="00F67259"/>
    <w:rsid w:val="00F67E0E"/>
    <w:rsid w:val="00F84F3F"/>
    <w:rsid w:val="00F902D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286455-43BB-4D4C-B216-DA8A7103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5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BFA"/>
  </w:style>
  <w:style w:type="paragraph" w:styleId="Rodap">
    <w:name w:val="footer"/>
    <w:basedOn w:val="Normal"/>
    <w:link w:val="RodapChar"/>
    <w:uiPriority w:val="99"/>
    <w:unhideWhenUsed/>
    <w:rsid w:val="00A55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2021-10-18T19:21:00Z</dcterms:created>
  <dcterms:modified xsi:type="dcterms:W3CDTF">2021-10-18T19:21:00Z</dcterms:modified>
</cp:coreProperties>
</file>