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317"/>
      </w:tblGrid>
      <w:tr w:rsidR="00840E99" w:rsidTr="002C3859">
        <w:tc>
          <w:tcPr>
            <w:tcW w:w="16160" w:type="dxa"/>
            <w:gridSpan w:val="9"/>
            <w:shd w:val="clear" w:color="auto" w:fill="2E74B5" w:themeFill="accent1" w:themeFillShade="BF"/>
          </w:tcPr>
          <w:p w:rsidR="00840E99" w:rsidRDefault="00840E99" w:rsidP="00840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05 a 11/06/2020)</w:t>
            </w:r>
          </w:p>
        </w:tc>
      </w:tr>
      <w:tr w:rsidR="002C3859" w:rsidTr="002C3859">
        <w:tc>
          <w:tcPr>
            <w:tcW w:w="1418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F1317B" w:rsidRPr="00F1317B" w:rsidTr="002C3859">
        <w:tc>
          <w:tcPr>
            <w:tcW w:w="1418" w:type="dxa"/>
            <w:shd w:val="clear" w:color="auto" w:fill="auto"/>
          </w:tcPr>
          <w:p w:rsidR="00F1317B" w:rsidRPr="00F1317B" w:rsidRDefault="00F1317B" w:rsidP="00F1317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488</w:t>
            </w:r>
          </w:p>
        </w:tc>
        <w:tc>
          <w:tcPr>
            <w:tcW w:w="1134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0344/2020</w:t>
            </w:r>
          </w:p>
        </w:tc>
        <w:tc>
          <w:tcPr>
            <w:tcW w:w="1843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48610.208365/2020</w:t>
            </w:r>
          </w:p>
        </w:tc>
        <w:tc>
          <w:tcPr>
            <w:tcW w:w="2835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Alienação de ativos de refino e de infraestruturas associadas da PETROBRAS</w:t>
            </w:r>
          </w:p>
        </w:tc>
        <w:tc>
          <w:tcPr>
            <w:tcW w:w="928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DIR-3</w:t>
            </w:r>
          </w:p>
        </w:tc>
        <w:tc>
          <w:tcPr>
            <w:tcW w:w="1276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262/2020</w:t>
            </w:r>
          </w:p>
        </w:tc>
        <w:tc>
          <w:tcPr>
            <w:tcW w:w="1275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11/06/2020</w:t>
            </w:r>
          </w:p>
        </w:tc>
        <w:tc>
          <w:tcPr>
            <w:tcW w:w="1134" w:type="dxa"/>
            <w:shd w:val="clear" w:color="auto" w:fill="auto"/>
          </w:tcPr>
          <w:p w:rsidR="00F1317B" w:rsidRPr="00F1317B" w:rsidRDefault="00F1317B" w:rsidP="00F1317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317" w:type="dxa"/>
            <w:shd w:val="clear" w:color="auto" w:fill="auto"/>
          </w:tcPr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decidiu:</w:t>
            </w:r>
          </w:p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I) designar grupo de trabalho, formado, no mínimo, por representantes da SDL, SDR, SIM </w:t>
            </w:r>
            <w:proofErr w:type="gramStart"/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proofErr w:type="gramEnd"/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SPC, para a proposição, no prazo de 30 (trinta) dias, de ações relacionadas à mitigação de potenciais restrições no abastecimento nacional de combustíveis no período pós-alienação (curto prazo) dos ativos de refino e de infraestruturas associadas da PETROBRAS; e</w:t>
            </w:r>
          </w:p>
          <w:p w:rsidR="00F1317B" w:rsidRPr="00F1317B" w:rsidRDefault="00F1317B" w:rsidP="00F1317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317B">
              <w:rPr>
                <w:rFonts w:ascii="Arial" w:hAnsi="Arial" w:cs="Arial"/>
                <w:color w:val="000000" w:themeColor="text1"/>
                <w:sz w:val="18"/>
                <w:szCs w:val="18"/>
              </w:rPr>
              <w:t>II) dar ciência do relatório "Alienação de ativos de refino e de infraestruturas associadas da Petrobras" ao Ministério de Minas e Energia.</w:t>
            </w:r>
          </w:p>
          <w:p w:rsidR="00F1317B" w:rsidRPr="00F1317B" w:rsidRDefault="00F1317B" w:rsidP="00F1317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C3859" w:rsidTr="002C3859">
        <w:tc>
          <w:tcPr>
            <w:tcW w:w="1418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C3859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2C3859" w:rsidRPr="00BC669C" w:rsidRDefault="002C3859" w:rsidP="000A5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F1317B" w:rsidRPr="00141521" w:rsidTr="002C3859">
        <w:tc>
          <w:tcPr>
            <w:tcW w:w="1418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485</w:t>
            </w:r>
          </w:p>
        </w:tc>
        <w:tc>
          <w:tcPr>
            <w:tcW w:w="1134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</w:t>
            </w: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7</w:t>
            </w: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1843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8610.208305/2020</w:t>
            </w:r>
          </w:p>
        </w:tc>
        <w:tc>
          <w:tcPr>
            <w:tcW w:w="2835" w:type="dxa"/>
            <w:shd w:val="clear" w:color="auto" w:fill="auto"/>
          </w:tcPr>
          <w:p w:rsidR="00F1317B" w:rsidRPr="00141521" w:rsidRDefault="00F1317B" w:rsidP="00F1317B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Pre</w:t>
            </w: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ço Máximo de Referência (PM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R) do 74° Leilão de Biodiesel</w:t>
            </w:r>
          </w:p>
        </w:tc>
        <w:tc>
          <w:tcPr>
            <w:tcW w:w="928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261/2020</w:t>
            </w:r>
          </w:p>
        </w:tc>
        <w:tc>
          <w:tcPr>
            <w:tcW w:w="1275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09/06/2020</w:t>
            </w:r>
          </w:p>
        </w:tc>
        <w:tc>
          <w:tcPr>
            <w:tcW w:w="1134" w:type="dxa"/>
            <w:shd w:val="clear" w:color="auto" w:fill="auto"/>
          </w:tcPr>
          <w:p w:rsidR="00F1317B" w:rsidRPr="00141521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141521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317" w:type="dxa"/>
            <w:shd w:val="clear" w:color="auto" w:fill="auto"/>
          </w:tcPr>
          <w:p w:rsidR="00F1317B" w:rsidRPr="00141521" w:rsidRDefault="00F1317B" w:rsidP="00F1317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D10B21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aprovou</w:t>
            </w:r>
            <w:r w:rsidRPr="00D10B21">
              <w:rPr>
                <w:rFonts w:ascii="Arial" w:hAnsi="Arial" w:cs="Arial"/>
                <w:color w:val="444444"/>
                <w:sz w:val="18"/>
                <w:szCs w:val="18"/>
              </w:rPr>
              <w:t xml:space="preserve"> o Preço Máximo de Referência (PMR) a ser adotado no 74º Leilão de Biodiesel (L74), cujo Edital se encontra no Processo Administrativo nº 48610.208291/2020-82, com entregas previstas para o período de 22 a 30 de junho de 2020.</w:t>
            </w:r>
          </w:p>
        </w:tc>
      </w:tr>
      <w:tr w:rsidR="00F1317B" w:rsidTr="002C3859">
        <w:tc>
          <w:tcPr>
            <w:tcW w:w="1418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F1317B" w:rsidRPr="00B15D7B" w:rsidTr="002C3859">
        <w:tc>
          <w:tcPr>
            <w:tcW w:w="1418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484</w:t>
            </w:r>
          </w:p>
        </w:tc>
        <w:tc>
          <w:tcPr>
            <w:tcW w:w="1134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>0271/2020</w:t>
            </w:r>
          </w:p>
        </w:tc>
        <w:tc>
          <w:tcPr>
            <w:tcW w:w="1843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>48610.203592/2020</w:t>
            </w:r>
          </w:p>
        </w:tc>
        <w:tc>
          <w:tcPr>
            <w:tcW w:w="2835" w:type="dxa"/>
            <w:shd w:val="clear" w:color="auto" w:fill="auto"/>
          </w:tcPr>
          <w:p w:rsidR="00F1317B" w:rsidRPr="00B15D7B" w:rsidRDefault="00F1317B" w:rsidP="00F1317B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 xml:space="preserve">Aprovação do PAD do poço 1-GREN-1D-BA, Bloco REC-T-108, operado pela </w:t>
            </w:r>
            <w:proofErr w:type="spellStart"/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>Great</w:t>
            </w:r>
            <w:proofErr w:type="spellEnd"/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Energy 2FS.A.</w:t>
            </w:r>
          </w:p>
        </w:tc>
        <w:tc>
          <w:tcPr>
            <w:tcW w:w="928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260/2020</w:t>
            </w:r>
          </w:p>
        </w:tc>
        <w:tc>
          <w:tcPr>
            <w:tcW w:w="1275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09/06/2020</w:t>
            </w:r>
          </w:p>
        </w:tc>
        <w:tc>
          <w:tcPr>
            <w:tcW w:w="1134" w:type="dxa"/>
            <w:shd w:val="clear" w:color="auto" w:fill="auto"/>
          </w:tcPr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B15D7B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317" w:type="dxa"/>
            <w:shd w:val="clear" w:color="auto" w:fill="auto"/>
          </w:tcPr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no</w:t>
            </w: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 Parecer Técnico nº 060/2020/SEP-e-ANP, resolve: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I) aprovar o Plano de Avaliação de Descoberta (PAD) do poço 1-GREN-1D-BA, bloco REC-T-</w:t>
            </w: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 xml:space="preserve">108, Bacia do Recôncavo, operado pela </w:t>
            </w:r>
            <w:proofErr w:type="spellStart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Great</w:t>
            </w:r>
            <w:proofErr w:type="spellEnd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Energy S.A., nos seguintes termos: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Compromissos firmes:</w:t>
            </w:r>
          </w:p>
          <w:p w:rsidR="00F1317B" w:rsidRPr="001948ED" w:rsidRDefault="00F1317B" w:rsidP="00F1317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Teste de Formação a poço revestido (TFR) na Formação Sergi; e</w:t>
            </w:r>
          </w:p>
          <w:p w:rsidR="00F1317B" w:rsidRPr="001948ED" w:rsidRDefault="00F1317B" w:rsidP="00F1317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Reprocessamento dos levantamentos sísmicos 2D 0026_RECONCAVO_39 e 3D 0026_3D Araçás.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Compromissos Contingentes:</w:t>
            </w:r>
          </w:p>
          <w:p w:rsidR="00F1317B" w:rsidRPr="001948ED" w:rsidRDefault="00F1317B" w:rsidP="00F131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Teste de Longa Duração (TLD) na Formação Sergi, contingente ao resultado do TFR no mesmo intervalo; TFR na Formação Água Grande, com ponto de decisão estabelecido em 20/05/2021 caso o TLD na Formação Sergi não seja executado ou 20/11/2021 em caso de execução do referido TLD;</w:t>
            </w:r>
          </w:p>
          <w:p w:rsidR="00F1317B" w:rsidRPr="001948ED" w:rsidRDefault="00F1317B" w:rsidP="00F131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Teste de Longa Duração (TLD) na Formação Água Grande, contingente ao resultado do TFR no mesmo intervalo;</w:t>
            </w:r>
          </w:p>
          <w:p w:rsidR="00F1317B" w:rsidRPr="001948ED" w:rsidRDefault="00F1317B" w:rsidP="00F131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TFR na Formação Candeias, com ponto de decisão estabelecido em 20/06/2021 caso os </w:t>
            </w:r>
            <w:proofErr w:type="spellStart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TLDs</w:t>
            </w:r>
            <w:proofErr w:type="spellEnd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 na Formações Sergi e Água Grande não sejam executados, ou 20/12/2021 em caso de execução de somente um dos referidos </w:t>
            </w:r>
            <w:proofErr w:type="spellStart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TLDs</w:t>
            </w:r>
            <w:proofErr w:type="spellEnd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, ou 20/06/2022 caso ambos os </w:t>
            </w:r>
            <w:proofErr w:type="spellStart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TLDs</w:t>
            </w:r>
            <w:proofErr w:type="spellEnd"/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 xml:space="preserve"> anteriores sejam realizados;</w:t>
            </w:r>
          </w:p>
          <w:p w:rsidR="00F1317B" w:rsidRPr="001948ED" w:rsidRDefault="00F1317B" w:rsidP="00F131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Teste de Longa Duração (TLD) na Formação Candeias, contingente ao resultado do TFR no mesmo intervalo; e</w:t>
            </w:r>
          </w:p>
          <w:p w:rsidR="00F1317B" w:rsidRPr="001948ED" w:rsidRDefault="00F1317B" w:rsidP="00F131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Aquisição sísmica no bloco REC-T-108, em área não abrangida pelo volume sísmico 3D já existente, contingente aos resultados do reprocessamento sísmico e com ponto de decisão em 20/01/2022.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II) as atividades do PAD deverão ser iniciadas até fevereiro de 2021;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III) em caso de não assumir um dos compromissos contingentes de TFR ou TLD e não restando mais compromissos a serem realizados no PAD, a área do PAD deverá ser devolvida à União ou ser declarada comercial;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IV) prazo final do PAD caso todas as atividades contingentes forem executadas: 20/01/2023; e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V) postergar a Fase de Exploração do Bloco REC-T-108, da área retida para o PAD, até o prazo final do Plano.</w:t>
            </w:r>
          </w:p>
          <w:p w:rsidR="00F1317B" w:rsidRPr="001948E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948ED"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1317B" w:rsidRPr="00B15D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F1317B" w:rsidTr="002C3859">
        <w:tc>
          <w:tcPr>
            <w:tcW w:w="1418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D5DCE4" w:themeFill="text2" w:themeFillTint="33"/>
          </w:tcPr>
          <w:p w:rsidR="00F1317B" w:rsidRPr="00BC669C" w:rsidRDefault="00F1317B" w:rsidP="00F13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F1317B" w:rsidTr="002C3859">
        <w:tc>
          <w:tcPr>
            <w:tcW w:w="1418" w:type="dxa"/>
            <w:shd w:val="clear" w:color="auto" w:fill="auto"/>
          </w:tcPr>
          <w:p w:rsidR="00F131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483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317B" w:rsidRPr="00332D32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2EEC">
              <w:rPr>
                <w:rFonts w:ascii="Arial" w:hAnsi="Arial" w:cs="Arial"/>
                <w:color w:val="444444"/>
                <w:sz w:val="18"/>
                <w:szCs w:val="18"/>
              </w:rPr>
              <w:t>0292/2020</w:t>
            </w:r>
          </w:p>
        </w:tc>
        <w:tc>
          <w:tcPr>
            <w:tcW w:w="1843" w:type="dxa"/>
            <w:shd w:val="clear" w:color="auto" w:fill="auto"/>
          </w:tcPr>
          <w:p w:rsidR="00F1317B" w:rsidRPr="00332D32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2EEC">
              <w:rPr>
                <w:rFonts w:ascii="Arial" w:hAnsi="Arial" w:cs="Arial"/>
                <w:color w:val="444444"/>
                <w:sz w:val="18"/>
                <w:szCs w:val="18"/>
              </w:rPr>
              <w:t>48610.000923/2017</w:t>
            </w:r>
          </w:p>
        </w:tc>
        <w:tc>
          <w:tcPr>
            <w:tcW w:w="2835" w:type="dxa"/>
            <w:shd w:val="clear" w:color="auto" w:fill="auto"/>
          </w:tcPr>
          <w:p w:rsidR="00F1317B" w:rsidRPr="00332D32" w:rsidRDefault="00F1317B" w:rsidP="00F1317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M</w:t>
            </w:r>
            <w:r w:rsidRPr="00A82EEC">
              <w:rPr>
                <w:rFonts w:ascii="Arial" w:hAnsi="Arial" w:cs="Arial"/>
                <w:color w:val="444444"/>
                <w:sz w:val="18"/>
                <w:szCs w:val="18"/>
              </w:rPr>
              <w:t>edidas regulatório-cautelares para contingenciamento de efeitos negativos da formação de estoques de etanol anidro no contexto da pandemia de COVID-19 (Resolução ANP nº 67/2011)</w:t>
            </w:r>
          </w:p>
        </w:tc>
        <w:tc>
          <w:tcPr>
            <w:tcW w:w="928" w:type="dxa"/>
            <w:shd w:val="clear" w:color="auto" w:fill="auto"/>
          </w:tcPr>
          <w:p w:rsidR="00F1317B" w:rsidRPr="00332D32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82EEC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  <w:shd w:val="clear" w:color="auto" w:fill="auto"/>
          </w:tcPr>
          <w:p w:rsidR="00F131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259/2020</w:t>
            </w:r>
          </w:p>
        </w:tc>
        <w:tc>
          <w:tcPr>
            <w:tcW w:w="1275" w:type="dxa"/>
            <w:shd w:val="clear" w:color="auto" w:fill="auto"/>
          </w:tcPr>
          <w:p w:rsidR="00F131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05/06/2020</w:t>
            </w:r>
          </w:p>
        </w:tc>
        <w:tc>
          <w:tcPr>
            <w:tcW w:w="1134" w:type="dxa"/>
            <w:shd w:val="clear" w:color="auto" w:fill="auto"/>
          </w:tcPr>
          <w:p w:rsidR="00F1317B" w:rsidRPr="00332D32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F</w:t>
            </w: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elipe </w:t>
            </w:r>
            <w:proofErr w:type="spell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317" w:type="dxa"/>
            <w:shd w:val="clear" w:color="auto" w:fill="auto"/>
          </w:tcPr>
          <w:p w:rsidR="00F1317B" w:rsidRPr="0076789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, com 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 xml:space="preserve">fundamento na Nota Técnica Conjunta 18/2020/ANP, elaborada pelos assessores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da DG, DIR I, DIR II e DIR III, decidiu:</w:t>
            </w:r>
          </w:p>
          <w:p w:rsidR="00F1317B" w:rsidRPr="0076789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Aprovar Resolução que determina os mecanismos de formação de estoques de etanol e metas de contratação, em caráter excepcional, exclusivamente para a safra 2020/2021, com os seguintes reparos:</w:t>
            </w:r>
          </w:p>
          <w:p w:rsidR="00F1317B" w:rsidRPr="0076789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1. deve ser eliminada a subjetividade da margem de 4% indicada pela SDL, resultando na redução da meta no valor de 16%; e</w:t>
            </w:r>
          </w:p>
          <w:p w:rsidR="00F1317B" w:rsidRPr="0076789D" w:rsidRDefault="00F1317B" w:rsidP="00F1317B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 xml:space="preserve">2. após a publicação da resolução de que trata a presente PA, deve ser realizada pela SDL consulta à Procuradoria sobre a realização de Consulta e Audiência Públicas </w:t>
            </w:r>
            <w:r w:rsidRPr="0076789D">
              <w:rPr>
                <w:rFonts w:ascii="Arial" w:hAnsi="Arial" w:cs="Arial"/>
                <w:i/>
                <w:color w:val="444444"/>
                <w:sz w:val="18"/>
                <w:szCs w:val="18"/>
              </w:rPr>
              <w:t>a posteriori</w:t>
            </w:r>
            <w:r w:rsidRPr="0076789D">
              <w:rPr>
                <w:rFonts w:ascii="Arial" w:hAnsi="Arial" w:cs="Arial"/>
                <w:color w:val="444444"/>
                <w:sz w:val="18"/>
                <w:szCs w:val="18"/>
              </w:rPr>
              <w:t>.</w:t>
            </w:r>
          </w:p>
          <w:p w:rsidR="00F1317B" w:rsidRDefault="00F1317B" w:rsidP="00F1317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F1317B" w:rsidTr="002C3859">
        <w:tc>
          <w:tcPr>
            <w:tcW w:w="16160" w:type="dxa"/>
            <w:gridSpan w:val="9"/>
            <w:shd w:val="clear" w:color="auto" w:fill="auto"/>
          </w:tcPr>
          <w:p w:rsidR="00F1317B" w:rsidRPr="00855BBE" w:rsidRDefault="00F1317B" w:rsidP="00F1317B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PA</w:t>
            </w: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F1317B" w:rsidRDefault="00F1317B" w:rsidP="00F1317B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840E99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11" w:rsidRDefault="009A3711" w:rsidP="00D04E1D">
      <w:pPr>
        <w:spacing w:after="0" w:line="240" w:lineRule="auto"/>
      </w:pPr>
      <w:r>
        <w:separator/>
      </w:r>
    </w:p>
  </w:endnote>
  <w:endnote w:type="continuationSeparator" w:id="0">
    <w:p w:rsidR="009A3711" w:rsidRDefault="009A3711" w:rsidP="00D0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11" w:rsidRDefault="009A3711" w:rsidP="00D04E1D">
      <w:pPr>
        <w:spacing w:after="0" w:line="240" w:lineRule="auto"/>
      </w:pPr>
      <w:r>
        <w:separator/>
      </w:r>
    </w:p>
  </w:footnote>
  <w:footnote w:type="continuationSeparator" w:id="0">
    <w:p w:rsidR="009A3711" w:rsidRDefault="009A3711" w:rsidP="00D0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1D" w:rsidRPr="001C556F" w:rsidRDefault="009A3711">
    <w:pPr>
      <w:pStyle w:val="Cabealho"/>
      <w:rPr>
        <w:b/>
      </w:rPr>
    </w:pPr>
    <w:r>
      <w:rPr>
        <w:b/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3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6131F"/>
    <w:multiLevelType w:val="multilevel"/>
    <w:tmpl w:val="70F2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E7D16"/>
    <w:multiLevelType w:val="multilevel"/>
    <w:tmpl w:val="206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99"/>
    <w:rsid w:val="00004DA3"/>
    <w:rsid w:val="00012429"/>
    <w:rsid w:val="00034C02"/>
    <w:rsid w:val="00057036"/>
    <w:rsid w:val="0009383C"/>
    <w:rsid w:val="00094C5F"/>
    <w:rsid w:val="000A426A"/>
    <w:rsid w:val="000B3E38"/>
    <w:rsid w:val="000C2C9B"/>
    <w:rsid w:val="000C545B"/>
    <w:rsid w:val="000E3A2E"/>
    <w:rsid w:val="00100113"/>
    <w:rsid w:val="00103463"/>
    <w:rsid w:val="001A1089"/>
    <w:rsid w:val="001B0243"/>
    <w:rsid w:val="001B79E9"/>
    <w:rsid w:val="001C0D49"/>
    <w:rsid w:val="001C556F"/>
    <w:rsid w:val="001E4956"/>
    <w:rsid w:val="001F518A"/>
    <w:rsid w:val="002003FB"/>
    <w:rsid w:val="0022054B"/>
    <w:rsid w:val="0022278E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2C3859"/>
    <w:rsid w:val="00315CA3"/>
    <w:rsid w:val="00322FE3"/>
    <w:rsid w:val="00342364"/>
    <w:rsid w:val="00353C97"/>
    <w:rsid w:val="00354D12"/>
    <w:rsid w:val="0038488B"/>
    <w:rsid w:val="003903E9"/>
    <w:rsid w:val="003B466E"/>
    <w:rsid w:val="003F16A3"/>
    <w:rsid w:val="004174BC"/>
    <w:rsid w:val="00430DBF"/>
    <w:rsid w:val="004724C0"/>
    <w:rsid w:val="0049009C"/>
    <w:rsid w:val="00496CE4"/>
    <w:rsid w:val="004A0BAE"/>
    <w:rsid w:val="004A0D47"/>
    <w:rsid w:val="004C3686"/>
    <w:rsid w:val="004D1F30"/>
    <w:rsid w:val="004D40D6"/>
    <w:rsid w:val="004F3DD8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6683D"/>
    <w:rsid w:val="00682830"/>
    <w:rsid w:val="00695E1B"/>
    <w:rsid w:val="006A2EDC"/>
    <w:rsid w:val="006A5C0E"/>
    <w:rsid w:val="006B1F90"/>
    <w:rsid w:val="006C5301"/>
    <w:rsid w:val="006D4001"/>
    <w:rsid w:val="006E73F7"/>
    <w:rsid w:val="007031AA"/>
    <w:rsid w:val="0070376E"/>
    <w:rsid w:val="00722248"/>
    <w:rsid w:val="00734F98"/>
    <w:rsid w:val="007425EC"/>
    <w:rsid w:val="00761976"/>
    <w:rsid w:val="0077395B"/>
    <w:rsid w:val="00774240"/>
    <w:rsid w:val="00791EBE"/>
    <w:rsid w:val="007A1D5E"/>
    <w:rsid w:val="007A6CEE"/>
    <w:rsid w:val="008369AF"/>
    <w:rsid w:val="00840E99"/>
    <w:rsid w:val="00847C1D"/>
    <w:rsid w:val="0085558D"/>
    <w:rsid w:val="008666EE"/>
    <w:rsid w:val="00870A19"/>
    <w:rsid w:val="008A1CEE"/>
    <w:rsid w:val="008A6DD1"/>
    <w:rsid w:val="008B3102"/>
    <w:rsid w:val="008C4E6C"/>
    <w:rsid w:val="008E4F12"/>
    <w:rsid w:val="008F5985"/>
    <w:rsid w:val="00900E15"/>
    <w:rsid w:val="009054C5"/>
    <w:rsid w:val="00920367"/>
    <w:rsid w:val="009309E6"/>
    <w:rsid w:val="0093325D"/>
    <w:rsid w:val="009525DA"/>
    <w:rsid w:val="00953B1A"/>
    <w:rsid w:val="00964CA5"/>
    <w:rsid w:val="009A3711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227B"/>
    <w:rsid w:val="00A76759"/>
    <w:rsid w:val="00A77355"/>
    <w:rsid w:val="00A90A4F"/>
    <w:rsid w:val="00A91B2A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6C8F"/>
    <w:rsid w:val="00B20768"/>
    <w:rsid w:val="00B33EB9"/>
    <w:rsid w:val="00B40583"/>
    <w:rsid w:val="00B53189"/>
    <w:rsid w:val="00B63396"/>
    <w:rsid w:val="00B740C3"/>
    <w:rsid w:val="00B834B1"/>
    <w:rsid w:val="00B956E9"/>
    <w:rsid w:val="00BA303A"/>
    <w:rsid w:val="00BD3B79"/>
    <w:rsid w:val="00BD4820"/>
    <w:rsid w:val="00BF5C1A"/>
    <w:rsid w:val="00C102B6"/>
    <w:rsid w:val="00C129A1"/>
    <w:rsid w:val="00C16995"/>
    <w:rsid w:val="00C1795A"/>
    <w:rsid w:val="00C27BD9"/>
    <w:rsid w:val="00C37180"/>
    <w:rsid w:val="00C41C08"/>
    <w:rsid w:val="00C603DC"/>
    <w:rsid w:val="00C77DC6"/>
    <w:rsid w:val="00CA1A4B"/>
    <w:rsid w:val="00CA2C72"/>
    <w:rsid w:val="00CA6B6D"/>
    <w:rsid w:val="00CC27D7"/>
    <w:rsid w:val="00CF3730"/>
    <w:rsid w:val="00CF4087"/>
    <w:rsid w:val="00D04E1D"/>
    <w:rsid w:val="00D20F87"/>
    <w:rsid w:val="00D2229F"/>
    <w:rsid w:val="00D4153F"/>
    <w:rsid w:val="00D5311E"/>
    <w:rsid w:val="00D71B8A"/>
    <w:rsid w:val="00D75597"/>
    <w:rsid w:val="00D8467A"/>
    <w:rsid w:val="00DB5CE8"/>
    <w:rsid w:val="00DC32D2"/>
    <w:rsid w:val="00DC4B8A"/>
    <w:rsid w:val="00DC6003"/>
    <w:rsid w:val="00DE7998"/>
    <w:rsid w:val="00E01230"/>
    <w:rsid w:val="00E21D3B"/>
    <w:rsid w:val="00E26D32"/>
    <w:rsid w:val="00E33111"/>
    <w:rsid w:val="00E334D1"/>
    <w:rsid w:val="00E44E6A"/>
    <w:rsid w:val="00E47C91"/>
    <w:rsid w:val="00E64802"/>
    <w:rsid w:val="00E75B5F"/>
    <w:rsid w:val="00E853DF"/>
    <w:rsid w:val="00E86D1C"/>
    <w:rsid w:val="00EB19B9"/>
    <w:rsid w:val="00ED017B"/>
    <w:rsid w:val="00EE6019"/>
    <w:rsid w:val="00EF0C6B"/>
    <w:rsid w:val="00EF1FA9"/>
    <w:rsid w:val="00F0381A"/>
    <w:rsid w:val="00F0390F"/>
    <w:rsid w:val="00F1317B"/>
    <w:rsid w:val="00F15C4A"/>
    <w:rsid w:val="00F273EA"/>
    <w:rsid w:val="00F32CA4"/>
    <w:rsid w:val="00F526E6"/>
    <w:rsid w:val="00F52C7A"/>
    <w:rsid w:val="00F56161"/>
    <w:rsid w:val="00F67259"/>
    <w:rsid w:val="00F67E0E"/>
    <w:rsid w:val="00F84F3F"/>
    <w:rsid w:val="00F902D4"/>
    <w:rsid w:val="00FC6F8F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22FE65-D70D-4352-998F-2AED9D52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E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4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E1D"/>
  </w:style>
  <w:style w:type="paragraph" w:styleId="Rodap">
    <w:name w:val="footer"/>
    <w:basedOn w:val="Normal"/>
    <w:link w:val="RodapChar"/>
    <w:uiPriority w:val="99"/>
    <w:unhideWhenUsed/>
    <w:rsid w:val="00D04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2021-10-18T19:23:00Z</dcterms:created>
  <dcterms:modified xsi:type="dcterms:W3CDTF">2021-10-18T19:23:00Z</dcterms:modified>
</cp:coreProperties>
</file>