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shd w:val="clear" w:color="auto" w:fill="2E74B5" w:themeFill="accent1" w:themeFillShade="BF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984"/>
        <w:gridCol w:w="2977"/>
        <w:gridCol w:w="850"/>
        <w:gridCol w:w="1134"/>
        <w:gridCol w:w="1276"/>
        <w:gridCol w:w="1134"/>
        <w:gridCol w:w="4253"/>
      </w:tblGrid>
      <w:tr w:rsidR="00554E9E" w:rsidRPr="001149A5" w:rsidTr="00AE1180">
        <w:tc>
          <w:tcPr>
            <w:tcW w:w="16302" w:type="dxa"/>
            <w:gridSpan w:val="9"/>
            <w:shd w:val="clear" w:color="auto" w:fill="2E74B5" w:themeFill="accent1" w:themeFillShade="BF"/>
          </w:tcPr>
          <w:p w:rsidR="00554E9E" w:rsidRPr="001149A5" w:rsidRDefault="00554E9E" w:rsidP="00C714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26/06 a 02/07/2020)</w:t>
            </w:r>
          </w:p>
        </w:tc>
      </w:tr>
      <w:tr w:rsidR="00AE1180" w:rsidTr="00AE1180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AE1180" w:rsidRPr="00BC669C" w:rsidRDefault="00AE1180" w:rsidP="00A96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E1180" w:rsidRPr="004210E6" w:rsidTr="00AE1180">
        <w:tblPrEx>
          <w:shd w:val="clear" w:color="auto" w:fill="auto"/>
        </w:tblPrEx>
        <w:tc>
          <w:tcPr>
            <w:tcW w:w="1560" w:type="dxa"/>
            <w:shd w:val="clear" w:color="auto" w:fill="auto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524</w:t>
            </w:r>
          </w:p>
        </w:tc>
        <w:tc>
          <w:tcPr>
            <w:tcW w:w="1134" w:type="dxa"/>
            <w:shd w:val="clear" w:color="auto" w:fill="auto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379D4">
              <w:rPr>
                <w:rFonts w:ascii="Arial" w:hAnsi="Arial" w:cs="Arial"/>
                <w:color w:val="444444"/>
                <w:sz w:val="18"/>
                <w:szCs w:val="18"/>
              </w:rPr>
              <w:t>0391/2019</w:t>
            </w:r>
          </w:p>
        </w:tc>
        <w:tc>
          <w:tcPr>
            <w:tcW w:w="1984" w:type="dxa"/>
            <w:shd w:val="clear" w:color="auto" w:fill="auto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379D4">
              <w:rPr>
                <w:rFonts w:ascii="Arial" w:hAnsi="Arial" w:cs="Arial"/>
                <w:color w:val="444444"/>
                <w:sz w:val="18"/>
                <w:szCs w:val="18"/>
              </w:rPr>
              <w:t>48610.001398/2018</w:t>
            </w:r>
          </w:p>
        </w:tc>
        <w:tc>
          <w:tcPr>
            <w:tcW w:w="2977" w:type="dxa"/>
            <w:shd w:val="clear" w:color="auto" w:fill="auto"/>
          </w:tcPr>
          <w:p w:rsidR="00AE1180" w:rsidRPr="004210E6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379D4">
              <w:rPr>
                <w:rFonts w:ascii="Arial" w:hAnsi="Arial" w:cs="Arial"/>
                <w:color w:val="444444"/>
                <w:sz w:val="18"/>
                <w:szCs w:val="18"/>
              </w:rPr>
              <w:t>Término da suspensão dos contratos PAR-T-198_R12 e PAR-T-218_R12 e sua Restituição de Prazo do período Exploratório - Operadora PETROBRAS / 12 Rodada de concessão / Setor SPAR-CN</w:t>
            </w:r>
          </w:p>
        </w:tc>
        <w:tc>
          <w:tcPr>
            <w:tcW w:w="850" w:type="dxa"/>
            <w:shd w:val="clear" w:color="auto" w:fill="auto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379D4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134" w:type="dxa"/>
            <w:shd w:val="clear" w:color="auto" w:fill="auto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F2807">
              <w:rPr>
                <w:rFonts w:ascii="Arial" w:hAnsi="Arial" w:cs="Arial"/>
                <w:color w:val="444444"/>
                <w:sz w:val="18"/>
                <w:szCs w:val="18"/>
              </w:rPr>
              <w:t>301/2020</w:t>
            </w:r>
          </w:p>
        </w:tc>
        <w:tc>
          <w:tcPr>
            <w:tcW w:w="1276" w:type="dxa"/>
            <w:shd w:val="clear" w:color="auto" w:fill="auto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F2807">
              <w:rPr>
                <w:rFonts w:ascii="Arial" w:hAnsi="Arial" w:cs="Arial"/>
                <w:color w:val="444444"/>
                <w:sz w:val="18"/>
                <w:szCs w:val="18"/>
              </w:rPr>
              <w:t>01/07/2020</w:t>
            </w:r>
          </w:p>
        </w:tc>
        <w:tc>
          <w:tcPr>
            <w:tcW w:w="1134" w:type="dxa"/>
            <w:shd w:val="clear" w:color="auto" w:fill="auto"/>
          </w:tcPr>
          <w:p w:rsidR="00AE1180" w:rsidRPr="00906273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379D4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F379D4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E1180" w:rsidRPr="00AF2807" w:rsidRDefault="00AE1180" w:rsidP="00C714A3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AF2807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,</w:t>
            </w:r>
            <w:r w:rsidRPr="00AF2807">
              <w:rPr>
                <w:rFonts w:ascii="Arial" w:hAnsi="Arial" w:cs="Arial"/>
                <w:color w:val="444444"/>
                <w:sz w:val="18"/>
                <w:szCs w:val="18"/>
              </w:rPr>
              <w:t xml:space="preserve"> com base na Proposta de Ação nº 0391, de 28 de maio de 2019 e no Parecer nº 00179/2020/PFANP/PGF/AGU, aprovado pelo Despacho nº 01079/2020/PFANP/PGF/AGU, resolve:</w:t>
            </w:r>
          </w:p>
          <w:p w:rsidR="00AE1180" w:rsidRPr="00AF2807" w:rsidRDefault="00AE1180" w:rsidP="00C714A3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F2807">
              <w:rPr>
                <w:rFonts w:ascii="Arial" w:hAnsi="Arial" w:cs="Arial"/>
                <w:color w:val="444444"/>
                <w:sz w:val="18"/>
                <w:szCs w:val="18"/>
              </w:rPr>
              <w:t>Restituir 1210 (um mil duzentos e dez) dias ao Primeiro Período Exploratório dos Contratos de Concessão nº 48610.000077/2014-31 (PAR-T-198_R12) e nº 48610.000081/2014-08 (PAR-T-218_R12) a contar de 12/07/2018, data do recebimento, pelo concessionário, da intimação da decisão que concedeu efeito suspensivo à apelação.</w:t>
            </w:r>
          </w:p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E1180" w:rsidTr="00AE1180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E1180" w:rsidRPr="00846AD2" w:rsidTr="00AE1180">
        <w:tblPrEx>
          <w:shd w:val="clear" w:color="auto" w:fill="auto"/>
        </w:tblPrEx>
        <w:tc>
          <w:tcPr>
            <w:tcW w:w="1560" w:type="dxa"/>
            <w:shd w:val="clear" w:color="auto" w:fill="auto"/>
          </w:tcPr>
          <w:p w:rsidR="00AE1180" w:rsidRPr="00846AD2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AE1180" w:rsidRPr="00846AD2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>0373/2020</w:t>
            </w:r>
          </w:p>
        </w:tc>
        <w:tc>
          <w:tcPr>
            <w:tcW w:w="1984" w:type="dxa"/>
            <w:shd w:val="clear" w:color="auto" w:fill="auto"/>
          </w:tcPr>
          <w:p w:rsidR="00AE1180" w:rsidRPr="00846AD2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48610.200463/2020</w:t>
            </w:r>
          </w:p>
        </w:tc>
        <w:tc>
          <w:tcPr>
            <w:tcW w:w="2977" w:type="dxa"/>
            <w:shd w:val="clear" w:color="auto" w:fill="auto"/>
          </w:tcPr>
          <w:p w:rsidR="00AE1180" w:rsidRPr="00846AD2" w:rsidRDefault="00AE1180" w:rsidP="00C714A3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Autorização de Operação de gasoduto não-integrante da </w:t>
            </w:r>
            <w:proofErr w:type="spellStart"/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>Alvopetro</w:t>
            </w:r>
            <w:proofErr w:type="spellEnd"/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>, na Bacia do Recôncavo</w:t>
            </w:r>
          </w:p>
        </w:tc>
        <w:tc>
          <w:tcPr>
            <w:tcW w:w="850" w:type="dxa"/>
            <w:shd w:val="clear" w:color="auto" w:fill="auto"/>
          </w:tcPr>
          <w:p w:rsidR="00AE1180" w:rsidRPr="00846AD2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>SDP</w:t>
            </w:r>
          </w:p>
        </w:tc>
        <w:tc>
          <w:tcPr>
            <w:tcW w:w="1134" w:type="dxa"/>
            <w:shd w:val="clear" w:color="auto" w:fill="auto"/>
          </w:tcPr>
          <w:p w:rsidR="00AE1180" w:rsidRPr="00846AD2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>300/2020</w:t>
            </w:r>
          </w:p>
        </w:tc>
        <w:tc>
          <w:tcPr>
            <w:tcW w:w="1276" w:type="dxa"/>
            <w:shd w:val="clear" w:color="auto" w:fill="auto"/>
          </w:tcPr>
          <w:p w:rsidR="00AE1180" w:rsidRPr="00846AD2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>29/06/2020</w:t>
            </w:r>
          </w:p>
        </w:tc>
        <w:tc>
          <w:tcPr>
            <w:tcW w:w="1134" w:type="dxa"/>
            <w:shd w:val="clear" w:color="auto" w:fill="auto"/>
          </w:tcPr>
          <w:p w:rsidR="00AE1180" w:rsidRPr="00846AD2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 Castilho</w:t>
            </w:r>
          </w:p>
        </w:tc>
        <w:tc>
          <w:tcPr>
            <w:tcW w:w="4253" w:type="dxa"/>
            <w:shd w:val="clear" w:color="auto" w:fill="auto"/>
          </w:tcPr>
          <w:p w:rsidR="00AE1180" w:rsidRPr="00846AD2" w:rsidRDefault="00AE1180" w:rsidP="006054BA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Pr="00A534EE">
              <w:rPr>
                <w:rFonts w:ascii="Arial" w:hAnsi="Arial" w:cs="Arial"/>
                <w:color w:val="000000" w:themeColor="text1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com base </w:t>
            </w:r>
            <w:r w:rsidRPr="00A534EE">
              <w:rPr>
                <w:rFonts w:ascii="Arial" w:hAnsi="Arial" w:cs="Arial"/>
                <w:color w:val="000000" w:themeColor="text1"/>
                <w:sz w:val="18"/>
                <w:szCs w:val="18"/>
              </w:rPr>
              <w:t>na Nota Técnica 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onjunta nº 20/2020/ANP, resolve a</w:t>
            </w:r>
            <w:r w:rsidRPr="00A534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utorizar a </w:t>
            </w:r>
            <w:proofErr w:type="spellStart"/>
            <w:r w:rsidRPr="00A534EE">
              <w:rPr>
                <w:rFonts w:ascii="Arial" w:hAnsi="Arial" w:cs="Arial"/>
                <w:color w:val="000000" w:themeColor="text1"/>
                <w:sz w:val="18"/>
                <w:szCs w:val="18"/>
              </w:rPr>
              <w:t>Alvopetro</w:t>
            </w:r>
            <w:proofErr w:type="spellEnd"/>
            <w:r w:rsidRPr="00A534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S.A. Extração de Petróleo e Gás Natural a operar o gasoduto de escoamento da produção interligando a área individualizada de produção composta pelos campos de Cardeal do Nordeste, Caburé, Caburé Leste e Cardeal do Nordeste Leste à Unidade de Processamento de Gás Natural (UPGN) Caburé, situada no município de Mata de São João, Estado da Bahia.</w:t>
            </w:r>
          </w:p>
        </w:tc>
      </w:tr>
      <w:tr w:rsidR="00AE1180" w:rsidTr="00AE1180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E1180" w:rsidRPr="006F7653" w:rsidTr="00AE1180">
        <w:tblPrEx>
          <w:shd w:val="clear" w:color="auto" w:fill="auto"/>
        </w:tblPrEx>
        <w:tc>
          <w:tcPr>
            <w:tcW w:w="1560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519</w:t>
            </w:r>
          </w:p>
        </w:tc>
        <w:tc>
          <w:tcPr>
            <w:tcW w:w="113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0382/2020</w:t>
            </w:r>
          </w:p>
        </w:tc>
        <w:tc>
          <w:tcPr>
            <w:tcW w:w="198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48610.004687/2000</w:t>
            </w:r>
          </w:p>
        </w:tc>
        <w:tc>
          <w:tcPr>
            <w:tcW w:w="2977" w:type="dxa"/>
            <w:shd w:val="clear" w:color="auto" w:fill="auto"/>
          </w:tcPr>
          <w:p w:rsidR="00AE1180" w:rsidRPr="006F7653" w:rsidRDefault="00AE1180" w:rsidP="00C714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Licitações e Contratos Administrativos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SGA</w:t>
            </w:r>
          </w:p>
        </w:tc>
        <w:tc>
          <w:tcPr>
            <w:tcW w:w="113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299/2020</w:t>
            </w:r>
          </w:p>
        </w:tc>
        <w:tc>
          <w:tcPr>
            <w:tcW w:w="1276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29/06/2020</w:t>
            </w:r>
          </w:p>
        </w:tc>
        <w:tc>
          <w:tcPr>
            <w:tcW w:w="113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:rsidR="00AE1180" w:rsidRPr="006F7653" w:rsidRDefault="00AE1180" w:rsidP="00C714A3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Diretoria, com base na Proposta de Ação nº 0382, de 21 de junho de 2020, resolve aprovar Portaria de designação de servidores para atuarem como pregoeiros e compor a equipe de apoio, para um novo mandato de 12 (doze) meses, contados a partir de 07/07/2020.</w:t>
            </w:r>
          </w:p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1180" w:rsidTr="00AE1180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E1180" w:rsidRPr="006F7653" w:rsidTr="00AE1180">
        <w:tblPrEx>
          <w:shd w:val="clear" w:color="auto" w:fill="auto"/>
        </w:tblPrEx>
        <w:tc>
          <w:tcPr>
            <w:tcW w:w="1560" w:type="dxa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515</w:t>
            </w:r>
          </w:p>
        </w:tc>
        <w:tc>
          <w:tcPr>
            <w:tcW w:w="1134" w:type="dxa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0196/2020</w:t>
            </w:r>
          </w:p>
        </w:tc>
        <w:tc>
          <w:tcPr>
            <w:tcW w:w="1984" w:type="dxa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48610.002976/2015</w:t>
            </w:r>
          </w:p>
        </w:tc>
        <w:tc>
          <w:tcPr>
            <w:tcW w:w="2977" w:type="dxa"/>
          </w:tcPr>
          <w:p w:rsidR="00AE1180" w:rsidRPr="006F7653" w:rsidRDefault="00AE1180" w:rsidP="00C714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Elaboração de nova Portaria que visa regulamentar a gestão da capacitação e desenvolvimento de pessoas no âmbito da Agência Nacional do Petróleo, Gás Natural e Biocombustíveis - ANP</w:t>
            </w:r>
          </w:p>
        </w:tc>
        <w:tc>
          <w:tcPr>
            <w:tcW w:w="850" w:type="dxa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SGP</w:t>
            </w:r>
          </w:p>
        </w:tc>
        <w:tc>
          <w:tcPr>
            <w:tcW w:w="1134" w:type="dxa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298/2020</w:t>
            </w:r>
          </w:p>
        </w:tc>
        <w:tc>
          <w:tcPr>
            <w:tcW w:w="1276" w:type="dxa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29/06/2020</w:t>
            </w:r>
          </w:p>
        </w:tc>
        <w:tc>
          <w:tcPr>
            <w:tcW w:w="1134" w:type="dxa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José Gutman</w:t>
            </w:r>
          </w:p>
        </w:tc>
        <w:tc>
          <w:tcPr>
            <w:tcW w:w="4253" w:type="dxa"/>
          </w:tcPr>
          <w:p w:rsidR="00AE1180" w:rsidRPr="006F7653" w:rsidRDefault="00AE1180" w:rsidP="00C714A3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Diretoria, com base na Proposta de Ação nº 0196, de 31 de março de 2020, resolve:</w:t>
            </w:r>
          </w:p>
          <w:p w:rsidR="00AE1180" w:rsidRPr="006F7653" w:rsidRDefault="00AE1180" w:rsidP="00C714A3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Aprovar Portaria que regulamenta a gestão da capacitação e desenvolvimento de pessoas no âmbito da Agência Nacional do Petróleo, Gás Natural e Biocombustíveis - ANP.</w:t>
            </w:r>
          </w:p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1180" w:rsidTr="00AE1180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E1180" w:rsidRPr="006F7653" w:rsidTr="00AE1180">
        <w:tblPrEx>
          <w:shd w:val="clear" w:color="auto" w:fill="auto"/>
        </w:tblPrEx>
        <w:tc>
          <w:tcPr>
            <w:tcW w:w="1560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521</w:t>
            </w:r>
          </w:p>
        </w:tc>
        <w:tc>
          <w:tcPr>
            <w:tcW w:w="113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0320/2020</w:t>
            </w:r>
          </w:p>
        </w:tc>
        <w:tc>
          <w:tcPr>
            <w:tcW w:w="198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48610.205434/2020</w:t>
            </w:r>
          </w:p>
        </w:tc>
        <w:tc>
          <w:tcPr>
            <w:tcW w:w="2977" w:type="dxa"/>
            <w:shd w:val="clear" w:color="auto" w:fill="auto"/>
          </w:tcPr>
          <w:p w:rsidR="00AE1180" w:rsidRPr="006F7653" w:rsidRDefault="00AE1180" w:rsidP="00C714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Compensação de créditos de royalties para a Petróleo Brasileiro S.A.- PETROBRAS, oriundos de aplicação a maior de preços de referência sobre a produção de petróleo no campo Tambuatá em novembro de 2019</w:t>
            </w:r>
          </w:p>
        </w:tc>
        <w:tc>
          <w:tcPr>
            <w:tcW w:w="850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SPG</w:t>
            </w:r>
          </w:p>
        </w:tc>
        <w:tc>
          <w:tcPr>
            <w:tcW w:w="113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297/2020</w:t>
            </w:r>
          </w:p>
        </w:tc>
        <w:tc>
          <w:tcPr>
            <w:tcW w:w="1276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29/06/2020</w:t>
            </w:r>
          </w:p>
        </w:tc>
        <w:tc>
          <w:tcPr>
            <w:tcW w:w="113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Dirceu </w:t>
            </w:r>
            <w:proofErr w:type="spellStart"/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E1180" w:rsidRPr="006F7653" w:rsidRDefault="00AE1180" w:rsidP="00C714A3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Diretoria, com base na Proposta de Ação nº 0320, de 3 de junho de 2020, resolve:</w:t>
            </w:r>
          </w:p>
          <w:p w:rsidR="00AE1180" w:rsidRPr="006F7653" w:rsidRDefault="00AE1180" w:rsidP="00C714A3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Aprovar a concessão de crédito de Royalties em favor da concessionária Petróleo Brasileiro S.A. - Petrobras, referente à produção de novembro de 2019, no campo de Tambuatá, cujo valor nominal é de R$ 363.607,64 (Trezentos e sessenta e três mil, seiscentos e sete reais e </w:t>
            </w: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sessenta e quatro centavos), a ser compensado em futuros recolhimento de Royalties e corrigido monetariamente pelo IPCA-E.</w:t>
            </w:r>
          </w:p>
        </w:tc>
      </w:tr>
      <w:tr w:rsidR="00AE1180" w:rsidTr="00AE1180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E1180" w:rsidRPr="006F7653" w:rsidTr="00AE1180">
        <w:tblPrEx>
          <w:shd w:val="clear" w:color="auto" w:fill="auto"/>
        </w:tblPrEx>
        <w:tc>
          <w:tcPr>
            <w:tcW w:w="1560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0322/2020</w:t>
            </w:r>
          </w:p>
        </w:tc>
        <w:tc>
          <w:tcPr>
            <w:tcW w:w="198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48610.215407/2019</w:t>
            </w:r>
          </w:p>
        </w:tc>
        <w:tc>
          <w:tcPr>
            <w:tcW w:w="2977" w:type="dxa"/>
            <w:shd w:val="clear" w:color="auto" w:fill="auto"/>
          </w:tcPr>
          <w:p w:rsidR="00AE1180" w:rsidRPr="006F7653" w:rsidRDefault="00AE1180" w:rsidP="00C714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Compensação de créditos de royalties para a Total E&amp;P do Brasil Ltda., oriundos do recolhimento a maior de royalties sobre a produção do campo Lapa em março de 2019</w:t>
            </w:r>
          </w:p>
        </w:tc>
        <w:tc>
          <w:tcPr>
            <w:tcW w:w="850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SPG</w:t>
            </w:r>
          </w:p>
        </w:tc>
        <w:tc>
          <w:tcPr>
            <w:tcW w:w="113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296/2020</w:t>
            </w:r>
          </w:p>
        </w:tc>
        <w:tc>
          <w:tcPr>
            <w:tcW w:w="1276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29/06/2020</w:t>
            </w:r>
          </w:p>
        </w:tc>
        <w:tc>
          <w:tcPr>
            <w:tcW w:w="1134" w:type="dxa"/>
            <w:shd w:val="clear" w:color="auto" w:fill="auto"/>
          </w:tcPr>
          <w:p w:rsidR="00AE1180" w:rsidRPr="006F7653" w:rsidRDefault="00AE1180" w:rsidP="00C714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Dirceu </w:t>
            </w:r>
            <w:proofErr w:type="spellStart"/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E1180" w:rsidRPr="006F7653" w:rsidRDefault="00AE1180" w:rsidP="00C714A3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Diretoria, com base na Proposta de Ação nº 0322, de 3 de junho de 2020, resolve:</w:t>
            </w:r>
          </w:p>
          <w:p w:rsidR="00AE1180" w:rsidRPr="006F7653" w:rsidRDefault="00AE1180" w:rsidP="009C224A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Aprovar a concessão de crédito de Royalties em favor da concessionária Total E&amp;P do Brasil Ltda., referente à produção de março de 2019, no campo de Lapa, cujo valor nominal é de R$ 425.322,44 (Quatrocentos e vinte e cinco mil, trezentos e vinte e dois reais e quarenta e quatro centavos), a ser compensado em futuros recolhimento de Royalties e corrigido monetariamente pelo IPCA-E.</w:t>
            </w:r>
          </w:p>
        </w:tc>
      </w:tr>
      <w:tr w:rsidR="00AE1180" w:rsidTr="00AE1180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E1180" w:rsidRPr="00C90F4E" w:rsidTr="00AE1180">
        <w:tblPrEx>
          <w:shd w:val="clear" w:color="auto" w:fill="auto"/>
        </w:tblPrEx>
        <w:tc>
          <w:tcPr>
            <w:tcW w:w="1560" w:type="dxa"/>
          </w:tcPr>
          <w:p w:rsidR="00AE1180" w:rsidRPr="00B64660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518</w:t>
            </w:r>
          </w:p>
        </w:tc>
        <w:tc>
          <w:tcPr>
            <w:tcW w:w="1134" w:type="dxa"/>
          </w:tcPr>
          <w:p w:rsidR="00AE1180" w:rsidRPr="00B64660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1700A">
              <w:rPr>
                <w:rFonts w:ascii="Arial" w:hAnsi="Arial" w:cs="Arial"/>
                <w:color w:val="444444"/>
                <w:sz w:val="18"/>
                <w:szCs w:val="18"/>
              </w:rPr>
              <w:t>0376/2020</w:t>
            </w:r>
          </w:p>
        </w:tc>
        <w:tc>
          <w:tcPr>
            <w:tcW w:w="1984" w:type="dxa"/>
          </w:tcPr>
          <w:p w:rsidR="00AE1180" w:rsidRPr="00B64660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1700A">
              <w:rPr>
                <w:rFonts w:ascii="Arial" w:hAnsi="Arial" w:cs="Arial"/>
                <w:color w:val="444444"/>
                <w:sz w:val="18"/>
                <w:szCs w:val="18"/>
              </w:rPr>
              <w:t>48610.208132/2020</w:t>
            </w:r>
          </w:p>
        </w:tc>
        <w:tc>
          <w:tcPr>
            <w:tcW w:w="2977" w:type="dxa"/>
          </w:tcPr>
          <w:p w:rsidR="00AE1180" w:rsidRPr="00B64660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1700A">
              <w:rPr>
                <w:rFonts w:ascii="Arial" w:hAnsi="Arial" w:cs="Arial"/>
                <w:color w:val="444444"/>
                <w:sz w:val="18"/>
                <w:szCs w:val="18"/>
              </w:rPr>
              <w:t>Revogação dos atos e dos dispositivos que suspenderam a realização de Consultas e Audiências Públicas na ANP em razão do estado de emergência de saúde pública internacional decorrente da pandemia da Covid-19</w:t>
            </w:r>
          </w:p>
        </w:tc>
        <w:tc>
          <w:tcPr>
            <w:tcW w:w="850" w:type="dxa"/>
          </w:tcPr>
          <w:p w:rsidR="00AE1180" w:rsidRPr="00B64660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1700A">
              <w:rPr>
                <w:rFonts w:ascii="Arial" w:hAnsi="Arial" w:cs="Arial"/>
                <w:color w:val="444444"/>
                <w:sz w:val="18"/>
                <w:szCs w:val="18"/>
              </w:rPr>
              <w:t>SEC</w:t>
            </w:r>
          </w:p>
        </w:tc>
        <w:tc>
          <w:tcPr>
            <w:tcW w:w="1134" w:type="dxa"/>
          </w:tcPr>
          <w:p w:rsidR="00AE1180" w:rsidRPr="00770EF7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>295/2020</w:t>
            </w:r>
          </w:p>
        </w:tc>
        <w:tc>
          <w:tcPr>
            <w:tcW w:w="1276" w:type="dxa"/>
          </w:tcPr>
          <w:p w:rsidR="00AE1180" w:rsidRPr="00770EF7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>29/06/2020</w:t>
            </w:r>
          </w:p>
        </w:tc>
        <w:tc>
          <w:tcPr>
            <w:tcW w:w="1134" w:type="dxa"/>
          </w:tcPr>
          <w:p w:rsidR="00AE1180" w:rsidRPr="00B64660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1700A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253" w:type="dxa"/>
          </w:tcPr>
          <w:p w:rsidR="00AE1180" w:rsidRPr="00387342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</w:t>
            </w:r>
            <w:r w:rsidRPr="00387342">
              <w:rPr>
                <w:rFonts w:ascii="Arial" w:hAnsi="Arial" w:cs="Arial"/>
                <w:color w:val="444444"/>
                <w:sz w:val="18"/>
                <w:szCs w:val="18"/>
              </w:rPr>
              <w:t>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decidiu:</w:t>
            </w:r>
          </w:p>
          <w:p w:rsidR="00AE1180" w:rsidRPr="00387342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87342">
              <w:rPr>
                <w:rFonts w:ascii="Arial" w:hAnsi="Arial" w:cs="Arial"/>
                <w:color w:val="444444"/>
                <w:sz w:val="18"/>
                <w:szCs w:val="18"/>
              </w:rPr>
              <w:t>I) aprovar Portaria que revoga o inciso II do art. 1º da Portaria ANP nº 70, de 16 de março de 2020; e</w:t>
            </w:r>
          </w:p>
          <w:p w:rsidR="00AE1180" w:rsidRPr="00387342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87342">
              <w:rPr>
                <w:rFonts w:ascii="Arial" w:hAnsi="Arial" w:cs="Arial"/>
                <w:color w:val="444444"/>
                <w:sz w:val="18"/>
                <w:szCs w:val="18"/>
              </w:rPr>
              <w:t>II) revogar a Resolução de Diretoria nº 195/2020.</w:t>
            </w:r>
          </w:p>
          <w:p w:rsidR="00AE1180" w:rsidRPr="00770EF7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E1180" w:rsidTr="00AE1180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E1180" w:rsidRPr="00C90F4E" w:rsidTr="00AE1180">
        <w:tblPrEx>
          <w:shd w:val="clear" w:color="auto" w:fill="auto"/>
        </w:tblPrEx>
        <w:tc>
          <w:tcPr>
            <w:tcW w:w="1560" w:type="dxa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053D2">
              <w:rPr>
                <w:rFonts w:ascii="Arial" w:hAnsi="Arial" w:cs="Arial"/>
                <w:color w:val="444444"/>
                <w:sz w:val="18"/>
                <w:szCs w:val="18"/>
              </w:rPr>
              <w:t>523</w:t>
            </w:r>
          </w:p>
        </w:tc>
        <w:tc>
          <w:tcPr>
            <w:tcW w:w="1134" w:type="dxa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053D2">
              <w:rPr>
                <w:rFonts w:ascii="Arial" w:hAnsi="Arial" w:cs="Arial"/>
                <w:color w:val="444444"/>
                <w:sz w:val="18"/>
                <w:szCs w:val="18"/>
              </w:rPr>
              <w:t>0348/2020</w:t>
            </w:r>
          </w:p>
        </w:tc>
        <w:tc>
          <w:tcPr>
            <w:tcW w:w="1984" w:type="dxa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053D2">
              <w:rPr>
                <w:rFonts w:ascii="Arial" w:hAnsi="Arial" w:cs="Arial"/>
                <w:color w:val="444444"/>
                <w:sz w:val="18"/>
                <w:szCs w:val="18"/>
              </w:rPr>
              <w:t>48610.201047/2020</w:t>
            </w:r>
          </w:p>
        </w:tc>
        <w:tc>
          <w:tcPr>
            <w:tcW w:w="2977" w:type="dxa"/>
          </w:tcPr>
          <w:p w:rsidR="00AE1180" w:rsidRPr="004210E6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053D2">
              <w:rPr>
                <w:rFonts w:ascii="Arial" w:hAnsi="Arial" w:cs="Arial"/>
                <w:color w:val="444444"/>
                <w:sz w:val="18"/>
                <w:szCs w:val="18"/>
              </w:rPr>
              <w:t xml:space="preserve">Dilação do prazo da autorização excepcional para de fornecimento </w:t>
            </w:r>
            <w:r w:rsidRPr="009053D2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GLP para geração de energia secundária para funcionamento de geradores e outros motores, em um Hospital de Campanha, anexo ao Hospital Universitário da Universidade Federal do Mato Grosso do Sul (UFMS) pela empresa COPAGAZ - DISTRIBUIDORA DE GÁS S.A.</w:t>
            </w:r>
          </w:p>
        </w:tc>
        <w:tc>
          <w:tcPr>
            <w:tcW w:w="850" w:type="dxa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053D2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SDL</w:t>
            </w:r>
          </w:p>
        </w:tc>
        <w:tc>
          <w:tcPr>
            <w:tcW w:w="1134" w:type="dxa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>294/2020</w:t>
            </w:r>
          </w:p>
        </w:tc>
        <w:tc>
          <w:tcPr>
            <w:tcW w:w="1276" w:type="dxa"/>
          </w:tcPr>
          <w:p w:rsidR="00AE1180" w:rsidRPr="004210E6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>29/06/2020</w:t>
            </w:r>
          </w:p>
        </w:tc>
        <w:tc>
          <w:tcPr>
            <w:tcW w:w="1134" w:type="dxa"/>
          </w:tcPr>
          <w:p w:rsidR="00AE1180" w:rsidRPr="00906273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053D2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9053D2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253" w:type="dxa"/>
          </w:tcPr>
          <w:p w:rsidR="00AE1180" w:rsidRPr="00165E4E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65E4E">
              <w:rPr>
                <w:rFonts w:ascii="Arial" w:hAnsi="Arial" w:cs="Arial"/>
                <w:color w:val="444444"/>
                <w:sz w:val="18"/>
                <w:szCs w:val="18"/>
              </w:rPr>
              <w:t xml:space="preserve">A Diretoria, com base no Parecer nº 00196/2020/PFANP/PGF/AGU, aprovado pelo </w:t>
            </w:r>
            <w:r w:rsidRPr="00165E4E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Despacho nº 01101/2020/PFANP/PGF/AGU, resolve:</w:t>
            </w:r>
          </w:p>
          <w:p w:rsidR="00AE1180" w:rsidRPr="00165E4E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65E4E">
              <w:rPr>
                <w:rFonts w:ascii="Arial" w:hAnsi="Arial" w:cs="Arial"/>
                <w:color w:val="444444"/>
                <w:sz w:val="18"/>
                <w:szCs w:val="18"/>
              </w:rPr>
              <w:t xml:space="preserve">Convalidar o ato de autorização emanado pela Superintendência de Distribuição e Logística (SDL), conforme disposto no Ofício nº 279/2020/SDL-CMOV/SDL/ANP-RJ, e considerando a persistência do estado de emergência de saúde pública decorrente do </w:t>
            </w:r>
            <w:proofErr w:type="spellStart"/>
            <w:r w:rsidRPr="00165E4E">
              <w:rPr>
                <w:rFonts w:ascii="Arial" w:hAnsi="Arial" w:cs="Arial"/>
                <w:color w:val="444444"/>
                <w:sz w:val="18"/>
                <w:szCs w:val="18"/>
              </w:rPr>
              <w:t>Coronavírus</w:t>
            </w:r>
            <w:proofErr w:type="spellEnd"/>
            <w:r w:rsidRPr="00165E4E">
              <w:rPr>
                <w:rFonts w:ascii="Arial" w:hAnsi="Arial" w:cs="Arial"/>
                <w:color w:val="444444"/>
                <w:sz w:val="18"/>
                <w:szCs w:val="18"/>
              </w:rPr>
              <w:t xml:space="preserve"> (COVID-19), aprovar a extensão da autorização excepcional por mais 3 (três) meses, ou enquanto perdurar o estado de calamidade pública no estado do Mato Grosso do Sul, reconhecido pelo Governo Federal em 08/04/2020, conforme publicação em DOU.</w:t>
            </w:r>
          </w:p>
          <w:p w:rsidR="00AE1180" w:rsidRPr="004210E6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E1180" w:rsidTr="00AE1180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E1180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E1180" w:rsidRPr="00BC669C" w:rsidRDefault="00AE1180" w:rsidP="00C714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AE1180" w:rsidRPr="00BC669C" w:rsidRDefault="00AE1180" w:rsidP="00C714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E1180" w:rsidRPr="00C90F4E" w:rsidTr="00AE1180">
        <w:tblPrEx>
          <w:shd w:val="clear" w:color="auto" w:fill="auto"/>
        </w:tblPrEx>
        <w:tc>
          <w:tcPr>
            <w:tcW w:w="1560" w:type="dxa"/>
          </w:tcPr>
          <w:p w:rsidR="00AE1180" w:rsidRPr="00C33AFE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33AFE">
              <w:rPr>
                <w:rFonts w:ascii="Arial" w:hAnsi="Arial" w:cs="Arial"/>
                <w:color w:val="444444"/>
                <w:sz w:val="18"/>
                <w:szCs w:val="18"/>
              </w:rPr>
              <w:t>525</w:t>
            </w:r>
          </w:p>
        </w:tc>
        <w:tc>
          <w:tcPr>
            <w:tcW w:w="1134" w:type="dxa"/>
          </w:tcPr>
          <w:p w:rsidR="00AE1180" w:rsidRPr="00C33AFE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33AFE">
              <w:rPr>
                <w:rFonts w:ascii="Arial" w:hAnsi="Arial" w:cs="Arial"/>
                <w:color w:val="444444"/>
                <w:sz w:val="18"/>
                <w:szCs w:val="18"/>
              </w:rPr>
              <w:t>0354/2020</w:t>
            </w:r>
          </w:p>
        </w:tc>
        <w:tc>
          <w:tcPr>
            <w:tcW w:w="1984" w:type="dxa"/>
          </w:tcPr>
          <w:p w:rsidR="00AE1180" w:rsidRPr="00C33AFE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C33AFE">
              <w:rPr>
                <w:rFonts w:ascii="Arial" w:hAnsi="Arial" w:cs="Arial"/>
                <w:color w:val="444444"/>
                <w:sz w:val="18"/>
                <w:szCs w:val="18"/>
              </w:rPr>
              <w:t>8610.012814/2013</w:t>
            </w:r>
          </w:p>
        </w:tc>
        <w:tc>
          <w:tcPr>
            <w:tcW w:w="2977" w:type="dxa"/>
          </w:tcPr>
          <w:p w:rsidR="00AE1180" w:rsidRPr="00C33AFE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T</w:t>
            </w:r>
            <w:r w:rsidRPr="00C33AFE">
              <w:rPr>
                <w:rFonts w:ascii="Arial" w:hAnsi="Arial" w:cs="Arial"/>
                <w:color w:val="444444"/>
                <w:sz w:val="18"/>
                <w:szCs w:val="18"/>
              </w:rPr>
              <w:t>ermo de Execução Descentralizada e Contrato de Comodato - ANP-CPRM</w:t>
            </w:r>
          </w:p>
        </w:tc>
        <w:tc>
          <w:tcPr>
            <w:tcW w:w="850" w:type="dxa"/>
          </w:tcPr>
          <w:p w:rsidR="00AE1180" w:rsidRPr="00C33AFE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33AFE">
              <w:rPr>
                <w:rFonts w:ascii="Arial" w:hAnsi="Arial" w:cs="Arial"/>
                <w:color w:val="444444"/>
                <w:sz w:val="18"/>
                <w:szCs w:val="18"/>
              </w:rPr>
              <w:t>SGA</w:t>
            </w:r>
          </w:p>
        </w:tc>
        <w:tc>
          <w:tcPr>
            <w:tcW w:w="1134" w:type="dxa"/>
          </w:tcPr>
          <w:p w:rsidR="00AE1180" w:rsidRPr="00C33AFE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>293/2020</w:t>
            </w:r>
          </w:p>
        </w:tc>
        <w:tc>
          <w:tcPr>
            <w:tcW w:w="1276" w:type="dxa"/>
          </w:tcPr>
          <w:p w:rsidR="00AE1180" w:rsidRPr="00C33AFE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>27/06/2020</w:t>
            </w:r>
          </w:p>
        </w:tc>
        <w:tc>
          <w:tcPr>
            <w:tcW w:w="1134" w:type="dxa"/>
          </w:tcPr>
          <w:p w:rsidR="00AE1180" w:rsidRPr="00C33AFE" w:rsidRDefault="00AE1180" w:rsidP="00C714A3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90F4E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253" w:type="dxa"/>
          </w:tcPr>
          <w:p w:rsidR="00AE1180" w:rsidRPr="00C33AFE" w:rsidRDefault="00AE1180" w:rsidP="00C714A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 xml:space="preserve"> Diretoria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decidiu</w:t>
            </w:r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 xml:space="preserve">utorizar a emissão de Termo Aditivo nº 03 ao Contrato de Comodato firmado entre a CPRM (Comodante) e a ANP (Comodatária), objetivando a dilação do prazo previsto na </w:t>
            </w:r>
            <w:proofErr w:type="spellStart"/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>subcláusula</w:t>
            </w:r>
            <w:proofErr w:type="spellEnd"/>
            <w:r w:rsidRPr="00A708FC">
              <w:rPr>
                <w:rFonts w:ascii="Arial" w:hAnsi="Arial" w:cs="Arial"/>
                <w:color w:val="444444"/>
                <w:sz w:val="18"/>
                <w:szCs w:val="18"/>
              </w:rPr>
              <w:t xml:space="preserve"> 2.2 do Termo Aditivo nº 02, para que a Comodatária efetue a desocupação parcial do imóvel objeto do Contrato até 31/12/2020.</w:t>
            </w:r>
          </w:p>
        </w:tc>
      </w:tr>
    </w:tbl>
    <w:p w:rsidR="0038488B" w:rsidRDefault="0038488B"/>
    <w:sectPr w:rsidR="0038488B" w:rsidSect="00554E9E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C23" w:rsidRDefault="00660C23" w:rsidP="00554E9E">
      <w:pPr>
        <w:spacing w:after="0" w:line="240" w:lineRule="auto"/>
      </w:pPr>
      <w:r>
        <w:separator/>
      </w:r>
    </w:p>
  </w:endnote>
  <w:endnote w:type="continuationSeparator" w:id="0">
    <w:p w:rsidR="00660C23" w:rsidRDefault="00660C23" w:rsidP="0055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C23" w:rsidRDefault="00660C23" w:rsidP="00554E9E">
      <w:pPr>
        <w:spacing w:after="0" w:line="240" w:lineRule="auto"/>
      </w:pPr>
      <w:r>
        <w:separator/>
      </w:r>
    </w:p>
  </w:footnote>
  <w:footnote w:type="continuationSeparator" w:id="0">
    <w:p w:rsidR="00660C23" w:rsidRDefault="00660C23" w:rsidP="00554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E9E" w:rsidRDefault="00660C23">
    <w:pPr>
      <w:pStyle w:val="Cabealho"/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949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9E"/>
    <w:rsid w:val="00004DA3"/>
    <w:rsid w:val="00012429"/>
    <w:rsid w:val="00034C02"/>
    <w:rsid w:val="00057036"/>
    <w:rsid w:val="000832F2"/>
    <w:rsid w:val="0009383C"/>
    <w:rsid w:val="00094C5F"/>
    <w:rsid w:val="000A426A"/>
    <w:rsid w:val="000A5D5D"/>
    <w:rsid w:val="000B0B30"/>
    <w:rsid w:val="000B1F26"/>
    <w:rsid w:val="000B3E38"/>
    <w:rsid w:val="000C2C9B"/>
    <w:rsid w:val="000C545B"/>
    <w:rsid w:val="000D5271"/>
    <w:rsid w:val="000E3A2E"/>
    <w:rsid w:val="000E4DD0"/>
    <w:rsid w:val="00100113"/>
    <w:rsid w:val="00103463"/>
    <w:rsid w:val="001428E3"/>
    <w:rsid w:val="00146521"/>
    <w:rsid w:val="001568AE"/>
    <w:rsid w:val="00161B4B"/>
    <w:rsid w:val="00174888"/>
    <w:rsid w:val="00191623"/>
    <w:rsid w:val="001A1089"/>
    <w:rsid w:val="001B0243"/>
    <w:rsid w:val="001B79E9"/>
    <w:rsid w:val="001C0D49"/>
    <w:rsid w:val="001C1EEF"/>
    <w:rsid w:val="001E4956"/>
    <w:rsid w:val="001F518A"/>
    <w:rsid w:val="002003FB"/>
    <w:rsid w:val="0022054B"/>
    <w:rsid w:val="002209F8"/>
    <w:rsid w:val="0022278E"/>
    <w:rsid w:val="0024415A"/>
    <w:rsid w:val="00260F22"/>
    <w:rsid w:val="00274DF3"/>
    <w:rsid w:val="00280D0F"/>
    <w:rsid w:val="0028316B"/>
    <w:rsid w:val="00284E44"/>
    <w:rsid w:val="00292908"/>
    <w:rsid w:val="002A71F9"/>
    <w:rsid w:val="002B0556"/>
    <w:rsid w:val="002C3512"/>
    <w:rsid w:val="00315CA3"/>
    <w:rsid w:val="00322FE3"/>
    <w:rsid w:val="00340CBF"/>
    <w:rsid w:val="00342364"/>
    <w:rsid w:val="00353C97"/>
    <w:rsid w:val="00354D12"/>
    <w:rsid w:val="00355D86"/>
    <w:rsid w:val="00367F11"/>
    <w:rsid w:val="0038488B"/>
    <w:rsid w:val="003903E9"/>
    <w:rsid w:val="003B466E"/>
    <w:rsid w:val="003B630A"/>
    <w:rsid w:val="003D7CE6"/>
    <w:rsid w:val="003F16A3"/>
    <w:rsid w:val="00400441"/>
    <w:rsid w:val="00430DBF"/>
    <w:rsid w:val="00451997"/>
    <w:rsid w:val="00453B62"/>
    <w:rsid w:val="004724C0"/>
    <w:rsid w:val="0047550D"/>
    <w:rsid w:val="0049009C"/>
    <w:rsid w:val="00496CE4"/>
    <w:rsid w:val="004A0BAE"/>
    <w:rsid w:val="004A0D47"/>
    <w:rsid w:val="004C3686"/>
    <w:rsid w:val="004D1F30"/>
    <w:rsid w:val="004D40D6"/>
    <w:rsid w:val="004E2EB8"/>
    <w:rsid w:val="004F3DD8"/>
    <w:rsid w:val="00501F7E"/>
    <w:rsid w:val="005119A1"/>
    <w:rsid w:val="00521255"/>
    <w:rsid w:val="005224EA"/>
    <w:rsid w:val="0052431F"/>
    <w:rsid w:val="00554E9E"/>
    <w:rsid w:val="00555762"/>
    <w:rsid w:val="00562069"/>
    <w:rsid w:val="0056524F"/>
    <w:rsid w:val="0056557E"/>
    <w:rsid w:val="00567916"/>
    <w:rsid w:val="00574836"/>
    <w:rsid w:val="005840E3"/>
    <w:rsid w:val="00587A1F"/>
    <w:rsid w:val="00587AE5"/>
    <w:rsid w:val="005968FB"/>
    <w:rsid w:val="005A3272"/>
    <w:rsid w:val="005A6A94"/>
    <w:rsid w:val="005C4239"/>
    <w:rsid w:val="005C7E62"/>
    <w:rsid w:val="005D726C"/>
    <w:rsid w:val="005E2006"/>
    <w:rsid w:val="005E2510"/>
    <w:rsid w:val="005E5B0C"/>
    <w:rsid w:val="00602EDD"/>
    <w:rsid w:val="006054BA"/>
    <w:rsid w:val="0061371C"/>
    <w:rsid w:val="00634E02"/>
    <w:rsid w:val="00642178"/>
    <w:rsid w:val="0065353A"/>
    <w:rsid w:val="00660C23"/>
    <w:rsid w:val="0066683D"/>
    <w:rsid w:val="00682830"/>
    <w:rsid w:val="006875B9"/>
    <w:rsid w:val="00695E1B"/>
    <w:rsid w:val="006A2EDC"/>
    <w:rsid w:val="006A5C0E"/>
    <w:rsid w:val="006B1F90"/>
    <w:rsid w:val="006B4756"/>
    <w:rsid w:val="006C5301"/>
    <w:rsid w:val="006D1A9B"/>
    <w:rsid w:val="006D4001"/>
    <w:rsid w:val="006E73F7"/>
    <w:rsid w:val="006F4CB0"/>
    <w:rsid w:val="007031AA"/>
    <w:rsid w:val="0070376E"/>
    <w:rsid w:val="00734F98"/>
    <w:rsid w:val="007425EC"/>
    <w:rsid w:val="00761976"/>
    <w:rsid w:val="00774240"/>
    <w:rsid w:val="00791EBE"/>
    <w:rsid w:val="007A1D5E"/>
    <w:rsid w:val="007A6CEE"/>
    <w:rsid w:val="007A7A0B"/>
    <w:rsid w:val="007D71D0"/>
    <w:rsid w:val="007F62DE"/>
    <w:rsid w:val="008369AF"/>
    <w:rsid w:val="00847C1D"/>
    <w:rsid w:val="0085558D"/>
    <w:rsid w:val="00864930"/>
    <w:rsid w:val="008666EE"/>
    <w:rsid w:val="00870A19"/>
    <w:rsid w:val="008A1CEE"/>
    <w:rsid w:val="008A4351"/>
    <w:rsid w:val="008A6DD1"/>
    <w:rsid w:val="008B3102"/>
    <w:rsid w:val="008B5E8F"/>
    <w:rsid w:val="008C4E6C"/>
    <w:rsid w:val="008E4F12"/>
    <w:rsid w:val="008F5985"/>
    <w:rsid w:val="00900E15"/>
    <w:rsid w:val="009054C5"/>
    <w:rsid w:val="00920367"/>
    <w:rsid w:val="009309E6"/>
    <w:rsid w:val="0093325D"/>
    <w:rsid w:val="0093333E"/>
    <w:rsid w:val="00947427"/>
    <w:rsid w:val="009525DA"/>
    <w:rsid w:val="00953B1A"/>
    <w:rsid w:val="00957581"/>
    <w:rsid w:val="00964CA5"/>
    <w:rsid w:val="009C224A"/>
    <w:rsid w:val="009E41AD"/>
    <w:rsid w:val="009E4662"/>
    <w:rsid w:val="009F0ABB"/>
    <w:rsid w:val="00A010C4"/>
    <w:rsid w:val="00A0278D"/>
    <w:rsid w:val="00A13A2A"/>
    <w:rsid w:val="00A17CA1"/>
    <w:rsid w:val="00A27A17"/>
    <w:rsid w:val="00A328D2"/>
    <w:rsid w:val="00A36BC8"/>
    <w:rsid w:val="00A40EFF"/>
    <w:rsid w:val="00A44A1B"/>
    <w:rsid w:val="00A5227B"/>
    <w:rsid w:val="00A608F9"/>
    <w:rsid w:val="00A76759"/>
    <w:rsid w:val="00A77355"/>
    <w:rsid w:val="00A90A4F"/>
    <w:rsid w:val="00A91B2A"/>
    <w:rsid w:val="00A947DC"/>
    <w:rsid w:val="00A9617B"/>
    <w:rsid w:val="00A969F6"/>
    <w:rsid w:val="00AA182C"/>
    <w:rsid w:val="00AA23A1"/>
    <w:rsid w:val="00AA5C2F"/>
    <w:rsid w:val="00AB0CF1"/>
    <w:rsid w:val="00AB171D"/>
    <w:rsid w:val="00AC4455"/>
    <w:rsid w:val="00AD18EC"/>
    <w:rsid w:val="00AE1180"/>
    <w:rsid w:val="00AE123C"/>
    <w:rsid w:val="00AE2A08"/>
    <w:rsid w:val="00B06C8F"/>
    <w:rsid w:val="00B20768"/>
    <w:rsid w:val="00B33EB9"/>
    <w:rsid w:val="00B53189"/>
    <w:rsid w:val="00B63396"/>
    <w:rsid w:val="00B740C3"/>
    <w:rsid w:val="00B82361"/>
    <w:rsid w:val="00B834B1"/>
    <w:rsid w:val="00B956E9"/>
    <w:rsid w:val="00BA303A"/>
    <w:rsid w:val="00BA3279"/>
    <w:rsid w:val="00BD3B79"/>
    <w:rsid w:val="00BD4820"/>
    <w:rsid w:val="00BF5C1A"/>
    <w:rsid w:val="00C04ED9"/>
    <w:rsid w:val="00C102B6"/>
    <w:rsid w:val="00C129A1"/>
    <w:rsid w:val="00C12B89"/>
    <w:rsid w:val="00C16995"/>
    <w:rsid w:val="00C1795A"/>
    <w:rsid w:val="00C27BD9"/>
    <w:rsid w:val="00C37180"/>
    <w:rsid w:val="00C41C08"/>
    <w:rsid w:val="00C51574"/>
    <w:rsid w:val="00C603DC"/>
    <w:rsid w:val="00C63030"/>
    <w:rsid w:val="00C77DC6"/>
    <w:rsid w:val="00CA1A4B"/>
    <w:rsid w:val="00CA2C72"/>
    <w:rsid w:val="00CA6B6D"/>
    <w:rsid w:val="00CC27D7"/>
    <w:rsid w:val="00CE65E3"/>
    <w:rsid w:val="00CF3730"/>
    <w:rsid w:val="00CF4087"/>
    <w:rsid w:val="00D11F2B"/>
    <w:rsid w:val="00D20F87"/>
    <w:rsid w:val="00D2229F"/>
    <w:rsid w:val="00D4153F"/>
    <w:rsid w:val="00D45786"/>
    <w:rsid w:val="00D5311E"/>
    <w:rsid w:val="00D71B8A"/>
    <w:rsid w:val="00D75597"/>
    <w:rsid w:val="00D76E25"/>
    <w:rsid w:val="00D8467A"/>
    <w:rsid w:val="00D86FB7"/>
    <w:rsid w:val="00DB5CE8"/>
    <w:rsid w:val="00DC32D2"/>
    <w:rsid w:val="00DC6003"/>
    <w:rsid w:val="00DE287B"/>
    <w:rsid w:val="00DE7998"/>
    <w:rsid w:val="00E01230"/>
    <w:rsid w:val="00E21D3B"/>
    <w:rsid w:val="00E26D32"/>
    <w:rsid w:val="00E33111"/>
    <w:rsid w:val="00E334D1"/>
    <w:rsid w:val="00E4141E"/>
    <w:rsid w:val="00E47C91"/>
    <w:rsid w:val="00E56129"/>
    <w:rsid w:val="00E64802"/>
    <w:rsid w:val="00E75B5F"/>
    <w:rsid w:val="00E853DF"/>
    <w:rsid w:val="00EB19B9"/>
    <w:rsid w:val="00EC7352"/>
    <w:rsid w:val="00ED017B"/>
    <w:rsid w:val="00ED742F"/>
    <w:rsid w:val="00EE2A9C"/>
    <w:rsid w:val="00EE6019"/>
    <w:rsid w:val="00EF0C6B"/>
    <w:rsid w:val="00EF1FA9"/>
    <w:rsid w:val="00F0381A"/>
    <w:rsid w:val="00F0390F"/>
    <w:rsid w:val="00F15C4A"/>
    <w:rsid w:val="00F273EA"/>
    <w:rsid w:val="00F32CA4"/>
    <w:rsid w:val="00F4635A"/>
    <w:rsid w:val="00F46F67"/>
    <w:rsid w:val="00F526E6"/>
    <w:rsid w:val="00F52C7A"/>
    <w:rsid w:val="00F56161"/>
    <w:rsid w:val="00F67259"/>
    <w:rsid w:val="00F67E0E"/>
    <w:rsid w:val="00F84F3F"/>
    <w:rsid w:val="00F902D4"/>
    <w:rsid w:val="00F974DB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348802-A7D4-4164-AACE-5E3208B5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E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54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54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E9E"/>
  </w:style>
  <w:style w:type="paragraph" w:styleId="Rodap">
    <w:name w:val="footer"/>
    <w:basedOn w:val="Normal"/>
    <w:link w:val="RodapChar"/>
    <w:uiPriority w:val="99"/>
    <w:unhideWhenUsed/>
    <w:rsid w:val="00554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E9E"/>
  </w:style>
  <w:style w:type="paragraph" w:styleId="NormalWeb">
    <w:name w:val="Normal (Web)"/>
    <w:basedOn w:val="Normal"/>
    <w:uiPriority w:val="99"/>
    <w:unhideWhenUsed/>
    <w:rsid w:val="0055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2021-10-18T19:25:00Z</dcterms:created>
  <dcterms:modified xsi:type="dcterms:W3CDTF">2021-10-18T19:25:00Z</dcterms:modified>
</cp:coreProperties>
</file>