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928"/>
        <w:gridCol w:w="1276"/>
        <w:gridCol w:w="1275"/>
        <w:gridCol w:w="1134"/>
        <w:gridCol w:w="4459"/>
      </w:tblGrid>
      <w:tr w:rsidR="003D11F6" w:rsidRPr="001149A5" w:rsidTr="00FF6CE1">
        <w:tc>
          <w:tcPr>
            <w:tcW w:w="16302" w:type="dxa"/>
            <w:gridSpan w:val="9"/>
            <w:shd w:val="clear" w:color="auto" w:fill="2E74B5" w:themeFill="accent1" w:themeFillShade="BF"/>
          </w:tcPr>
          <w:p w:rsidR="003D11F6" w:rsidRPr="001149A5" w:rsidRDefault="003D11F6" w:rsidP="00B166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 w:rsidR="00C172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 w:rsidR="00C172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/04 a </w:t>
            </w:r>
            <w:r w:rsidR="00B1665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29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/04/2020) 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1D6FE3" w:rsidTr="00FF6CE1">
        <w:tblPrEx>
          <w:shd w:val="clear" w:color="auto" w:fill="auto"/>
        </w:tblPrEx>
        <w:tc>
          <w:tcPr>
            <w:tcW w:w="1418" w:type="dxa"/>
          </w:tcPr>
          <w:p w:rsidR="00110AB8" w:rsidRDefault="002F01BE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449</w:t>
            </w:r>
          </w:p>
        </w:tc>
        <w:tc>
          <w:tcPr>
            <w:tcW w:w="1134" w:type="dxa"/>
          </w:tcPr>
          <w:p w:rsidR="00110AB8" w:rsidRPr="00761A5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8419E">
              <w:rPr>
                <w:rFonts w:ascii="Arial" w:hAnsi="Arial" w:cs="Arial"/>
                <w:color w:val="444444"/>
                <w:sz w:val="18"/>
                <w:szCs w:val="18"/>
              </w:rPr>
              <w:t>0213/2020</w:t>
            </w:r>
          </w:p>
        </w:tc>
        <w:tc>
          <w:tcPr>
            <w:tcW w:w="1843" w:type="dxa"/>
          </w:tcPr>
          <w:p w:rsidR="00110AB8" w:rsidRPr="00761A5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8419E">
              <w:rPr>
                <w:rFonts w:ascii="Arial" w:hAnsi="Arial" w:cs="Arial"/>
                <w:color w:val="444444"/>
                <w:sz w:val="18"/>
                <w:szCs w:val="18"/>
              </w:rPr>
              <w:t>48610.004717/2014</w:t>
            </w:r>
          </w:p>
        </w:tc>
        <w:tc>
          <w:tcPr>
            <w:tcW w:w="2835" w:type="dxa"/>
          </w:tcPr>
          <w:p w:rsidR="00110AB8" w:rsidRPr="00761A5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8419E">
              <w:rPr>
                <w:rFonts w:ascii="Arial" w:hAnsi="Arial" w:cs="Arial"/>
                <w:color w:val="444444"/>
                <w:sz w:val="18"/>
                <w:szCs w:val="18"/>
              </w:rPr>
              <w:t>Nomeação de Servidor - SEP</w:t>
            </w:r>
          </w:p>
        </w:tc>
        <w:tc>
          <w:tcPr>
            <w:tcW w:w="928" w:type="dxa"/>
          </w:tcPr>
          <w:p w:rsidR="00110AB8" w:rsidRPr="00761A5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8419E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222/2020</w:t>
            </w:r>
          </w:p>
        </w:tc>
        <w:tc>
          <w:tcPr>
            <w:tcW w:w="1275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29/04/2020</w:t>
            </w:r>
          </w:p>
        </w:tc>
        <w:tc>
          <w:tcPr>
            <w:tcW w:w="1134" w:type="dxa"/>
          </w:tcPr>
          <w:p w:rsidR="00110AB8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8419E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A8419E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459" w:type="dxa"/>
          </w:tcPr>
          <w:p w:rsidR="00110AB8" w:rsidRPr="003F65F5" w:rsidRDefault="00110AB8" w:rsidP="0022078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903E5D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</w:t>
            </w:r>
            <w:r w:rsidRPr="0022078A">
              <w:rPr>
                <w:rFonts w:ascii="Arial" w:hAnsi="Arial" w:cs="Arial"/>
                <w:color w:val="444444"/>
                <w:sz w:val="18"/>
                <w:szCs w:val="18"/>
              </w:rPr>
              <w:t>omear EDUARDO DA SILVA CARVALHO no cargo comissionado CAS-II, de Assistente de Superintendência, na SEP/ANP, a partir de 15 de maio de 2020, devendo ser exonerado assim que o novo processo de contratação de serviços de tecnologia da informação gerido pela SDT seja concluído.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1D6FE3" w:rsidTr="00FF6CE1">
        <w:tblPrEx>
          <w:shd w:val="clear" w:color="auto" w:fill="auto"/>
        </w:tblPrEx>
        <w:tc>
          <w:tcPr>
            <w:tcW w:w="1418" w:type="dxa"/>
          </w:tcPr>
          <w:p w:rsidR="00110AB8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448</w:t>
            </w:r>
          </w:p>
        </w:tc>
        <w:tc>
          <w:tcPr>
            <w:tcW w:w="1134" w:type="dxa"/>
          </w:tcPr>
          <w:p w:rsidR="00110AB8" w:rsidRPr="00761A5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C6E2D">
              <w:rPr>
                <w:rFonts w:ascii="Arial" w:hAnsi="Arial" w:cs="Arial"/>
                <w:color w:val="444444"/>
                <w:sz w:val="18"/>
                <w:szCs w:val="18"/>
              </w:rPr>
              <w:t>0215/2020</w:t>
            </w:r>
          </w:p>
        </w:tc>
        <w:tc>
          <w:tcPr>
            <w:tcW w:w="1843" w:type="dxa"/>
          </w:tcPr>
          <w:p w:rsidR="00110AB8" w:rsidRPr="00761A5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C6E2D">
              <w:rPr>
                <w:rFonts w:ascii="Arial" w:hAnsi="Arial" w:cs="Arial"/>
                <w:color w:val="444444"/>
                <w:sz w:val="18"/>
                <w:szCs w:val="18"/>
              </w:rPr>
              <w:t>48610.015261/2007</w:t>
            </w:r>
          </w:p>
        </w:tc>
        <w:tc>
          <w:tcPr>
            <w:tcW w:w="2835" w:type="dxa"/>
          </w:tcPr>
          <w:p w:rsidR="00110AB8" w:rsidRPr="00761A5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C6E2D">
              <w:rPr>
                <w:rFonts w:ascii="Arial" w:hAnsi="Arial" w:cs="Arial"/>
                <w:color w:val="444444"/>
                <w:sz w:val="18"/>
                <w:szCs w:val="18"/>
              </w:rPr>
              <w:t>Reestruturação de Cargos Comissionados</w:t>
            </w:r>
          </w:p>
        </w:tc>
        <w:tc>
          <w:tcPr>
            <w:tcW w:w="928" w:type="dxa"/>
          </w:tcPr>
          <w:p w:rsidR="00110AB8" w:rsidRPr="00761A5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C6E2D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221/2020</w:t>
            </w:r>
          </w:p>
        </w:tc>
        <w:tc>
          <w:tcPr>
            <w:tcW w:w="1275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29/04/2020</w:t>
            </w:r>
          </w:p>
        </w:tc>
        <w:tc>
          <w:tcPr>
            <w:tcW w:w="1134" w:type="dxa"/>
          </w:tcPr>
          <w:p w:rsidR="00110AB8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C6E2D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110AB8" w:rsidRPr="003F65F5" w:rsidRDefault="00110AB8" w:rsidP="0022078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903E5D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22078A">
              <w:rPr>
                <w:rFonts w:ascii="Arial" w:hAnsi="Arial" w:cs="Arial"/>
                <w:color w:val="444444"/>
                <w:sz w:val="18"/>
                <w:szCs w:val="18"/>
              </w:rPr>
              <w:t>lterar a estrutura da ANP, transformando R$ 2.386,29 do saldo da ANP em 1 (um) CAS-II.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1D6FE3" w:rsidTr="00FF6CE1">
        <w:tblPrEx>
          <w:shd w:val="clear" w:color="auto" w:fill="auto"/>
        </w:tblPrEx>
        <w:tc>
          <w:tcPr>
            <w:tcW w:w="1418" w:type="dxa"/>
          </w:tcPr>
          <w:p w:rsidR="00110AB8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445</w:t>
            </w:r>
          </w:p>
        </w:tc>
        <w:tc>
          <w:tcPr>
            <w:tcW w:w="1134" w:type="dxa"/>
          </w:tcPr>
          <w:p w:rsidR="00110AB8" w:rsidRPr="00FA075A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5009B">
              <w:rPr>
                <w:rFonts w:ascii="Arial" w:hAnsi="Arial" w:cs="Arial"/>
                <w:color w:val="444444"/>
                <w:sz w:val="18"/>
                <w:szCs w:val="18"/>
              </w:rPr>
              <w:t>0219/2020</w:t>
            </w:r>
          </w:p>
        </w:tc>
        <w:tc>
          <w:tcPr>
            <w:tcW w:w="1843" w:type="dxa"/>
          </w:tcPr>
          <w:p w:rsidR="00110AB8" w:rsidRPr="00FA075A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5009B">
              <w:rPr>
                <w:rFonts w:ascii="Arial" w:hAnsi="Arial" w:cs="Arial"/>
                <w:color w:val="444444"/>
                <w:sz w:val="18"/>
                <w:szCs w:val="18"/>
              </w:rPr>
              <w:t>48610.000006/2018</w:t>
            </w:r>
          </w:p>
        </w:tc>
        <w:tc>
          <w:tcPr>
            <w:tcW w:w="2835" w:type="dxa"/>
          </w:tcPr>
          <w:p w:rsidR="00110AB8" w:rsidRPr="00FA075A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5009B">
              <w:rPr>
                <w:rFonts w:ascii="Arial" w:hAnsi="Arial" w:cs="Arial"/>
                <w:color w:val="444444"/>
                <w:sz w:val="18"/>
                <w:szCs w:val="18"/>
              </w:rPr>
              <w:t>Prorrogação e reajuste do contrato administrativo nº. 1.017/19-ANP-000.006, firmado com a FSB Estratégia em Comunicação Ltda., para prestação de serviços de comunicação corporativa</w:t>
            </w:r>
          </w:p>
        </w:tc>
        <w:tc>
          <w:tcPr>
            <w:tcW w:w="928" w:type="dxa"/>
          </w:tcPr>
          <w:p w:rsidR="00110AB8" w:rsidRPr="00FA075A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5009B">
              <w:rPr>
                <w:rFonts w:ascii="Arial" w:hAnsi="Arial" w:cs="Arial"/>
                <w:color w:val="444444"/>
                <w:sz w:val="18"/>
                <w:szCs w:val="18"/>
              </w:rPr>
              <w:t>SCI</w:t>
            </w:r>
          </w:p>
        </w:tc>
        <w:tc>
          <w:tcPr>
            <w:tcW w:w="1276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220/2020</w:t>
            </w:r>
          </w:p>
        </w:tc>
        <w:tc>
          <w:tcPr>
            <w:tcW w:w="1275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28/04/2020</w:t>
            </w:r>
          </w:p>
        </w:tc>
        <w:tc>
          <w:tcPr>
            <w:tcW w:w="1134" w:type="dxa"/>
          </w:tcPr>
          <w:p w:rsidR="00110AB8" w:rsidRPr="00FA075A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A075A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110AB8" w:rsidRPr="002829D5" w:rsidRDefault="00110AB8" w:rsidP="002925C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903E5D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2829D5"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 xml:space="preserve">utorizar a emissão de termo aditivo ao contrato administrativo nº 1.017/19-ANP-000.006, firmado com a FSB Estratégia em Comunicação Ltda., objetivando a prorrogação da vigência contratual por 12 (doze) meses, compreendendo o período de 02/05/2020 a 02/05/2021, bem ainda o reajuste do valor do contrato em 3,38%, passando o valor global a ser de R$ 2.125.655,77 (dois milhões, cento e vinte e cinco mil seiscentos e cinquenta e cinco reais e </w:t>
            </w:r>
            <w:r w:rsidRPr="002829D5"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lastRenderedPageBreak/>
              <w:t>setenta e sete centavos), para o período supracitado.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1D6FE3" w:rsidTr="00FF6CE1">
        <w:tblPrEx>
          <w:shd w:val="clear" w:color="auto" w:fill="auto"/>
        </w:tblPrEx>
        <w:tc>
          <w:tcPr>
            <w:tcW w:w="1418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443</w:t>
            </w:r>
          </w:p>
        </w:tc>
        <w:tc>
          <w:tcPr>
            <w:tcW w:w="1134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>0038/2020</w:t>
            </w:r>
          </w:p>
        </w:tc>
        <w:tc>
          <w:tcPr>
            <w:tcW w:w="1843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>48610.200415/2020</w:t>
            </w:r>
          </w:p>
        </w:tc>
        <w:tc>
          <w:tcPr>
            <w:tcW w:w="2835" w:type="dxa"/>
          </w:tcPr>
          <w:p w:rsidR="00110AB8" w:rsidRPr="003F65F5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 xml:space="preserve">Modalidade de Garantia Financeira referente ao </w:t>
            </w:r>
            <w:proofErr w:type="spellStart"/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>descomissionamento</w:t>
            </w:r>
            <w:proofErr w:type="spellEnd"/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 xml:space="preserve"> do campo de </w:t>
            </w:r>
            <w:proofErr w:type="spellStart"/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>Camarupim</w:t>
            </w:r>
            <w:proofErr w:type="spellEnd"/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 xml:space="preserve"> Norte apresentada por meio da carta GIA-E&amp;P/GCP/CRA 0003/2020, do dia 17/01/2020</w:t>
            </w:r>
          </w:p>
        </w:tc>
        <w:tc>
          <w:tcPr>
            <w:tcW w:w="928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6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219/2020</w:t>
            </w:r>
          </w:p>
        </w:tc>
        <w:tc>
          <w:tcPr>
            <w:tcW w:w="1275" w:type="dxa"/>
          </w:tcPr>
          <w:p w:rsidR="00110AB8" w:rsidRPr="00696175" w:rsidRDefault="00110AB8" w:rsidP="002925C9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28/04/2020</w:t>
            </w:r>
          </w:p>
        </w:tc>
        <w:tc>
          <w:tcPr>
            <w:tcW w:w="1134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</w:tcPr>
          <w:p w:rsidR="00DE3D78" w:rsidRPr="009B2AEF" w:rsidRDefault="00DE3D78" w:rsidP="00DE3D78">
            <w:pPr>
              <w:spacing w:before="120" w:after="120"/>
              <w:ind w:right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EF">
              <w:rPr>
                <w:rFonts w:ascii="Arial" w:hAnsi="Arial" w:cs="Arial"/>
                <w:sz w:val="18"/>
                <w:szCs w:val="18"/>
              </w:rPr>
              <w:t>A Diretoria decidiu, com base na Nota Técnica nº 6/2020/SDP/ANP-RJ e no Parecer Técnico nº 29/2020/SDP-E-ANP, resolve:</w:t>
            </w:r>
          </w:p>
          <w:p w:rsidR="00DE3D78" w:rsidRPr="009B2AEF" w:rsidRDefault="00DE3D78" w:rsidP="00DE3D78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EF">
              <w:rPr>
                <w:rFonts w:ascii="Arial" w:hAnsi="Arial" w:cs="Arial"/>
                <w:sz w:val="18"/>
                <w:szCs w:val="18"/>
              </w:rPr>
              <w:t xml:space="preserve">I) aprovar a modalidade de garantia por carta de crédito como instrumento de garantia financeira de </w:t>
            </w:r>
            <w:proofErr w:type="spellStart"/>
            <w:r w:rsidRPr="009B2AEF">
              <w:rPr>
                <w:rFonts w:ascii="Arial" w:hAnsi="Arial" w:cs="Arial"/>
                <w:sz w:val="18"/>
                <w:szCs w:val="18"/>
              </w:rPr>
              <w:t>descomissionamento</w:t>
            </w:r>
            <w:proofErr w:type="spellEnd"/>
            <w:r w:rsidRPr="009B2AEF">
              <w:rPr>
                <w:rFonts w:ascii="Arial" w:hAnsi="Arial" w:cs="Arial"/>
                <w:sz w:val="18"/>
                <w:szCs w:val="18"/>
              </w:rPr>
              <w:t xml:space="preserve"> do campo de </w:t>
            </w:r>
            <w:proofErr w:type="spellStart"/>
            <w:r w:rsidRPr="009B2AEF">
              <w:rPr>
                <w:rFonts w:ascii="Arial" w:hAnsi="Arial" w:cs="Arial"/>
                <w:sz w:val="18"/>
                <w:szCs w:val="18"/>
              </w:rPr>
              <w:t>Camarupim</w:t>
            </w:r>
            <w:proofErr w:type="spellEnd"/>
            <w:r w:rsidRPr="009B2AEF">
              <w:rPr>
                <w:rFonts w:ascii="Arial" w:hAnsi="Arial" w:cs="Arial"/>
                <w:sz w:val="18"/>
                <w:szCs w:val="18"/>
              </w:rPr>
              <w:t xml:space="preserve"> Norte, conforme cronograma registrado na Nota Técnica nº 6/2020/SDP ou norma superveniente;</w:t>
            </w:r>
          </w:p>
          <w:p w:rsidR="00DE3D78" w:rsidRPr="009B2AEF" w:rsidRDefault="00DE3D78" w:rsidP="00DE3D78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EF">
              <w:rPr>
                <w:rFonts w:ascii="Arial" w:hAnsi="Arial" w:cs="Arial"/>
                <w:sz w:val="18"/>
                <w:szCs w:val="18"/>
              </w:rPr>
              <w:t>II) determinar a apresentação da carta de crédito em até 30 (trinta) dias após a assinatura do termo aditivo de cessão;</w:t>
            </w:r>
          </w:p>
          <w:p w:rsidR="00DE3D78" w:rsidRPr="009B2AEF" w:rsidRDefault="00DE3D78" w:rsidP="00DE3D78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EF">
              <w:rPr>
                <w:rFonts w:ascii="Arial" w:hAnsi="Arial" w:cs="Arial"/>
                <w:sz w:val="18"/>
                <w:szCs w:val="18"/>
              </w:rPr>
              <w:t>III) determinar que a contratada deverá atualizar anualmente, até 30 de junho de cada ano, o valor nominal da carta de crédito, por meio do Modelo de Aporte Progressivo, nos termos da Nota Técnica nº 6/SDP/2020 ou norma superveniente; e</w:t>
            </w:r>
          </w:p>
          <w:p w:rsidR="00110AB8" w:rsidRPr="009B2AEF" w:rsidRDefault="00DE3D78" w:rsidP="00DE3D78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EF">
              <w:rPr>
                <w:rFonts w:ascii="Arial" w:hAnsi="Arial" w:cs="Arial"/>
                <w:sz w:val="18"/>
                <w:szCs w:val="18"/>
              </w:rPr>
              <w:t xml:space="preserve">IV) a ANP se reserva no direito de revisar a carta de crédito, os seus valores ou exigir outras modalidades de garantias financeiras nos termos da legislação específica, que disciplinará os procedimentos para apresentação de garantias financeiras referentes ao </w:t>
            </w:r>
            <w:proofErr w:type="spellStart"/>
            <w:r w:rsidRPr="009B2AEF">
              <w:rPr>
                <w:rFonts w:ascii="Arial" w:hAnsi="Arial" w:cs="Arial"/>
                <w:sz w:val="18"/>
                <w:szCs w:val="18"/>
              </w:rPr>
              <w:t>descomissionamento</w:t>
            </w:r>
            <w:proofErr w:type="spellEnd"/>
            <w:r w:rsidRPr="009B2AEF">
              <w:rPr>
                <w:rFonts w:ascii="Arial" w:hAnsi="Arial" w:cs="Arial"/>
                <w:sz w:val="18"/>
                <w:szCs w:val="18"/>
              </w:rPr>
              <w:t xml:space="preserve"> de instalações, quando de sua publicação.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1D6FE3" w:rsidTr="00FF6CE1">
        <w:tblPrEx>
          <w:shd w:val="clear" w:color="auto" w:fill="auto"/>
        </w:tblPrEx>
        <w:tc>
          <w:tcPr>
            <w:tcW w:w="1418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437</w:t>
            </w:r>
          </w:p>
        </w:tc>
        <w:tc>
          <w:tcPr>
            <w:tcW w:w="1134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0191/2020</w:t>
            </w:r>
          </w:p>
        </w:tc>
        <w:tc>
          <w:tcPr>
            <w:tcW w:w="1843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48610.205063/2020</w:t>
            </w:r>
          </w:p>
        </w:tc>
        <w:tc>
          <w:tcPr>
            <w:tcW w:w="2835" w:type="dxa"/>
          </w:tcPr>
          <w:p w:rsidR="00110AB8" w:rsidRPr="003F65F5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Solicitação por parte de Posto Revendedor de combustíveis automotivos para funcionamento em horário inferior ao mínimo estabelecido pela Resolução ANP Nº 812/2020</w:t>
            </w:r>
          </w:p>
        </w:tc>
        <w:tc>
          <w:tcPr>
            <w:tcW w:w="928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SDL</w:t>
            </w:r>
          </w:p>
        </w:tc>
        <w:tc>
          <w:tcPr>
            <w:tcW w:w="1276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218/2020</w:t>
            </w:r>
          </w:p>
        </w:tc>
        <w:tc>
          <w:tcPr>
            <w:tcW w:w="1275" w:type="dxa"/>
          </w:tcPr>
          <w:p w:rsidR="00110AB8" w:rsidRPr="003F65F5" w:rsidRDefault="00110AB8" w:rsidP="002925C9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27/04/2020</w:t>
            </w:r>
          </w:p>
        </w:tc>
        <w:tc>
          <w:tcPr>
            <w:tcW w:w="1134" w:type="dxa"/>
          </w:tcPr>
          <w:p w:rsidR="00110AB8" w:rsidRPr="003F65F5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459" w:type="dxa"/>
          </w:tcPr>
          <w:p w:rsidR="00110AB8" w:rsidRPr="004209E7" w:rsidRDefault="00110AB8" w:rsidP="002925C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decidiu:</w:t>
            </w:r>
          </w:p>
          <w:p w:rsidR="00110AB8" w:rsidRPr="004209E7" w:rsidRDefault="00110AB8" w:rsidP="002925C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 xml:space="preserve">I) não aprovar o pedido feito pelo posto revendedor </w:t>
            </w:r>
            <w:proofErr w:type="spellStart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>Vandresen</w:t>
            </w:r>
            <w:proofErr w:type="spellEnd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 xml:space="preserve"> e </w:t>
            </w:r>
            <w:proofErr w:type="spellStart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>Hermesmeyer</w:t>
            </w:r>
            <w:proofErr w:type="spellEnd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 xml:space="preserve"> Ltda., inscrito no CNPJ sob o nº 85.354.090/0001-71 e pelo posto revendedor R.L </w:t>
            </w:r>
            <w:proofErr w:type="spellStart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>Vandresen</w:t>
            </w:r>
            <w:proofErr w:type="spellEnd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 xml:space="preserve"> e Cia Ltda., inscrito no CNPJ sob o nº 28.895.839/0001-54, para adoção de horário de funcionamento de 8:00 às 12:00 h;</w:t>
            </w:r>
          </w:p>
          <w:p w:rsidR="00110AB8" w:rsidRPr="004209E7" w:rsidRDefault="00110AB8" w:rsidP="002925C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 xml:space="preserve">II) aprovar o pedido feito pelo Posto Revendedor </w:t>
            </w:r>
            <w:proofErr w:type="spellStart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>AutoPosto</w:t>
            </w:r>
            <w:proofErr w:type="spellEnd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>Paqueta</w:t>
            </w:r>
            <w:proofErr w:type="spellEnd"/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 xml:space="preserve"> Ltda, CNPJ 02.759.248/0001-60, localizado em Brusque/SC, para funcionamento no horário de 07:00 às 18:00 h; e</w:t>
            </w:r>
          </w:p>
          <w:p w:rsidR="00110AB8" w:rsidRPr="003F65F5" w:rsidRDefault="00110AB8" w:rsidP="002925C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444444"/>
                <w:sz w:val="18"/>
                <w:szCs w:val="18"/>
              </w:rPr>
              <w:t>III) tendo em vista a natureza do assunto, determinar que as demais solicitações de mesma natureza (redução do horário de funcionamento de posto revendedor, nos termos da Resolução ANP nº 812\2020), sejam analisadas e deliberadas diretamente pela Superintendência de Distribuição e Logística (SDL), sem necessidade de deliberação pela Diretoria Colegiada.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4209E7" w:rsidTr="00FF6CE1">
        <w:tblPrEx>
          <w:shd w:val="clear" w:color="auto" w:fill="auto"/>
        </w:tblPrEx>
        <w:tc>
          <w:tcPr>
            <w:tcW w:w="1418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442</w:t>
            </w:r>
          </w:p>
        </w:tc>
        <w:tc>
          <w:tcPr>
            <w:tcW w:w="1134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0221/2020</w:t>
            </w:r>
          </w:p>
        </w:tc>
        <w:tc>
          <w:tcPr>
            <w:tcW w:w="1843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48610.216622/2019</w:t>
            </w:r>
          </w:p>
        </w:tc>
        <w:tc>
          <w:tcPr>
            <w:tcW w:w="2835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Homologação de Pregão Eletrônico</w:t>
            </w:r>
          </w:p>
        </w:tc>
        <w:tc>
          <w:tcPr>
            <w:tcW w:w="928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SGA</w:t>
            </w:r>
          </w:p>
        </w:tc>
        <w:tc>
          <w:tcPr>
            <w:tcW w:w="1276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217/2020</w:t>
            </w:r>
          </w:p>
        </w:tc>
        <w:tc>
          <w:tcPr>
            <w:tcW w:w="1275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27/04/2020</w:t>
            </w:r>
          </w:p>
        </w:tc>
        <w:tc>
          <w:tcPr>
            <w:tcW w:w="1134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110AB8" w:rsidRPr="004209E7" w:rsidRDefault="00110AB8" w:rsidP="002925C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decidiu homologar o resultado do Pregão Eletrônico nº 01/2020 cujo objeto foi adjudicado à empresa STORBACK TECNOLOGIA COMÉRCIO E SERVIÇOS DE INFORMÁTICA, CNPJ nº 09.366.306/0001-30, no valor de R$ 2.299.898,08 (dois milhões, duzentos e noventa e nove mil oitocentos e noventa e oito reais e oito centavos).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4209E7" w:rsidTr="00FF6CE1">
        <w:tblPrEx>
          <w:shd w:val="clear" w:color="auto" w:fill="auto"/>
        </w:tblPrEx>
        <w:tc>
          <w:tcPr>
            <w:tcW w:w="1418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440</w:t>
            </w:r>
          </w:p>
        </w:tc>
        <w:tc>
          <w:tcPr>
            <w:tcW w:w="1134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0392/2019</w:t>
            </w:r>
          </w:p>
        </w:tc>
        <w:tc>
          <w:tcPr>
            <w:tcW w:w="1843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48610.207318/2019, 48610.207439/2019</w:t>
            </w:r>
          </w:p>
        </w:tc>
        <w:tc>
          <w:tcPr>
            <w:tcW w:w="2835" w:type="dxa"/>
          </w:tcPr>
          <w:p w:rsidR="00110AB8" w:rsidRPr="004209E7" w:rsidRDefault="00110AB8" w:rsidP="002925C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1) Governança - Gestão de Riscos, Controles Internos e Integridade 2) Fragilidades de governança na produção de pareceres técnicos econômicos relativos às rodadas de licitação de blocos e na interlocução com o Ministério de Minas e Energia</w:t>
            </w:r>
          </w:p>
        </w:tc>
        <w:tc>
          <w:tcPr>
            <w:tcW w:w="928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AUD</w:t>
            </w:r>
          </w:p>
        </w:tc>
        <w:tc>
          <w:tcPr>
            <w:tcW w:w="1276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216/2020</w:t>
            </w:r>
          </w:p>
        </w:tc>
        <w:tc>
          <w:tcPr>
            <w:tcW w:w="1275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27/04/2020</w:t>
            </w:r>
          </w:p>
        </w:tc>
        <w:tc>
          <w:tcPr>
            <w:tcW w:w="1134" w:type="dxa"/>
          </w:tcPr>
          <w:p w:rsidR="00110AB8" w:rsidRPr="004209E7" w:rsidRDefault="00110AB8" w:rsidP="002925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110AB8" w:rsidRPr="004209E7" w:rsidRDefault="00110AB8" w:rsidP="002925C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09E7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decidiu encerrar a Proposta de Ação (PA) nº 392/2019, dado que, pelo decurso de prazo, as questões já foram superadas ou estão sendo analisadas em processo específico, no âmbito da PA nº 851/2019, referente à revisão do Regimento Interno.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1D6FE3" w:rsidTr="00FF6CE1">
        <w:tblPrEx>
          <w:shd w:val="clear" w:color="auto" w:fill="auto"/>
        </w:tblPrEx>
        <w:tc>
          <w:tcPr>
            <w:tcW w:w="1418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428</w:t>
            </w:r>
          </w:p>
        </w:tc>
        <w:tc>
          <w:tcPr>
            <w:tcW w:w="1134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0189/2020</w:t>
            </w:r>
          </w:p>
        </w:tc>
        <w:tc>
          <w:tcPr>
            <w:tcW w:w="1843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48610.200337/2020</w:t>
            </w:r>
          </w:p>
        </w:tc>
        <w:tc>
          <w:tcPr>
            <w:tcW w:w="2835" w:type="dxa"/>
          </w:tcPr>
          <w:p w:rsidR="00110AB8" w:rsidRPr="004C248C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Autorização para isenção da garantia de performance do Contrato de Concessão n° 48000.003556/97-71 (BC-20)</w:t>
            </w:r>
          </w:p>
        </w:tc>
        <w:tc>
          <w:tcPr>
            <w:tcW w:w="928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SPL</w:t>
            </w:r>
          </w:p>
        </w:tc>
        <w:tc>
          <w:tcPr>
            <w:tcW w:w="1276" w:type="dxa"/>
          </w:tcPr>
          <w:p w:rsidR="00110AB8" w:rsidRPr="006A0F6A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215/2020</w:t>
            </w:r>
          </w:p>
        </w:tc>
        <w:tc>
          <w:tcPr>
            <w:tcW w:w="1275" w:type="dxa"/>
          </w:tcPr>
          <w:p w:rsidR="00110AB8" w:rsidRPr="00D31165" w:rsidRDefault="00110AB8" w:rsidP="002925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27/04/2020</w:t>
            </w:r>
          </w:p>
        </w:tc>
        <w:tc>
          <w:tcPr>
            <w:tcW w:w="1134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 xml:space="preserve">Dirceu </w:t>
            </w:r>
            <w:proofErr w:type="spellStart"/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</w:tcPr>
          <w:p w:rsidR="00110AB8" w:rsidRPr="006A0F6A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provar a isenção e a devolução da garantia de performance do Contrato de Concessão nº 48000.003556/97-71 (BC-20) em nome da Chevron Brasil Petróleo Ltda.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1D6FE3" w:rsidTr="00FF6CE1">
        <w:tblPrEx>
          <w:shd w:val="clear" w:color="auto" w:fill="auto"/>
        </w:tblPrEx>
        <w:tc>
          <w:tcPr>
            <w:tcW w:w="1418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434</w:t>
            </w:r>
          </w:p>
        </w:tc>
        <w:tc>
          <w:tcPr>
            <w:tcW w:w="1134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>0198/2020</w:t>
            </w:r>
          </w:p>
        </w:tc>
        <w:tc>
          <w:tcPr>
            <w:tcW w:w="1843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>48610.217750/2019</w:t>
            </w:r>
          </w:p>
        </w:tc>
        <w:tc>
          <w:tcPr>
            <w:tcW w:w="2835" w:type="dxa"/>
          </w:tcPr>
          <w:p w:rsidR="00110AB8" w:rsidRPr="004C248C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 xml:space="preserve">Solicitação de revisão do Plano de Avaliação de Descoberta (PAD) do poço 1-IMET-26A-BA, bloco REC-T-212, na Bacia do Recôncavo, operado pela </w:t>
            </w:r>
            <w:proofErr w:type="spellStart"/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>Imetame</w:t>
            </w:r>
            <w:proofErr w:type="spellEnd"/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 xml:space="preserve"> Energia</w:t>
            </w:r>
          </w:p>
        </w:tc>
        <w:tc>
          <w:tcPr>
            <w:tcW w:w="928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</w:tcPr>
          <w:p w:rsidR="00110AB8" w:rsidRDefault="00110AB8" w:rsidP="002925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214/2020</w:t>
            </w:r>
          </w:p>
          <w:p w:rsidR="00110AB8" w:rsidRDefault="00110AB8" w:rsidP="002925C9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AB8" w:rsidRDefault="00110AB8" w:rsidP="002925C9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AB8" w:rsidRPr="008E783E" w:rsidRDefault="00110AB8" w:rsidP="002925C9">
            <w:pPr>
              <w:tabs>
                <w:tab w:val="left" w:pos="10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75" w:type="dxa"/>
          </w:tcPr>
          <w:p w:rsidR="00110AB8" w:rsidRPr="006A0F6A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27/04/2020</w:t>
            </w:r>
          </w:p>
        </w:tc>
        <w:tc>
          <w:tcPr>
            <w:tcW w:w="1134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459" w:type="dxa"/>
          </w:tcPr>
          <w:p w:rsidR="00110AB8" w:rsidRPr="004561E2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Diretoria, </w:t>
            </w: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 xml:space="preserve">com base na no Parecer Técnico nº 69/2020/SEP-e-ANP e no Parecer nº 00110/2020/PFANP/PGF/AGU, </w:t>
            </w:r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>decidiu</w:t>
            </w: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:</w:t>
            </w:r>
          </w:p>
          <w:p w:rsidR="00110AB8" w:rsidRPr="004561E2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 xml:space="preserve">I) Rejeitar o pedido de revisão do Plano de Avaliação de Descoberta (PAD) do poço 1-IMET-26A-BA, bloco REC-T-212, na Bacia do Recôncavo, operado pela </w:t>
            </w:r>
            <w:proofErr w:type="spellStart"/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Imetame</w:t>
            </w:r>
            <w:proofErr w:type="spellEnd"/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, em razão da área solicitada para inclusão no PAD, não estar mais concedida à empresa desde 31/10/2019; e</w:t>
            </w:r>
          </w:p>
          <w:p w:rsidR="00110AB8" w:rsidRPr="006A0F6A" w:rsidRDefault="00110AB8" w:rsidP="00110AB8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II) Determinar o envio do Plano de Devolução de área contendo a totalidade do bloco REC-T-212 devolvido em 31/10/2019 em 10 (dez) dias, a contar do recebimento da notificação dessa decisão.</w:t>
            </w: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4561E2" w:rsidTr="00FF6CE1">
        <w:tblPrEx>
          <w:shd w:val="clear" w:color="auto" w:fill="auto"/>
        </w:tblPrEx>
        <w:tc>
          <w:tcPr>
            <w:tcW w:w="1418" w:type="dxa"/>
          </w:tcPr>
          <w:p w:rsidR="00110AB8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441</w:t>
            </w:r>
          </w:p>
        </w:tc>
        <w:tc>
          <w:tcPr>
            <w:tcW w:w="1134" w:type="dxa"/>
          </w:tcPr>
          <w:p w:rsidR="00110AB8" w:rsidRPr="00421AA1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0225/2020</w:t>
            </w:r>
          </w:p>
        </w:tc>
        <w:tc>
          <w:tcPr>
            <w:tcW w:w="1843" w:type="dxa"/>
          </w:tcPr>
          <w:p w:rsidR="00110AB8" w:rsidRPr="00421AA1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48610.203123/2020</w:t>
            </w:r>
          </w:p>
        </w:tc>
        <w:tc>
          <w:tcPr>
            <w:tcW w:w="2835" w:type="dxa"/>
          </w:tcPr>
          <w:p w:rsidR="00110AB8" w:rsidRPr="00421AA1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Homologação do 72º Leilão de Biodiesel</w:t>
            </w:r>
          </w:p>
        </w:tc>
        <w:tc>
          <w:tcPr>
            <w:tcW w:w="928" w:type="dxa"/>
          </w:tcPr>
          <w:p w:rsidR="00110AB8" w:rsidRPr="00421AA1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SDL</w:t>
            </w:r>
          </w:p>
        </w:tc>
        <w:tc>
          <w:tcPr>
            <w:tcW w:w="1276" w:type="dxa"/>
          </w:tcPr>
          <w:p w:rsidR="00110AB8" w:rsidRPr="00421AA1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213/2020</w:t>
            </w:r>
          </w:p>
        </w:tc>
        <w:tc>
          <w:tcPr>
            <w:tcW w:w="1275" w:type="dxa"/>
          </w:tcPr>
          <w:p w:rsidR="00110AB8" w:rsidRPr="00421AA1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27/04/2020</w:t>
            </w:r>
          </w:p>
        </w:tc>
        <w:tc>
          <w:tcPr>
            <w:tcW w:w="1134" w:type="dxa"/>
          </w:tcPr>
          <w:p w:rsidR="00110AB8" w:rsidRPr="00421AA1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3F65F5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459" w:type="dxa"/>
          </w:tcPr>
          <w:p w:rsidR="00110AB8" w:rsidRPr="00421AA1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h</w:t>
            </w: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omologar as etapas 1 - 2 - 3 - 4 - 5 - 2A e 5A do Leilão Público nº 002/2020 (72º Leilão de Biodiesel).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4561E2" w:rsidTr="00FF6CE1">
        <w:tblPrEx>
          <w:shd w:val="clear" w:color="auto" w:fill="auto"/>
        </w:tblPrEx>
        <w:tc>
          <w:tcPr>
            <w:tcW w:w="1418" w:type="dxa"/>
          </w:tcPr>
          <w:p w:rsidR="00110AB8" w:rsidRPr="004561E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438</w:t>
            </w:r>
          </w:p>
        </w:tc>
        <w:tc>
          <w:tcPr>
            <w:tcW w:w="1134" w:type="dxa"/>
          </w:tcPr>
          <w:p w:rsidR="00110AB8" w:rsidRPr="004561E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0126/2020</w:t>
            </w:r>
          </w:p>
        </w:tc>
        <w:tc>
          <w:tcPr>
            <w:tcW w:w="1843" w:type="dxa"/>
          </w:tcPr>
          <w:p w:rsidR="00110AB8" w:rsidRPr="004561E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48610.213532/2019</w:t>
            </w:r>
          </w:p>
        </w:tc>
        <w:tc>
          <w:tcPr>
            <w:tcW w:w="2835" w:type="dxa"/>
          </w:tcPr>
          <w:p w:rsidR="00110AB8" w:rsidRPr="004561E2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Solicitação de enquadramento do projeto de produção de gás natural no Regime Especial de Incentivos para o Desenvolvimento da Infraestrutura (REIDI) - Campo de Azulão - Bacia do Amazonas</w:t>
            </w:r>
          </w:p>
        </w:tc>
        <w:tc>
          <w:tcPr>
            <w:tcW w:w="928" w:type="dxa"/>
          </w:tcPr>
          <w:p w:rsidR="00110AB8" w:rsidRPr="004561E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6" w:type="dxa"/>
          </w:tcPr>
          <w:p w:rsidR="00110AB8" w:rsidRPr="004561E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212/2020</w:t>
            </w:r>
          </w:p>
        </w:tc>
        <w:tc>
          <w:tcPr>
            <w:tcW w:w="1275" w:type="dxa"/>
          </w:tcPr>
          <w:p w:rsidR="00110AB8" w:rsidRPr="004561E2" w:rsidRDefault="00110AB8" w:rsidP="00FF6CE1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24/0</w:t>
            </w:r>
            <w:r w:rsidR="00FF6CE1"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/2020</w:t>
            </w:r>
          </w:p>
        </w:tc>
        <w:tc>
          <w:tcPr>
            <w:tcW w:w="1134" w:type="dxa"/>
          </w:tcPr>
          <w:p w:rsidR="00110AB8" w:rsidRPr="004561E2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</w:tcPr>
          <w:p w:rsidR="00110AB8" w:rsidRPr="004561E2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 xml:space="preserve">utorizar o envio de ofício ao Ministério de Minas e Energia (MME) encaminhando o Parecer Técnico nº 3/2020/SDP, que conclui como atendidas as exigências documentais para aprovação do enquadramento do empreendimento da Usina Termelétrica (UTE) Jaguatirica II no Regime Especial de Incentivos para o Desenvolvimento da Infraestrutura (REIDI) instituído pela Lei nº 11.488/2007, assim como os demais dados listados no art. 1º, § 4º, </w:t>
            </w:r>
            <w:proofErr w:type="spellStart"/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daPortaria</w:t>
            </w:r>
            <w:proofErr w:type="spellEnd"/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 xml:space="preserve"> MME nº 406/2009.</w:t>
            </w:r>
          </w:p>
        </w:tc>
      </w:tr>
      <w:tr w:rsidR="00110AB8" w:rsidTr="00FF6CE1">
        <w:tblPrEx>
          <w:shd w:val="clear" w:color="auto" w:fill="auto"/>
        </w:tblPrEx>
        <w:tc>
          <w:tcPr>
            <w:tcW w:w="141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110AB8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110AB8" w:rsidRPr="00BC669C" w:rsidRDefault="00110AB8" w:rsidP="00D26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0CECE" w:themeFill="background2" w:themeFillShade="E6"/>
          </w:tcPr>
          <w:p w:rsidR="00110AB8" w:rsidRPr="00BC669C" w:rsidRDefault="00110AB8" w:rsidP="00D26E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110AB8" w:rsidRPr="004561E2" w:rsidTr="00FF6CE1">
        <w:tblPrEx>
          <w:shd w:val="clear" w:color="auto" w:fill="auto"/>
        </w:tblPrEx>
        <w:tc>
          <w:tcPr>
            <w:tcW w:w="1418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90F4E">
              <w:rPr>
                <w:rFonts w:ascii="Arial" w:hAnsi="Arial" w:cs="Arial"/>
                <w:color w:val="444444"/>
                <w:sz w:val="18"/>
                <w:szCs w:val="18"/>
              </w:rPr>
              <w:t>432</w:t>
            </w:r>
          </w:p>
        </w:tc>
        <w:tc>
          <w:tcPr>
            <w:tcW w:w="1134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90F4E">
              <w:rPr>
                <w:rFonts w:ascii="Arial" w:hAnsi="Arial" w:cs="Arial"/>
                <w:color w:val="444444"/>
                <w:sz w:val="18"/>
                <w:szCs w:val="18"/>
              </w:rPr>
              <w:t>0171/2020</w:t>
            </w:r>
          </w:p>
        </w:tc>
        <w:tc>
          <w:tcPr>
            <w:tcW w:w="1843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90F4E">
              <w:rPr>
                <w:rFonts w:ascii="Arial" w:hAnsi="Arial" w:cs="Arial"/>
                <w:color w:val="444444"/>
                <w:sz w:val="18"/>
                <w:szCs w:val="18"/>
              </w:rPr>
              <w:t>48610.201004/2020</w:t>
            </w:r>
          </w:p>
        </w:tc>
        <w:tc>
          <w:tcPr>
            <w:tcW w:w="2835" w:type="dxa"/>
          </w:tcPr>
          <w:p w:rsidR="00110AB8" w:rsidRPr="004C248C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90F4E">
              <w:rPr>
                <w:rFonts w:ascii="Arial" w:hAnsi="Arial" w:cs="Arial"/>
                <w:color w:val="444444"/>
                <w:sz w:val="18"/>
                <w:szCs w:val="18"/>
              </w:rPr>
              <w:t>Prorrogação da Fase de Produção em Contratos de Concessão</w:t>
            </w:r>
          </w:p>
        </w:tc>
        <w:tc>
          <w:tcPr>
            <w:tcW w:w="928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90F4E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6" w:type="dxa"/>
          </w:tcPr>
          <w:p w:rsidR="00110AB8" w:rsidRPr="006A0F6A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211/2020</w:t>
            </w:r>
          </w:p>
        </w:tc>
        <w:tc>
          <w:tcPr>
            <w:tcW w:w="1275" w:type="dxa"/>
          </w:tcPr>
          <w:p w:rsidR="00110AB8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24/04/2020</w:t>
            </w:r>
          </w:p>
          <w:p w:rsidR="00110AB8" w:rsidRDefault="00110AB8" w:rsidP="002925C9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AB8" w:rsidRDefault="00110AB8" w:rsidP="002925C9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AB8" w:rsidRDefault="00110AB8" w:rsidP="002925C9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AB8" w:rsidRPr="004561E2" w:rsidRDefault="00110AB8" w:rsidP="00292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0AB8" w:rsidRPr="004C248C" w:rsidRDefault="00110AB8" w:rsidP="002925C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</w:tcPr>
          <w:p w:rsidR="00110AB8" w:rsidRPr="006A0F6A" w:rsidRDefault="00110AB8" w:rsidP="002925C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 xml:space="preserve">utorizar, em atendimento ao Ofício nº 11/2020/SPG-MME, o encaminhamento ao Ministério de Minas e Energia (MME) da NOTA TÉCNICA nº 30/2020/SDP/ANP-RJ, acompanhada dos pareceres jurídicos (NOTA nº 01133/2020/PFANP/PGF/AGU e DESPACHO nº 00620/2020/PFANP/PGF/AGU), contendo demonstração conceitual da </w:t>
            </w:r>
            <w:proofErr w:type="spellStart"/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>vantajosidade</w:t>
            </w:r>
            <w:proofErr w:type="spellEnd"/>
            <w:r w:rsidRPr="004561E2">
              <w:rPr>
                <w:rFonts w:ascii="Arial" w:hAnsi="Arial" w:cs="Arial"/>
                <w:color w:val="444444"/>
                <w:sz w:val="18"/>
                <w:szCs w:val="18"/>
              </w:rPr>
              <w:t xml:space="preserve"> técnico-econômica, para a União, da prorrogação dos Contratos de Concessão oriundos de qualquer rodada de licitações.</w:t>
            </w:r>
          </w:p>
        </w:tc>
      </w:tr>
      <w:tr w:rsidR="00A81B65" w:rsidRPr="00BC5DFE" w:rsidTr="00FF6CE1">
        <w:tblPrEx>
          <w:shd w:val="clear" w:color="auto" w:fill="auto"/>
        </w:tblPrEx>
        <w:tc>
          <w:tcPr>
            <w:tcW w:w="16302" w:type="dxa"/>
            <w:gridSpan w:val="9"/>
          </w:tcPr>
          <w:p w:rsidR="00A81B65" w:rsidRPr="00855BBE" w:rsidRDefault="00A81B65" w:rsidP="00A81B65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:rsidR="00A81B65" w:rsidRPr="00BC5DFE" w:rsidRDefault="00A81B65" w:rsidP="00A81B6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C02E23" w:rsidRDefault="00C02E23" w:rsidP="003250D7"/>
    <w:sectPr w:rsidR="00C02E23" w:rsidSect="00C02E2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FEF" w:rsidRDefault="00E81FEF" w:rsidP="00DA1B87">
      <w:pPr>
        <w:spacing w:after="0" w:line="240" w:lineRule="auto"/>
      </w:pPr>
      <w:r>
        <w:separator/>
      </w:r>
    </w:p>
  </w:endnote>
  <w:endnote w:type="continuationSeparator" w:id="0">
    <w:p w:rsidR="00E81FEF" w:rsidRDefault="00E81FEF" w:rsidP="00DA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FEF" w:rsidRDefault="00E81FEF" w:rsidP="00DA1B87">
      <w:pPr>
        <w:spacing w:after="0" w:line="240" w:lineRule="auto"/>
      </w:pPr>
      <w:r>
        <w:separator/>
      </w:r>
    </w:p>
  </w:footnote>
  <w:footnote w:type="continuationSeparator" w:id="0">
    <w:p w:rsidR="00E81FEF" w:rsidRDefault="00E81FEF" w:rsidP="00DA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DB" w:rsidRPr="003337AB" w:rsidRDefault="00E81FEF" w:rsidP="00330A38">
    <w:pPr>
      <w:pStyle w:val="Cabealho"/>
      <w:jc w:val="center"/>
      <w:rPr>
        <w:lang w:eastAsia="pt-BR"/>
      </w:rPr>
    </w:pPr>
    <w:r>
      <w:rPr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899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3"/>
    <w:rsid w:val="00003294"/>
    <w:rsid w:val="000038F0"/>
    <w:rsid w:val="00007B95"/>
    <w:rsid w:val="00011EF9"/>
    <w:rsid w:val="00012FF2"/>
    <w:rsid w:val="0001375C"/>
    <w:rsid w:val="00017CCE"/>
    <w:rsid w:val="00020895"/>
    <w:rsid w:val="00027D84"/>
    <w:rsid w:val="000301EF"/>
    <w:rsid w:val="00031AC7"/>
    <w:rsid w:val="00042003"/>
    <w:rsid w:val="00043613"/>
    <w:rsid w:val="00045C85"/>
    <w:rsid w:val="00056B38"/>
    <w:rsid w:val="00057036"/>
    <w:rsid w:val="000634BE"/>
    <w:rsid w:val="0006537F"/>
    <w:rsid w:val="000700C5"/>
    <w:rsid w:val="000708D5"/>
    <w:rsid w:val="000763AF"/>
    <w:rsid w:val="000808F9"/>
    <w:rsid w:val="0008255C"/>
    <w:rsid w:val="00084024"/>
    <w:rsid w:val="00094A30"/>
    <w:rsid w:val="00095407"/>
    <w:rsid w:val="0009572E"/>
    <w:rsid w:val="000962F7"/>
    <w:rsid w:val="000A388E"/>
    <w:rsid w:val="000A67AB"/>
    <w:rsid w:val="000C67AD"/>
    <w:rsid w:val="000D6A51"/>
    <w:rsid w:val="000E2FA0"/>
    <w:rsid w:val="000E5557"/>
    <w:rsid w:val="000E591A"/>
    <w:rsid w:val="000F4344"/>
    <w:rsid w:val="00102475"/>
    <w:rsid w:val="00110AB8"/>
    <w:rsid w:val="00111567"/>
    <w:rsid w:val="001117FD"/>
    <w:rsid w:val="001149A5"/>
    <w:rsid w:val="001152C8"/>
    <w:rsid w:val="00123586"/>
    <w:rsid w:val="0013538B"/>
    <w:rsid w:val="0013601B"/>
    <w:rsid w:val="00137BA8"/>
    <w:rsid w:val="001419BF"/>
    <w:rsid w:val="001640D0"/>
    <w:rsid w:val="00174CE5"/>
    <w:rsid w:val="0017541C"/>
    <w:rsid w:val="00183DD2"/>
    <w:rsid w:val="00190098"/>
    <w:rsid w:val="001973D6"/>
    <w:rsid w:val="001B0243"/>
    <w:rsid w:val="001C4131"/>
    <w:rsid w:val="001D0B78"/>
    <w:rsid w:val="001D162C"/>
    <w:rsid w:val="001D6FE3"/>
    <w:rsid w:val="001F1C4B"/>
    <w:rsid w:val="001F553E"/>
    <w:rsid w:val="001F73C6"/>
    <w:rsid w:val="0020404B"/>
    <w:rsid w:val="00205F7C"/>
    <w:rsid w:val="002158DC"/>
    <w:rsid w:val="00216250"/>
    <w:rsid w:val="0022078A"/>
    <w:rsid w:val="00221B26"/>
    <w:rsid w:val="00224F49"/>
    <w:rsid w:val="00231A9E"/>
    <w:rsid w:val="00232F83"/>
    <w:rsid w:val="00235D5E"/>
    <w:rsid w:val="00242DC9"/>
    <w:rsid w:val="002448DD"/>
    <w:rsid w:val="00245D88"/>
    <w:rsid w:val="00245E13"/>
    <w:rsid w:val="0025009B"/>
    <w:rsid w:val="0025056B"/>
    <w:rsid w:val="002550C5"/>
    <w:rsid w:val="002571C9"/>
    <w:rsid w:val="00261D36"/>
    <w:rsid w:val="00280FAD"/>
    <w:rsid w:val="00282324"/>
    <w:rsid w:val="002829D5"/>
    <w:rsid w:val="00287A65"/>
    <w:rsid w:val="0029223C"/>
    <w:rsid w:val="002925C9"/>
    <w:rsid w:val="002952DD"/>
    <w:rsid w:val="00295EB0"/>
    <w:rsid w:val="002A3FB0"/>
    <w:rsid w:val="002A5281"/>
    <w:rsid w:val="002A55AC"/>
    <w:rsid w:val="002B0CA6"/>
    <w:rsid w:val="002B1764"/>
    <w:rsid w:val="002B4A1C"/>
    <w:rsid w:val="002C1FA7"/>
    <w:rsid w:val="002D1D6F"/>
    <w:rsid w:val="002D6CEE"/>
    <w:rsid w:val="002F01BE"/>
    <w:rsid w:val="002F777C"/>
    <w:rsid w:val="0030512E"/>
    <w:rsid w:val="0030531E"/>
    <w:rsid w:val="003138B3"/>
    <w:rsid w:val="003148DB"/>
    <w:rsid w:val="003163ED"/>
    <w:rsid w:val="00316BCE"/>
    <w:rsid w:val="00317832"/>
    <w:rsid w:val="00321232"/>
    <w:rsid w:val="0032151E"/>
    <w:rsid w:val="003250D7"/>
    <w:rsid w:val="00326D10"/>
    <w:rsid w:val="00327C9F"/>
    <w:rsid w:val="00330A38"/>
    <w:rsid w:val="003337AB"/>
    <w:rsid w:val="00335978"/>
    <w:rsid w:val="00342364"/>
    <w:rsid w:val="003541C9"/>
    <w:rsid w:val="00374D23"/>
    <w:rsid w:val="00377B64"/>
    <w:rsid w:val="003801E5"/>
    <w:rsid w:val="00383D69"/>
    <w:rsid w:val="0038488B"/>
    <w:rsid w:val="0038503A"/>
    <w:rsid w:val="00386012"/>
    <w:rsid w:val="003A5444"/>
    <w:rsid w:val="003C0286"/>
    <w:rsid w:val="003C0FE5"/>
    <w:rsid w:val="003C4295"/>
    <w:rsid w:val="003C45AD"/>
    <w:rsid w:val="003C50D4"/>
    <w:rsid w:val="003D11F6"/>
    <w:rsid w:val="003D58F6"/>
    <w:rsid w:val="003F2C6E"/>
    <w:rsid w:val="003F3563"/>
    <w:rsid w:val="003F3ACF"/>
    <w:rsid w:val="003F64D4"/>
    <w:rsid w:val="003F65F5"/>
    <w:rsid w:val="004053AE"/>
    <w:rsid w:val="00405EBD"/>
    <w:rsid w:val="004153CF"/>
    <w:rsid w:val="004209E7"/>
    <w:rsid w:val="00421AA1"/>
    <w:rsid w:val="0042459A"/>
    <w:rsid w:val="00432873"/>
    <w:rsid w:val="0044478B"/>
    <w:rsid w:val="004451A1"/>
    <w:rsid w:val="0044697D"/>
    <w:rsid w:val="00446D75"/>
    <w:rsid w:val="004522C2"/>
    <w:rsid w:val="00453A56"/>
    <w:rsid w:val="004561E2"/>
    <w:rsid w:val="00462855"/>
    <w:rsid w:val="00463393"/>
    <w:rsid w:val="00465CFE"/>
    <w:rsid w:val="00484524"/>
    <w:rsid w:val="0049256B"/>
    <w:rsid w:val="004955C8"/>
    <w:rsid w:val="00496CE4"/>
    <w:rsid w:val="004A46A7"/>
    <w:rsid w:val="004A4ED6"/>
    <w:rsid w:val="004A642D"/>
    <w:rsid w:val="004A6E97"/>
    <w:rsid w:val="004B20A1"/>
    <w:rsid w:val="004B6064"/>
    <w:rsid w:val="004B7136"/>
    <w:rsid w:val="004C10B0"/>
    <w:rsid w:val="004C151C"/>
    <w:rsid w:val="004C248C"/>
    <w:rsid w:val="004C347B"/>
    <w:rsid w:val="004C3686"/>
    <w:rsid w:val="004C5B65"/>
    <w:rsid w:val="004D0BCF"/>
    <w:rsid w:val="004D35B0"/>
    <w:rsid w:val="004D5496"/>
    <w:rsid w:val="004D55DF"/>
    <w:rsid w:val="004E3D11"/>
    <w:rsid w:val="004E7496"/>
    <w:rsid w:val="004E7826"/>
    <w:rsid w:val="004F4CB4"/>
    <w:rsid w:val="004F6E14"/>
    <w:rsid w:val="00501694"/>
    <w:rsid w:val="00506A6E"/>
    <w:rsid w:val="00521198"/>
    <w:rsid w:val="005403C7"/>
    <w:rsid w:val="00542EAF"/>
    <w:rsid w:val="005559FB"/>
    <w:rsid w:val="00571667"/>
    <w:rsid w:val="00572EA9"/>
    <w:rsid w:val="0057468A"/>
    <w:rsid w:val="00576018"/>
    <w:rsid w:val="00577470"/>
    <w:rsid w:val="005814C7"/>
    <w:rsid w:val="00587238"/>
    <w:rsid w:val="005A0838"/>
    <w:rsid w:val="005A4BCB"/>
    <w:rsid w:val="005A59E3"/>
    <w:rsid w:val="005B1D99"/>
    <w:rsid w:val="005B3D14"/>
    <w:rsid w:val="005B3F8A"/>
    <w:rsid w:val="005C1E4B"/>
    <w:rsid w:val="005C2681"/>
    <w:rsid w:val="005C4239"/>
    <w:rsid w:val="005C5062"/>
    <w:rsid w:val="005D2859"/>
    <w:rsid w:val="005D6DDD"/>
    <w:rsid w:val="005E0EEE"/>
    <w:rsid w:val="005E18ED"/>
    <w:rsid w:val="005E63BA"/>
    <w:rsid w:val="005E654C"/>
    <w:rsid w:val="005E7130"/>
    <w:rsid w:val="005F275B"/>
    <w:rsid w:val="005F52D5"/>
    <w:rsid w:val="005F5B93"/>
    <w:rsid w:val="005F7BFF"/>
    <w:rsid w:val="006041A8"/>
    <w:rsid w:val="006049D7"/>
    <w:rsid w:val="00616EA4"/>
    <w:rsid w:val="0061734F"/>
    <w:rsid w:val="0062113B"/>
    <w:rsid w:val="00623B15"/>
    <w:rsid w:val="00631BC6"/>
    <w:rsid w:val="00634C73"/>
    <w:rsid w:val="00640157"/>
    <w:rsid w:val="006440BE"/>
    <w:rsid w:val="0065172A"/>
    <w:rsid w:val="006624E2"/>
    <w:rsid w:val="00662E95"/>
    <w:rsid w:val="00663111"/>
    <w:rsid w:val="0066352D"/>
    <w:rsid w:val="00666674"/>
    <w:rsid w:val="00674064"/>
    <w:rsid w:val="00680263"/>
    <w:rsid w:val="00685E70"/>
    <w:rsid w:val="00686E96"/>
    <w:rsid w:val="00696175"/>
    <w:rsid w:val="006A050E"/>
    <w:rsid w:val="006A0F6A"/>
    <w:rsid w:val="006A7E4F"/>
    <w:rsid w:val="006B1875"/>
    <w:rsid w:val="006B1BB7"/>
    <w:rsid w:val="006B3382"/>
    <w:rsid w:val="006B47DF"/>
    <w:rsid w:val="006B5C3A"/>
    <w:rsid w:val="006B7D91"/>
    <w:rsid w:val="006B7ED4"/>
    <w:rsid w:val="006C3E87"/>
    <w:rsid w:val="006D2093"/>
    <w:rsid w:val="006D406B"/>
    <w:rsid w:val="006D6066"/>
    <w:rsid w:val="006E5853"/>
    <w:rsid w:val="006E73F7"/>
    <w:rsid w:val="006F29BB"/>
    <w:rsid w:val="006F3E77"/>
    <w:rsid w:val="006F46DD"/>
    <w:rsid w:val="006F76E3"/>
    <w:rsid w:val="00701593"/>
    <w:rsid w:val="00701FDD"/>
    <w:rsid w:val="0070356E"/>
    <w:rsid w:val="00706FE6"/>
    <w:rsid w:val="0071170C"/>
    <w:rsid w:val="007121C6"/>
    <w:rsid w:val="00712792"/>
    <w:rsid w:val="00713492"/>
    <w:rsid w:val="00717995"/>
    <w:rsid w:val="007223FF"/>
    <w:rsid w:val="00723819"/>
    <w:rsid w:val="00726B5E"/>
    <w:rsid w:val="007317F8"/>
    <w:rsid w:val="007340AF"/>
    <w:rsid w:val="00740100"/>
    <w:rsid w:val="0074146A"/>
    <w:rsid w:val="00741977"/>
    <w:rsid w:val="00743E97"/>
    <w:rsid w:val="00744546"/>
    <w:rsid w:val="007468DC"/>
    <w:rsid w:val="00751FD2"/>
    <w:rsid w:val="007528A2"/>
    <w:rsid w:val="00761712"/>
    <w:rsid w:val="00761A52"/>
    <w:rsid w:val="0076357F"/>
    <w:rsid w:val="0076745A"/>
    <w:rsid w:val="00771AF8"/>
    <w:rsid w:val="00771F01"/>
    <w:rsid w:val="00776398"/>
    <w:rsid w:val="00780073"/>
    <w:rsid w:val="00791235"/>
    <w:rsid w:val="00791B59"/>
    <w:rsid w:val="00791D20"/>
    <w:rsid w:val="0079383B"/>
    <w:rsid w:val="00794119"/>
    <w:rsid w:val="00797ABD"/>
    <w:rsid w:val="007A2333"/>
    <w:rsid w:val="007A45A8"/>
    <w:rsid w:val="007B164A"/>
    <w:rsid w:val="007B5975"/>
    <w:rsid w:val="007B61F6"/>
    <w:rsid w:val="007C312C"/>
    <w:rsid w:val="007C6D2E"/>
    <w:rsid w:val="007D36B7"/>
    <w:rsid w:val="007D5CD2"/>
    <w:rsid w:val="007E1A1E"/>
    <w:rsid w:val="007E1BB4"/>
    <w:rsid w:val="007F3D91"/>
    <w:rsid w:val="00801DF8"/>
    <w:rsid w:val="008123C6"/>
    <w:rsid w:val="00812A1C"/>
    <w:rsid w:val="00813300"/>
    <w:rsid w:val="00821CC8"/>
    <w:rsid w:val="0082347B"/>
    <w:rsid w:val="00825DC6"/>
    <w:rsid w:val="00827524"/>
    <w:rsid w:val="008278ED"/>
    <w:rsid w:val="0083214D"/>
    <w:rsid w:val="00836135"/>
    <w:rsid w:val="00841962"/>
    <w:rsid w:val="00841C8E"/>
    <w:rsid w:val="0084341C"/>
    <w:rsid w:val="008435A6"/>
    <w:rsid w:val="0085306E"/>
    <w:rsid w:val="00855724"/>
    <w:rsid w:val="00866CE2"/>
    <w:rsid w:val="00873272"/>
    <w:rsid w:val="0088163D"/>
    <w:rsid w:val="00885223"/>
    <w:rsid w:val="00885810"/>
    <w:rsid w:val="00891ABB"/>
    <w:rsid w:val="008927F3"/>
    <w:rsid w:val="008932C8"/>
    <w:rsid w:val="0089749D"/>
    <w:rsid w:val="00897BDB"/>
    <w:rsid w:val="008A2D09"/>
    <w:rsid w:val="008A40D4"/>
    <w:rsid w:val="008A5A7A"/>
    <w:rsid w:val="008A6699"/>
    <w:rsid w:val="008B16F2"/>
    <w:rsid w:val="008B254C"/>
    <w:rsid w:val="008B581F"/>
    <w:rsid w:val="008B776D"/>
    <w:rsid w:val="008C01D4"/>
    <w:rsid w:val="008C4248"/>
    <w:rsid w:val="008C4A8E"/>
    <w:rsid w:val="008D3AB7"/>
    <w:rsid w:val="008D6F64"/>
    <w:rsid w:val="008E0807"/>
    <w:rsid w:val="008E19EA"/>
    <w:rsid w:val="008E304B"/>
    <w:rsid w:val="008E35AF"/>
    <w:rsid w:val="008E4F12"/>
    <w:rsid w:val="008E64D6"/>
    <w:rsid w:val="008E74C5"/>
    <w:rsid w:val="008E783E"/>
    <w:rsid w:val="008F077A"/>
    <w:rsid w:val="008F2F68"/>
    <w:rsid w:val="008F42B5"/>
    <w:rsid w:val="00900209"/>
    <w:rsid w:val="00902676"/>
    <w:rsid w:val="00903E5D"/>
    <w:rsid w:val="00906E0B"/>
    <w:rsid w:val="009124C3"/>
    <w:rsid w:val="00913844"/>
    <w:rsid w:val="00915A14"/>
    <w:rsid w:val="00915EA6"/>
    <w:rsid w:val="00916E87"/>
    <w:rsid w:val="009216E4"/>
    <w:rsid w:val="00924A0E"/>
    <w:rsid w:val="009250C7"/>
    <w:rsid w:val="009269F6"/>
    <w:rsid w:val="00930DE0"/>
    <w:rsid w:val="0093325D"/>
    <w:rsid w:val="00934740"/>
    <w:rsid w:val="00937557"/>
    <w:rsid w:val="009434B0"/>
    <w:rsid w:val="00947E4C"/>
    <w:rsid w:val="00954CE9"/>
    <w:rsid w:val="00955859"/>
    <w:rsid w:val="00956ACA"/>
    <w:rsid w:val="00957E00"/>
    <w:rsid w:val="00963CE3"/>
    <w:rsid w:val="00970097"/>
    <w:rsid w:val="00974149"/>
    <w:rsid w:val="009746B1"/>
    <w:rsid w:val="00976E5D"/>
    <w:rsid w:val="009771DA"/>
    <w:rsid w:val="0098451F"/>
    <w:rsid w:val="00986954"/>
    <w:rsid w:val="00993341"/>
    <w:rsid w:val="00994AF0"/>
    <w:rsid w:val="00997BA0"/>
    <w:rsid w:val="009A337D"/>
    <w:rsid w:val="009A545A"/>
    <w:rsid w:val="009A64AF"/>
    <w:rsid w:val="009A696D"/>
    <w:rsid w:val="009B254E"/>
    <w:rsid w:val="009B2AEF"/>
    <w:rsid w:val="009B2B56"/>
    <w:rsid w:val="009B3E0E"/>
    <w:rsid w:val="009B47EA"/>
    <w:rsid w:val="009B62E2"/>
    <w:rsid w:val="009C38EC"/>
    <w:rsid w:val="009C516B"/>
    <w:rsid w:val="009C6366"/>
    <w:rsid w:val="009C701B"/>
    <w:rsid w:val="009D292A"/>
    <w:rsid w:val="009D542E"/>
    <w:rsid w:val="009E28E6"/>
    <w:rsid w:val="009E68BB"/>
    <w:rsid w:val="009E6BC5"/>
    <w:rsid w:val="00A00753"/>
    <w:rsid w:val="00A034C8"/>
    <w:rsid w:val="00A04675"/>
    <w:rsid w:val="00A04ADE"/>
    <w:rsid w:val="00A122DB"/>
    <w:rsid w:val="00A17CA1"/>
    <w:rsid w:val="00A2052F"/>
    <w:rsid w:val="00A2210E"/>
    <w:rsid w:val="00A228BC"/>
    <w:rsid w:val="00A27035"/>
    <w:rsid w:val="00A315E5"/>
    <w:rsid w:val="00A31C52"/>
    <w:rsid w:val="00A427D5"/>
    <w:rsid w:val="00A43EB6"/>
    <w:rsid w:val="00A44A7F"/>
    <w:rsid w:val="00A538E4"/>
    <w:rsid w:val="00A5631D"/>
    <w:rsid w:val="00A6007B"/>
    <w:rsid w:val="00A66C42"/>
    <w:rsid w:val="00A74099"/>
    <w:rsid w:val="00A80808"/>
    <w:rsid w:val="00A81B65"/>
    <w:rsid w:val="00A81F33"/>
    <w:rsid w:val="00A829DF"/>
    <w:rsid w:val="00A8419E"/>
    <w:rsid w:val="00A84D21"/>
    <w:rsid w:val="00A856A9"/>
    <w:rsid w:val="00A85E3E"/>
    <w:rsid w:val="00A86627"/>
    <w:rsid w:val="00A8662C"/>
    <w:rsid w:val="00A872AA"/>
    <w:rsid w:val="00A91B2A"/>
    <w:rsid w:val="00AA1D78"/>
    <w:rsid w:val="00AA4B7D"/>
    <w:rsid w:val="00AB1418"/>
    <w:rsid w:val="00AB171D"/>
    <w:rsid w:val="00AB3AAD"/>
    <w:rsid w:val="00AB3CD8"/>
    <w:rsid w:val="00AB403D"/>
    <w:rsid w:val="00AB46C0"/>
    <w:rsid w:val="00AB57DC"/>
    <w:rsid w:val="00AB591F"/>
    <w:rsid w:val="00AC4918"/>
    <w:rsid w:val="00AC6964"/>
    <w:rsid w:val="00AC6E2C"/>
    <w:rsid w:val="00AD4EE4"/>
    <w:rsid w:val="00AE198E"/>
    <w:rsid w:val="00AF1ABB"/>
    <w:rsid w:val="00AF57C3"/>
    <w:rsid w:val="00AF5842"/>
    <w:rsid w:val="00AF7F58"/>
    <w:rsid w:val="00B00A4D"/>
    <w:rsid w:val="00B02C5E"/>
    <w:rsid w:val="00B05C62"/>
    <w:rsid w:val="00B12FDC"/>
    <w:rsid w:val="00B15E56"/>
    <w:rsid w:val="00B16652"/>
    <w:rsid w:val="00B234C5"/>
    <w:rsid w:val="00B25C1C"/>
    <w:rsid w:val="00B3069F"/>
    <w:rsid w:val="00B36864"/>
    <w:rsid w:val="00B4751D"/>
    <w:rsid w:val="00B514A5"/>
    <w:rsid w:val="00B53354"/>
    <w:rsid w:val="00B5527F"/>
    <w:rsid w:val="00B5612C"/>
    <w:rsid w:val="00B579AB"/>
    <w:rsid w:val="00B6048A"/>
    <w:rsid w:val="00B6168E"/>
    <w:rsid w:val="00B6350F"/>
    <w:rsid w:val="00B6717C"/>
    <w:rsid w:val="00B71C2E"/>
    <w:rsid w:val="00B74560"/>
    <w:rsid w:val="00B809EF"/>
    <w:rsid w:val="00B827A3"/>
    <w:rsid w:val="00B838FD"/>
    <w:rsid w:val="00B85511"/>
    <w:rsid w:val="00B86FCA"/>
    <w:rsid w:val="00BA186B"/>
    <w:rsid w:val="00BA2514"/>
    <w:rsid w:val="00BA28DE"/>
    <w:rsid w:val="00BA2DAB"/>
    <w:rsid w:val="00BA5F67"/>
    <w:rsid w:val="00BB3464"/>
    <w:rsid w:val="00BC5DFE"/>
    <w:rsid w:val="00BC669C"/>
    <w:rsid w:val="00BD0F4F"/>
    <w:rsid w:val="00BE1FC4"/>
    <w:rsid w:val="00BE401C"/>
    <w:rsid w:val="00BF125F"/>
    <w:rsid w:val="00BF3501"/>
    <w:rsid w:val="00BF3D12"/>
    <w:rsid w:val="00BF5D27"/>
    <w:rsid w:val="00C02E23"/>
    <w:rsid w:val="00C0755F"/>
    <w:rsid w:val="00C10C66"/>
    <w:rsid w:val="00C1475D"/>
    <w:rsid w:val="00C17202"/>
    <w:rsid w:val="00C217C0"/>
    <w:rsid w:val="00C24146"/>
    <w:rsid w:val="00C30E63"/>
    <w:rsid w:val="00C33199"/>
    <w:rsid w:val="00C3502B"/>
    <w:rsid w:val="00C35F7C"/>
    <w:rsid w:val="00C42C63"/>
    <w:rsid w:val="00C4449D"/>
    <w:rsid w:val="00C53393"/>
    <w:rsid w:val="00C544F3"/>
    <w:rsid w:val="00C5635C"/>
    <w:rsid w:val="00C601F3"/>
    <w:rsid w:val="00C62103"/>
    <w:rsid w:val="00C64C46"/>
    <w:rsid w:val="00C65B38"/>
    <w:rsid w:val="00C6751F"/>
    <w:rsid w:val="00C72182"/>
    <w:rsid w:val="00C753D4"/>
    <w:rsid w:val="00C80DCD"/>
    <w:rsid w:val="00C81868"/>
    <w:rsid w:val="00C82EAF"/>
    <w:rsid w:val="00C87E20"/>
    <w:rsid w:val="00C95B6C"/>
    <w:rsid w:val="00CA4DFE"/>
    <w:rsid w:val="00CA4EA3"/>
    <w:rsid w:val="00CA6423"/>
    <w:rsid w:val="00CA6B6D"/>
    <w:rsid w:val="00CB3EFD"/>
    <w:rsid w:val="00CB58CB"/>
    <w:rsid w:val="00CB660A"/>
    <w:rsid w:val="00CB748C"/>
    <w:rsid w:val="00CB7D7D"/>
    <w:rsid w:val="00CC6A1D"/>
    <w:rsid w:val="00CD1447"/>
    <w:rsid w:val="00CD2369"/>
    <w:rsid w:val="00CE1D5A"/>
    <w:rsid w:val="00CE45B9"/>
    <w:rsid w:val="00CF0C28"/>
    <w:rsid w:val="00CF3730"/>
    <w:rsid w:val="00CF547D"/>
    <w:rsid w:val="00CF7A1C"/>
    <w:rsid w:val="00D00EF8"/>
    <w:rsid w:val="00D01F65"/>
    <w:rsid w:val="00D05D75"/>
    <w:rsid w:val="00D062E7"/>
    <w:rsid w:val="00D1053C"/>
    <w:rsid w:val="00D11B12"/>
    <w:rsid w:val="00D1498D"/>
    <w:rsid w:val="00D1533E"/>
    <w:rsid w:val="00D21635"/>
    <w:rsid w:val="00D2477E"/>
    <w:rsid w:val="00D27A22"/>
    <w:rsid w:val="00D31165"/>
    <w:rsid w:val="00D3263A"/>
    <w:rsid w:val="00D36A74"/>
    <w:rsid w:val="00D441BE"/>
    <w:rsid w:val="00D4773A"/>
    <w:rsid w:val="00D61FFE"/>
    <w:rsid w:val="00D644B6"/>
    <w:rsid w:val="00D71047"/>
    <w:rsid w:val="00D72D9B"/>
    <w:rsid w:val="00D73164"/>
    <w:rsid w:val="00D74C53"/>
    <w:rsid w:val="00D76666"/>
    <w:rsid w:val="00D820DD"/>
    <w:rsid w:val="00D8553E"/>
    <w:rsid w:val="00D85D40"/>
    <w:rsid w:val="00D875FE"/>
    <w:rsid w:val="00D91651"/>
    <w:rsid w:val="00DA1022"/>
    <w:rsid w:val="00DA1B87"/>
    <w:rsid w:val="00DA1DBC"/>
    <w:rsid w:val="00DA227E"/>
    <w:rsid w:val="00DA3E36"/>
    <w:rsid w:val="00DB64AF"/>
    <w:rsid w:val="00DC16CF"/>
    <w:rsid w:val="00DC6400"/>
    <w:rsid w:val="00DC6E2D"/>
    <w:rsid w:val="00DC7155"/>
    <w:rsid w:val="00DD46A5"/>
    <w:rsid w:val="00DE3D78"/>
    <w:rsid w:val="00DE55E0"/>
    <w:rsid w:val="00DE6BCB"/>
    <w:rsid w:val="00DF1383"/>
    <w:rsid w:val="00DF34A5"/>
    <w:rsid w:val="00DF389E"/>
    <w:rsid w:val="00DF51B6"/>
    <w:rsid w:val="00DF5C72"/>
    <w:rsid w:val="00E050EE"/>
    <w:rsid w:val="00E05335"/>
    <w:rsid w:val="00E0574C"/>
    <w:rsid w:val="00E07240"/>
    <w:rsid w:val="00E12044"/>
    <w:rsid w:val="00E217E1"/>
    <w:rsid w:val="00E2375C"/>
    <w:rsid w:val="00E25AD0"/>
    <w:rsid w:val="00E27AEC"/>
    <w:rsid w:val="00E3062A"/>
    <w:rsid w:val="00E33B53"/>
    <w:rsid w:val="00E34906"/>
    <w:rsid w:val="00E54DDD"/>
    <w:rsid w:val="00E56542"/>
    <w:rsid w:val="00E62F4E"/>
    <w:rsid w:val="00E663CB"/>
    <w:rsid w:val="00E67948"/>
    <w:rsid w:val="00E705A1"/>
    <w:rsid w:val="00E72082"/>
    <w:rsid w:val="00E73453"/>
    <w:rsid w:val="00E73689"/>
    <w:rsid w:val="00E75245"/>
    <w:rsid w:val="00E802D0"/>
    <w:rsid w:val="00E81FEF"/>
    <w:rsid w:val="00E83FE6"/>
    <w:rsid w:val="00E84FAB"/>
    <w:rsid w:val="00E90F4E"/>
    <w:rsid w:val="00E93656"/>
    <w:rsid w:val="00E964B2"/>
    <w:rsid w:val="00EA5CE9"/>
    <w:rsid w:val="00EA6037"/>
    <w:rsid w:val="00EA6B17"/>
    <w:rsid w:val="00EB246F"/>
    <w:rsid w:val="00EC44B2"/>
    <w:rsid w:val="00ED1E0B"/>
    <w:rsid w:val="00ED5192"/>
    <w:rsid w:val="00ED670B"/>
    <w:rsid w:val="00EE72F7"/>
    <w:rsid w:val="00EE75D7"/>
    <w:rsid w:val="00EE796A"/>
    <w:rsid w:val="00EF358B"/>
    <w:rsid w:val="00EF4A31"/>
    <w:rsid w:val="00F163E0"/>
    <w:rsid w:val="00F22049"/>
    <w:rsid w:val="00F2243C"/>
    <w:rsid w:val="00F25F96"/>
    <w:rsid w:val="00F267F3"/>
    <w:rsid w:val="00F2699A"/>
    <w:rsid w:val="00F3200E"/>
    <w:rsid w:val="00F334A3"/>
    <w:rsid w:val="00F33F47"/>
    <w:rsid w:val="00F35F9D"/>
    <w:rsid w:val="00F411F2"/>
    <w:rsid w:val="00F42A15"/>
    <w:rsid w:val="00F44F02"/>
    <w:rsid w:val="00F51AD5"/>
    <w:rsid w:val="00F56937"/>
    <w:rsid w:val="00F610E8"/>
    <w:rsid w:val="00F61603"/>
    <w:rsid w:val="00F625D7"/>
    <w:rsid w:val="00F70A1A"/>
    <w:rsid w:val="00F71B34"/>
    <w:rsid w:val="00F730DA"/>
    <w:rsid w:val="00F73229"/>
    <w:rsid w:val="00F75A0F"/>
    <w:rsid w:val="00F77025"/>
    <w:rsid w:val="00F8694D"/>
    <w:rsid w:val="00F902D4"/>
    <w:rsid w:val="00F94BA2"/>
    <w:rsid w:val="00F94DE1"/>
    <w:rsid w:val="00FA075A"/>
    <w:rsid w:val="00FA28E9"/>
    <w:rsid w:val="00FA3913"/>
    <w:rsid w:val="00FA4F55"/>
    <w:rsid w:val="00FB3242"/>
    <w:rsid w:val="00FB3409"/>
    <w:rsid w:val="00FB4A7C"/>
    <w:rsid w:val="00FC1C17"/>
    <w:rsid w:val="00FC2006"/>
    <w:rsid w:val="00FC2627"/>
    <w:rsid w:val="00FC2FF7"/>
    <w:rsid w:val="00FC57C7"/>
    <w:rsid w:val="00FD1654"/>
    <w:rsid w:val="00FD317C"/>
    <w:rsid w:val="00FD5305"/>
    <w:rsid w:val="00FE111A"/>
    <w:rsid w:val="00FE79F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693E66-CF4E-4741-9920-FAA6572D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5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02E2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2E23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A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B87"/>
  </w:style>
  <w:style w:type="paragraph" w:styleId="Rodap">
    <w:name w:val="footer"/>
    <w:basedOn w:val="Normal"/>
    <w:link w:val="RodapChar"/>
    <w:uiPriority w:val="99"/>
    <w:unhideWhenUsed/>
    <w:rsid w:val="00DA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B87"/>
  </w:style>
  <w:style w:type="character" w:customStyle="1" w:styleId="Ttulo1Char">
    <w:name w:val="Título 1 Char"/>
    <w:basedOn w:val="Fontepargpadro"/>
    <w:link w:val="Ttulo1"/>
    <w:uiPriority w:val="9"/>
    <w:rsid w:val="00925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F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701B"/>
    <w:rPr>
      <w:b/>
      <w:bCs/>
    </w:rPr>
  </w:style>
  <w:style w:type="paragraph" w:styleId="PargrafodaLista">
    <w:name w:val="List Paragraph"/>
    <w:basedOn w:val="Normal"/>
    <w:uiPriority w:val="34"/>
    <w:qFormat/>
    <w:rsid w:val="00674064"/>
    <w:pPr>
      <w:ind w:left="720"/>
      <w:contextualSpacing/>
    </w:pPr>
  </w:style>
  <w:style w:type="paragraph" w:customStyle="1" w:styleId="textojustificado">
    <w:name w:val="texto_justificado"/>
    <w:basedOn w:val="Normal"/>
    <w:rsid w:val="00C8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916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58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642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0981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8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887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7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3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40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93123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35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2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563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37612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8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16736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3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1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51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0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B5D0-4B9A-4E44-BFA4-C409C33A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2021-10-18T19:17:00Z</dcterms:created>
  <dcterms:modified xsi:type="dcterms:W3CDTF">2021-10-18T19:17:00Z</dcterms:modified>
</cp:coreProperties>
</file>