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C4" w:rsidRPr="00C77604" w:rsidRDefault="00F617C4" w:rsidP="00F617C4"/>
    <w:p w:rsidR="00F617C4" w:rsidRPr="00C77604" w:rsidRDefault="00F617C4" w:rsidP="00F617C4">
      <w:r w:rsidRPr="00F617C4">
        <w:rPr>
          <w:rStyle w:val="NomedaEmpresa-CarCapa"/>
          <w:rFonts w:ascii="Calibri" w:hAnsi="Calibri"/>
          <w:lang w:val="pt-BR"/>
        </w:rPr>
        <w:t xml:space="preserve">    </w:t>
      </w:r>
    </w:p>
    <w:p w:rsidR="00F617C4" w:rsidRPr="00C33B1E" w:rsidRDefault="00F617C4" w:rsidP="00F617C4">
      <w:pPr>
        <w:spacing w:after="120" w:line="240" w:lineRule="auto"/>
        <w:sectPr w:rsidR="00F617C4" w:rsidRPr="00C33B1E" w:rsidSect="00DB46C3">
          <w:headerReference w:type="default" r:id="rId8"/>
          <w:footerReference w:type="first" r:id="rId9"/>
          <w:pgSz w:w="11906" w:h="16838" w:code="9"/>
          <w:pgMar w:top="1531" w:right="1077" w:bottom="1440" w:left="1077" w:header="709" w:footer="709" w:gutter="0"/>
          <w:cols w:space="708"/>
          <w:titlePg/>
          <w:docGrid w:linePitch="360"/>
        </w:sect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B43068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14" o:spid="_x0000_s1026" type="#_x0000_t202" style="position:absolute;left:0;text-align:left;margin-left:15.95pt;margin-top:66.35pt;width:250pt;height:4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ZsiugIAALw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" filled="f" stroked="f">
            <v:textbox>
              <w:txbxContent>
                <w:p w:rsidR="00035795" w:rsidRPr="00FF75CE" w:rsidRDefault="00035795" w:rsidP="00567449">
                  <w:pPr>
                    <w:rPr>
                      <w:rFonts w:ascii="Cambria" w:hAnsi="Cambria"/>
                      <w:b/>
                      <w:color w:val="9D7401"/>
                      <w:sz w:val="36"/>
                      <w:szCs w:val="36"/>
                    </w:rPr>
                  </w:pPr>
                  <w:r w:rsidRPr="00FF75CE">
                    <w:rPr>
                      <w:rFonts w:ascii="Cambria" w:hAnsi="Cambria"/>
                      <w:b/>
                      <w:color w:val="9D7401"/>
                      <w:sz w:val="36"/>
                      <w:szCs w:val="36"/>
                    </w:rPr>
                    <w:t>201</w:t>
                  </w:r>
                  <w:r>
                    <w:rPr>
                      <w:rFonts w:ascii="Cambria" w:hAnsi="Cambria"/>
                      <w:b/>
                      <w:color w:val="9D7401"/>
                      <w:sz w:val="36"/>
                      <w:szCs w:val="36"/>
                    </w:rPr>
                    <w:t>7</w:t>
                  </w:r>
                  <w:r w:rsidRPr="00FF75CE">
                    <w:rPr>
                      <w:rFonts w:ascii="Cambria" w:hAnsi="Cambria"/>
                      <w:b/>
                      <w:color w:val="9D7401"/>
                      <w:sz w:val="36"/>
                      <w:szCs w:val="36"/>
                    </w:rPr>
                    <w:t xml:space="preserve"> </w:t>
                  </w:r>
                  <w:r w:rsidRPr="00FF75CE">
                    <w:rPr>
                      <w:rFonts w:ascii="Cambria" w:hAnsi="Cambria"/>
                      <w:color w:val="9D7401"/>
                      <w:sz w:val="36"/>
                      <w:szCs w:val="36"/>
                    </w:rPr>
                    <w:t>–</w:t>
                  </w:r>
                  <w:r w:rsidRPr="00FF75CE">
                    <w:rPr>
                      <w:rFonts w:ascii="Cambria" w:hAnsi="Cambria"/>
                      <w:b/>
                      <w:color w:val="9D7401"/>
                      <w:sz w:val="36"/>
                      <w:szCs w:val="36"/>
                    </w:rPr>
                    <w:t xml:space="preserve"> </w:t>
                  </w:r>
                  <w:r w:rsidRPr="00FF75CE">
                    <w:rPr>
                      <w:rFonts w:ascii="Cambria" w:hAnsi="Cambria"/>
                      <w:color w:val="9D7401"/>
                      <w:sz w:val="36"/>
                      <w:szCs w:val="36"/>
                    </w:rPr>
                    <w:t>1º SEMESTRE</w:t>
                  </w:r>
                  <w:r w:rsidRPr="00FF75CE">
                    <w:rPr>
                      <w:rFonts w:ascii="Cambria" w:hAnsi="Cambria"/>
                      <w:b/>
                      <w:color w:val="9D7401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 w:rsidR="00567449" w:rsidRPr="00567449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-2300605</wp:posOffset>
            </wp:positionV>
            <wp:extent cx="7572375" cy="10706100"/>
            <wp:effectExtent l="19050" t="0" r="0" b="0"/>
            <wp:wrapNone/>
            <wp:docPr id="6" name="Imagem 0" descr="capa_Fiscalização em Noticias_Balanço Anual 2013_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_Fiscalização em Noticias_Balanço Anual 2013_v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8239" cy="10735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385448">
      <w:pPr>
        <w:pStyle w:val="PargrafodaLista"/>
        <w:spacing w:after="120"/>
        <w:ind w:left="0" w:firstLine="708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F617C4" w:rsidRPr="00C33B1E" w:rsidRDefault="00F617C4" w:rsidP="00F617C4">
      <w:pPr>
        <w:pStyle w:val="PargrafodaLista"/>
        <w:spacing w:after="120"/>
        <w:ind w:left="0"/>
        <w:jc w:val="both"/>
        <w:rPr>
          <w:rFonts w:ascii="Calibri" w:hAnsi="Calibri" w:cs="Calibri"/>
          <w:sz w:val="22"/>
          <w:szCs w:val="22"/>
        </w:rPr>
      </w:pPr>
    </w:p>
    <w:p w:rsidR="00D73FDC" w:rsidRPr="00BE1294" w:rsidRDefault="00D73FDC" w:rsidP="005923B3">
      <w:pPr>
        <w:spacing w:before="360" w:after="0"/>
        <w:rPr>
          <w:rFonts w:asciiTheme="minorHAnsi" w:hAnsiTheme="minorHAnsi"/>
          <w:b/>
          <w:sz w:val="24"/>
          <w:lang w:eastAsia="pt-BR"/>
        </w:rPr>
      </w:pPr>
      <w:r w:rsidRPr="00BE1294">
        <w:rPr>
          <w:rFonts w:asciiTheme="minorHAnsi" w:hAnsiTheme="minorHAnsi"/>
          <w:b/>
          <w:sz w:val="24"/>
          <w:lang w:eastAsia="pt-BR"/>
        </w:rPr>
        <w:lastRenderedPageBreak/>
        <w:t xml:space="preserve">AGÊNCIA NACIONAL DO PETRÓLEO, GÁS </w:t>
      </w:r>
      <w:proofErr w:type="gramStart"/>
      <w:r w:rsidRPr="00BE1294">
        <w:rPr>
          <w:rFonts w:asciiTheme="minorHAnsi" w:hAnsiTheme="minorHAnsi"/>
          <w:b/>
          <w:sz w:val="24"/>
          <w:lang w:eastAsia="pt-BR"/>
        </w:rPr>
        <w:t>NATURAL E BIOCOMBUSTÍVEIS</w:t>
      </w:r>
      <w:proofErr w:type="gramEnd"/>
    </w:p>
    <w:p w:rsidR="00207405" w:rsidRDefault="00207405" w:rsidP="00D73FDC">
      <w:pPr>
        <w:spacing w:after="0" w:line="240" w:lineRule="auto"/>
        <w:jc w:val="both"/>
        <w:rPr>
          <w:rFonts w:asciiTheme="minorHAnsi" w:hAnsiTheme="minorHAnsi" w:cs="Calibri"/>
          <w:b/>
          <w:bCs/>
          <w:color w:val="000000"/>
        </w:rPr>
      </w:pPr>
    </w:p>
    <w:p w:rsidR="00D73FDC" w:rsidRPr="00BE1294" w:rsidRDefault="00D73FDC" w:rsidP="00D73FDC">
      <w:pPr>
        <w:spacing w:after="0" w:line="240" w:lineRule="auto"/>
        <w:jc w:val="both"/>
        <w:rPr>
          <w:rFonts w:asciiTheme="minorHAnsi" w:hAnsiTheme="minorHAnsi" w:cs="Calibri"/>
          <w:b/>
          <w:bCs/>
          <w:color w:val="000000"/>
        </w:rPr>
      </w:pPr>
      <w:r w:rsidRPr="00BE1294">
        <w:rPr>
          <w:rFonts w:asciiTheme="minorHAnsi" w:hAnsiTheme="minorHAnsi" w:cs="Calibri"/>
          <w:b/>
          <w:bCs/>
          <w:color w:val="000000"/>
        </w:rPr>
        <w:t>DIRETOR</w:t>
      </w:r>
      <w:bookmarkStart w:id="0" w:name="_GoBack"/>
      <w:bookmarkEnd w:id="0"/>
      <w:r w:rsidRPr="00BE1294">
        <w:rPr>
          <w:rFonts w:asciiTheme="minorHAnsi" w:hAnsiTheme="minorHAnsi" w:cs="Calibri"/>
          <w:b/>
          <w:bCs/>
          <w:color w:val="000000"/>
        </w:rPr>
        <w:t>-GERAL</w:t>
      </w:r>
    </w:p>
    <w:p w:rsidR="00F03DF3" w:rsidRDefault="00F03DF3" w:rsidP="00D73FDC">
      <w:pPr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  <w:r w:rsidRPr="00F03DF3">
        <w:rPr>
          <w:rFonts w:asciiTheme="minorHAnsi" w:eastAsia="Times New Roman" w:hAnsiTheme="minorHAnsi" w:cs="Calibri"/>
          <w:lang w:eastAsia="pt-BR"/>
        </w:rPr>
        <w:t xml:space="preserve">Décio </w:t>
      </w:r>
      <w:proofErr w:type="spellStart"/>
      <w:r w:rsidRPr="00F03DF3">
        <w:rPr>
          <w:rFonts w:asciiTheme="minorHAnsi" w:eastAsia="Times New Roman" w:hAnsiTheme="minorHAnsi" w:cs="Calibri"/>
          <w:lang w:eastAsia="pt-BR"/>
        </w:rPr>
        <w:t>Fabr</w:t>
      </w:r>
      <w:r w:rsidR="00AD3FCC">
        <w:rPr>
          <w:rFonts w:asciiTheme="minorHAnsi" w:eastAsia="Times New Roman" w:hAnsiTheme="minorHAnsi" w:cs="Calibri"/>
          <w:lang w:eastAsia="pt-BR"/>
        </w:rPr>
        <w:t>i</w:t>
      </w:r>
      <w:r w:rsidRPr="00F03DF3">
        <w:rPr>
          <w:rFonts w:asciiTheme="minorHAnsi" w:eastAsia="Times New Roman" w:hAnsiTheme="minorHAnsi" w:cs="Calibri"/>
          <w:lang w:eastAsia="pt-BR"/>
        </w:rPr>
        <w:t>cio</w:t>
      </w:r>
      <w:proofErr w:type="spellEnd"/>
      <w:r w:rsidRPr="00F03DF3">
        <w:rPr>
          <w:rFonts w:asciiTheme="minorHAnsi" w:eastAsia="Times New Roman" w:hAnsiTheme="minorHAnsi" w:cs="Calibri"/>
          <w:lang w:eastAsia="pt-BR"/>
        </w:rPr>
        <w:t xml:space="preserve"> </w:t>
      </w:r>
      <w:proofErr w:type="spellStart"/>
      <w:r w:rsidRPr="00F03DF3">
        <w:rPr>
          <w:rFonts w:asciiTheme="minorHAnsi" w:eastAsia="Times New Roman" w:hAnsiTheme="minorHAnsi" w:cs="Calibri"/>
          <w:lang w:eastAsia="pt-BR"/>
        </w:rPr>
        <w:t>Oddone</w:t>
      </w:r>
      <w:proofErr w:type="spellEnd"/>
      <w:r w:rsidRPr="00F03DF3">
        <w:rPr>
          <w:rFonts w:asciiTheme="minorHAnsi" w:eastAsia="Times New Roman" w:hAnsiTheme="minorHAnsi" w:cs="Calibri"/>
          <w:lang w:eastAsia="pt-BR"/>
        </w:rPr>
        <w:t xml:space="preserve"> da Costa</w:t>
      </w:r>
    </w:p>
    <w:p w:rsidR="00F03DF3" w:rsidRPr="00F03DF3" w:rsidRDefault="00F03DF3" w:rsidP="00D73FDC">
      <w:pPr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</w:p>
    <w:p w:rsidR="006143F1" w:rsidRDefault="006143F1" w:rsidP="00D73FDC">
      <w:pPr>
        <w:spacing w:after="0" w:line="240" w:lineRule="auto"/>
        <w:jc w:val="both"/>
        <w:rPr>
          <w:rFonts w:asciiTheme="minorHAnsi" w:hAnsiTheme="minorHAnsi" w:cs="Calibri"/>
          <w:b/>
          <w:bCs/>
          <w:color w:val="000000"/>
        </w:rPr>
      </w:pPr>
      <w:r w:rsidRPr="00BE1294">
        <w:rPr>
          <w:rFonts w:asciiTheme="minorHAnsi" w:hAnsiTheme="minorHAnsi" w:cs="Calibri"/>
          <w:b/>
          <w:bCs/>
          <w:color w:val="000000"/>
        </w:rPr>
        <w:t>DIRETOR</w:t>
      </w:r>
      <w:r>
        <w:rPr>
          <w:rFonts w:asciiTheme="minorHAnsi" w:hAnsiTheme="minorHAnsi" w:cs="Calibri"/>
          <w:b/>
          <w:bCs/>
          <w:color w:val="000000"/>
        </w:rPr>
        <w:t>IA I</w:t>
      </w:r>
    </w:p>
    <w:p w:rsidR="006143F1" w:rsidRDefault="006143F1" w:rsidP="00D73FDC">
      <w:pPr>
        <w:spacing w:after="0" w:line="240" w:lineRule="auto"/>
        <w:jc w:val="both"/>
        <w:rPr>
          <w:rFonts w:asciiTheme="minorHAnsi" w:eastAsia="Times New Roman" w:hAnsiTheme="minorHAnsi" w:cs="Calibri"/>
          <w:b/>
          <w:sz w:val="16"/>
          <w:szCs w:val="16"/>
          <w:lang w:eastAsia="pt-BR"/>
        </w:rPr>
      </w:pPr>
      <w:r>
        <w:rPr>
          <w:rFonts w:asciiTheme="minorHAnsi" w:eastAsia="Times New Roman" w:hAnsiTheme="minorHAnsi" w:cs="Calibri"/>
          <w:lang w:eastAsia="pt-BR"/>
        </w:rPr>
        <w:t xml:space="preserve">Aurélio </w:t>
      </w:r>
      <w:r w:rsidR="00A22EA8">
        <w:rPr>
          <w:rFonts w:asciiTheme="minorHAnsi" w:eastAsia="Times New Roman" w:hAnsiTheme="minorHAnsi" w:cs="Calibri"/>
          <w:lang w:eastAsia="pt-BR"/>
        </w:rPr>
        <w:t xml:space="preserve">Cesar </w:t>
      </w:r>
      <w:r w:rsidR="007D296A">
        <w:rPr>
          <w:rFonts w:asciiTheme="minorHAnsi" w:eastAsia="Times New Roman" w:hAnsiTheme="minorHAnsi" w:cs="Calibri"/>
          <w:lang w:eastAsia="pt-BR"/>
        </w:rPr>
        <w:t xml:space="preserve">Nogueira </w:t>
      </w:r>
      <w:r>
        <w:rPr>
          <w:rFonts w:asciiTheme="minorHAnsi" w:eastAsia="Times New Roman" w:hAnsiTheme="minorHAnsi" w:cs="Calibri"/>
          <w:lang w:eastAsia="pt-BR"/>
        </w:rPr>
        <w:t>Amaral</w:t>
      </w:r>
    </w:p>
    <w:p w:rsidR="00F03DF3" w:rsidRPr="00F03DF3" w:rsidRDefault="00F03DF3" w:rsidP="00D73FDC">
      <w:pPr>
        <w:spacing w:after="0" w:line="240" w:lineRule="auto"/>
        <w:jc w:val="both"/>
        <w:rPr>
          <w:rFonts w:asciiTheme="minorHAnsi" w:eastAsia="Times New Roman" w:hAnsiTheme="minorHAnsi" w:cs="Calibri"/>
          <w:b/>
          <w:szCs w:val="16"/>
          <w:lang w:eastAsia="pt-BR"/>
        </w:rPr>
      </w:pPr>
    </w:p>
    <w:p w:rsidR="00D73FDC" w:rsidRPr="00BE1294" w:rsidRDefault="00D73FDC" w:rsidP="00D73FDC">
      <w:pPr>
        <w:spacing w:after="0" w:line="240" w:lineRule="auto"/>
        <w:jc w:val="both"/>
        <w:rPr>
          <w:rFonts w:asciiTheme="minorHAnsi" w:hAnsiTheme="minorHAnsi" w:cs="Calibri"/>
          <w:b/>
          <w:bCs/>
          <w:color w:val="000000"/>
        </w:rPr>
      </w:pPr>
      <w:r w:rsidRPr="00BE1294">
        <w:rPr>
          <w:rFonts w:asciiTheme="minorHAnsi" w:hAnsiTheme="minorHAnsi" w:cs="Calibri"/>
          <w:b/>
          <w:bCs/>
          <w:color w:val="000000"/>
        </w:rPr>
        <w:t>SUPERINTENDÊNCIA DE FISCALIZAÇÃO DO ABASTECIMENTO - SFI</w:t>
      </w:r>
    </w:p>
    <w:p w:rsidR="00D73FDC" w:rsidRPr="00BE1294" w:rsidRDefault="00F03DF3" w:rsidP="00D73FDC">
      <w:pPr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  <w:r w:rsidRPr="00F03DF3">
        <w:rPr>
          <w:rFonts w:asciiTheme="minorHAnsi" w:eastAsia="Times New Roman" w:hAnsiTheme="minorHAnsi" w:cs="Calibri"/>
          <w:lang w:eastAsia="pt-BR"/>
        </w:rPr>
        <w:t>Francisco Nelson Castro Neves</w:t>
      </w:r>
      <w:r>
        <w:rPr>
          <w:rFonts w:asciiTheme="minorHAnsi" w:eastAsia="Times New Roman" w:hAnsiTheme="minorHAnsi" w:cs="Calibri"/>
          <w:lang w:eastAsia="pt-BR"/>
        </w:rPr>
        <w:t xml:space="preserve"> </w:t>
      </w:r>
      <w:r w:rsidR="00865870" w:rsidRPr="00BE1294">
        <w:rPr>
          <w:rFonts w:asciiTheme="minorHAnsi" w:eastAsia="Times New Roman" w:hAnsiTheme="minorHAnsi" w:cs="Calibri"/>
          <w:lang w:eastAsia="pt-BR"/>
        </w:rPr>
        <w:t>- Superintendente</w:t>
      </w:r>
    </w:p>
    <w:p w:rsidR="00D73FDC" w:rsidRDefault="00F03DF3" w:rsidP="00D73FDC">
      <w:pPr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  <w:r>
        <w:rPr>
          <w:rFonts w:asciiTheme="minorHAnsi" w:eastAsia="Times New Roman" w:hAnsiTheme="minorHAnsi" w:cs="Calibri"/>
          <w:lang w:eastAsia="pt-BR"/>
        </w:rPr>
        <w:t>Marcelo da Silva</w:t>
      </w:r>
      <w:r w:rsidR="00865870" w:rsidRPr="00BE1294">
        <w:rPr>
          <w:rFonts w:asciiTheme="minorHAnsi" w:eastAsia="Times New Roman" w:hAnsiTheme="minorHAnsi" w:cs="Calibri"/>
          <w:lang w:eastAsia="pt-BR"/>
        </w:rPr>
        <w:t xml:space="preserve"> </w:t>
      </w:r>
      <w:r>
        <w:rPr>
          <w:rFonts w:asciiTheme="minorHAnsi" w:eastAsia="Times New Roman" w:hAnsiTheme="minorHAnsi" w:cs="Calibri"/>
          <w:lang w:eastAsia="pt-BR"/>
        </w:rPr>
        <w:t>-</w:t>
      </w:r>
      <w:r w:rsidR="00865870" w:rsidRPr="00BE1294">
        <w:rPr>
          <w:rFonts w:asciiTheme="minorHAnsi" w:eastAsia="Times New Roman" w:hAnsiTheme="minorHAnsi" w:cs="Calibri"/>
          <w:lang w:eastAsia="pt-BR"/>
        </w:rPr>
        <w:t xml:space="preserve"> Superintendente Adjunt</w:t>
      </w:r>
      <w:r w:rsidR="004F1DE7">
        <w:rPr>
          <w:rFonts w:asciiTheme="minorHAnsi" w:eastAsia="Times New Roman" w:hAnsiTheme="minorHAnsi" w:cs="Calibri"/>
          <w:lang w:eastAsia="pt-BR"/>
        </w:rPr>
        <w:t>o</w:t>
      </w:r>
    </w:p>
    <w:p w:rsidR="00F03DF3" w:rsidRPr="00F03DF3" w:rsidRDefault="00F03DF3" w:rsidP="00D73FDC">
      <w:pPr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</w:p>
    <w:p w:rsidR="005F61B3" w:rsidRPr="005F61B3" w:rsidRDefault="005F61B3" w:rsidP="005F61B3">
      <w:pPr>
        <w:spacing w:after="0" w:line="240" w:lineRule="auto"/>
        <w:jc w:val="both"/>
        <w:rPr>
          <w:rFonts w:asciiTheme="minorHAnsi" w:hAnsiTheme="minorHAnsi" w:cs="Calibri"/>
          <w:b/>
          <w:bCs/>
          <w:color w:val="000000"/>
          <w:sz w:val="10"/>
          <w:szCs w:val="10"/>
        </w:rPr>
      </w:pPr>
    </w:p>
    <w:p w:rsidR="00D73FDC" w:rsidRPr="00BE1294" w:rsidRDefault="00D73FDC" w:rsidP="00D73FDC">
      <w:pPr>
        <w:spacing w:after="0" w:line="240" w:lineRule="auto"/>
        <w:jc w:val="both"/>
        <w:rPr>
          <w:rFonts w:asciiTheme="minorHAnsi" w:hAnsiTheme="minorHAnsi" w:cs="Calibri"/>
          <w:b/>
          <w:bCs/>
          <w:color w:val="000000"/>
        </w:rPr>
      </w:pPr>
      <w:r w:rsidRPr="00BE1294">
        <w:rPr>
          <w:rFonts w:asciiTheme="minorHAnsi" w:hAnsiTheme="minorHAnsi" w:cs="Calibri"/>
          <w:b/>
          <w:bCs/>
          <w:color w:val="000000"/>
        </w:rPr>
        <w:t>SETOR DE PLANEJAMENTO E ESTUDOS REGULATÓRIOS</w:t>
      </w:r>
    </w:p>
    <w:p w:rsidR="00A01BA3" w:rsidRDefault="00D73FDC" w:rsidP="00AD40B1">
      <w:pPr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  <w:r w:rsidRPr="00BE1294">
        <w:rPr>
          <w:rFonts w:asciiTheme="minorHAnsi" w:eastAsia="Times New Roman" w:hAnsiTheme="minorHAnsi" w:cs="Calibri"/>
          <w:lang w:eastAsia="pt-BR"/>
        </w:rPr>
        <w:t>Rita de Cássia Campos Pereira Torres</w:t>
      </w:r>
      <w:r w:rsidR="00AD34CE">
        <w:rPr>
          <w:rFonts w:asciiTheme="minorHAnsi" w:eastAsia="Times New Roman" w:hAnsiTheme="minorHAnsi" w:cs="Calibri"/>
          <w:lang w:eastAsia="pt-BR"/>
        </w:rPr>
        <w:t xml:space="preserve"> - Coordenadora</w:t>
      </w:r>
      <w:r w:rsidR="00865870" w:rsidRPr="00BE1294">
        <w:rPr>
          <w:rFonts w:asciiTheme="minorHAnsi" w:eastAsia="Times New Roman" w:hAnsiTheme="minorHAnsi" w:cs="Calibri"/>
          <w:lang w:eastAsia="pt-BR"/>
        </w:rPr>
        <w:t xml:space="preserve"> </w:t>
      </w:r>
    </w:p>
    <w:p w:rsidR="00F03DF3" w:rsidRPr="00207405" w:rsidRDefault="00F03DF3" w:rsidP="00AD40B1">
      <w:pPr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</w:p>
    <w:p w:rsidR="00AD40B1" w:rsidRPr="00BE1294" w:rsidRDefault="00AD40B1" w:rsidP="00AD40B1">
      <w:pPr>
        <w:spacing w:after="0" w:line="240" w:lineRule="auto"/>
        <w:jc w:val="both"/>
        <w:rPr>
          <w:rFonts w:asciiTheme="minorHAnsi" w:hAnsiTheme="minorHAnsi" w:cs="Calibri"/>
          <w:b/>
          <w:bCs/>
          <w:color w:val="000000"/>
        </w:rPr>
      </w:pPr>
      <w:r w:rsidRPr="00BE1294">
        <w:rPr>
          <w:rFonts w:asciiTheme="minorHAnsi" w:hAnsiTheme="minorHAnsi" w:cs="Calibri"/>
          <w:b/>
          <w:bCs/>
          <w:color w:val="000000"/>
        </w:rPr>
        <w:t>Equipe</w:t>
      </w:r>
      <w:r w:rsidR="00A01BA3">
        <w:rPr>
          <w:rFonts w:asciiTheme="minorHAnsi" w:hAnsiTheme="minorHAnsi" w:cs="Calibri"/>
          <w:b/>
          <w:bCs/>
          <w:color w:val="000000"/>
        </w:rPr>
        <w:t xml:space="preserve"> de Elaboração</w:t>
      </w:r>
    </w:p>
    <w:p w:rsidR="003F0F2A" w:rsidRPr="00BE1294" w:rsidRDefault="003F0F2A" w:rsidP="003F0F2A">
      <w:pPr>
        <w:tabs>
          <w:tab w:val="left" w:pos="2006"/>
        </w:tabs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  <w:r w:rsidRPr="00BE1294">
        <w:rPr>
          <w:rFonts w:asciiTheme="minorHAnsi" w:eastAsia="Times New Roman" w:hAnsiTheme="minorHAnsi" w:cs="Calibri"/>
          <w:lang w:eastAsia="pt-BR"/>
        </w:rPr>
        <w:t>Daniel Santos de Carvalho</w:t>
      </w:r>
    </w:p>
    <w:p w:rsidR="003F0F2A" w:rsidRDefault="00B06D91" w:rsidP="003F0F2A">
      <w:pPr>
        <w:tabs>
          <w:tab w:val="left" w:pos="2006"/>
        </w:tabs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  <w:r>
        <w:rPr>
          <w:rFonts w:asciiTheme="minorHAnsi" w:eastAsia="Times New Roman" w:hAnsiTheme="minorHAnsi" w:cs="Calibri"/>
          <w:lang w:eastAsia="pt-BR"/>
        </w:rPr>
        <w:t>Eduardo Antônio Pires do Carmo</w:t>
      </w:r>
    </w:p>
    <w:p w:rsidR="00B06D91" w:rsidRPr="00BE1294" w:rsidRDefault="00B06D91" w:rsidP="003F0F2A">
      <w:pPr>
        <w:tabs>
          <w:tab w:val="left" w:pos="2006"/>
        </w:tabs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  <w:r>
        <w:rPr>
          <w:rFonts w:asciiTheme="minorHAnsi" w:eastAsia="Times New Roman" w:hAnsiTheme="minorHAnsi" w:cs="Calibri"/>
          <w:lang w:eastAsia="pt-BR"/>
        </w:rPr>
        <w:t>Jean Fonseca da Mota</w:t>
      </w:r>
    </w:p>
    <w:p w:rsidR="00D73FDC" w:rsidRPr="00BE1294" w:rsidRDefault="00D73FDC" w:rsidP="00D73FDC">
      <w:pPr>
        <w:tabs>
          <w:tab w:val="left" w:pos="2006"/>
        </w:tabs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  <w:r w:rsidRPr="00BE1294">
        <w:rPr>
          <w:rFonts w:asciiTheme="minorHAnsi" w:eastAsia="Times New Roman" w:hAnsiTheme="minorHAnsi" w:cs="Calibri"/>
          <w:lang w:eastAsia="pt-BR"/>
        </w:rPr>
        <w:t>Marcela Villela de Souza</w:t>
      </w:r>
    </w:p>
    <w:p w:rsidR="003F0F2A" w:rsidRDefault="001546BB" w:rsidP="00D73FDC">
      <w:pPr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  <w:r w:rsidRPr="00BE1294">
        <w:rPr>
          <w:rFonts w:asciiTheme="minorHAnsi" w:eastAsia="Times New Roman" w:hAnsiTheme="minorHAnsi" w:cs="Calibri"/>
          <w:lang w:eastAsia="pt-BR"/>
        </w:rPr>
        <w:t>Marcelo Ví</w:t>
      </w:r>
      <w:r w:rsidR="003F0F2A" w:rsidRPr="00BE1294">
        <w:rPr>
          <w:rFonts w:asciiTheme="minorHAnsi" w:eastAsia="Times New Roman" w:hAnsiTheme="minorHAnsi" w:cs="Calibri"/>
          <w:lang w:eastAsia="pt-BR"/>
        </w:rPr>
        <w:t>tor Martins de Meneses</w:t>
      </w:r>
    </w:p>
    <w:p w:rsidR="00B06D91" w:rsidRPr="00BE1294" w:rsidRDefault="003104A1" w:rsidP="00D73FDC">
      <w:pPr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  <w:r w:rsidRPr="00BE1294">
        <w:rPr>
          <w:rFonts w:asciiTheme="minorHAnsi" w:eastAsia="Times New Roman" w:hAnsiTheme="minorHAnsi" w:cs="Calibri"/>
          <w:lang w:eastAsia="pt-BR"/>
        </w:rPr>
        <w:t>Ra</w:t>
      </w:r>
      <w:r w:rsidR="006515FD" w:rsidRPr="00BE1294">
        <w:rPr>
          <w:rFonts w:asciiTheme="minorHAnsi" w:eastAsia="Times New Roman" w:hAnsiTheme="minorHAnsi" w:cs="Calibri"/>
          <w:lang w:eastAsia="pt-BR"/>
        </w:rPr>
        <w:t>qu</w:t>
      </w:r>
      <w:r w:rsidRPr="00BE1294">
        <w:rPr>
          <w:rFonts w:asciiTheme="minorHAnsi" w:eastAsia="Times New Roman" w:hAnsiTheme="minorHAnsi" w:cs="Calibri"/>
          <w:lang w:eastAsia="pt-BR"/>
        </w:rPr>
        <w:t xml:space="preserve">el </w:t>
      </w:r>
      <w:proofErr w:type="spellStart"/>
      <w:r w:rsidRPr="00BE1294">
        <w:rPr>
          <w:rFonts w:asciiTheme="minorHAnsi" w:eastAsia="Times New Roman" w:hAnsiTheme="minorHAnsi" w:cs="Calibri"/>
          <w:lang w:eastAsia="pt-BR"/>
        </w:rPr>
        <w:t>Wayand</w:t>
      </w:r>
      <w:proofErr w:type="spellEnd"/>
      <w:r w:rsidRPr="00BE1294">
        <w:rPr>
          <w:rFonts w:asciiTheme="minorHAnsi" w:eastAsia="Times New Roman" w:hAnsiTheme="minorHAnsi" w:cs="Calibri"/>
          <w:lang w:eastAsia="pt-BR"/>
        </w:rPr>
        <w:t xml:space="preserve"> Soares</w:t>
      </w:r>
    </w:p>
    <w:p w:rsidR="00D73FDC" w:rsidRDefault="00D73FDC" w:rsidP="00D73FDC">
      <w:pPr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  <w:r w:rsidRPr="00BE1294">
        <w:rPr>
          <w:rFonts w:asciiTheme="minorHAnsi" w:eastAsia="Times New Roman" w:hAnsiTheme="minorHAnsi" w:cs="Calibri"/>
          <w:lang w:eastAsia="pt-BR"/>
        </w:rPr>
        <w:t>Renata Ferreira Torres dos Santos</w:t>
      </w:r>
    </w:p>
    <w:p w:rsidR="00B06D91" w:rsidRPr="00B06D91" w:rsidRDefault="00B06D91" w:rsidP="00D73FDC">
      <w:pPr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</w:p>
    <w:p w:rsidR="00080D99" w:rsidRPr="00BE1294" w:rsidRDefault="00080D99" w:rsidP="00080D99">
      <w:pPr>
        <w:spacing w:after="0" w:line="240" w:lineRule="auto"/>
        <w:jc w:val="both"/>
        <w:rPr>
          <w:rFonts w:asciiTheme="minorHAnsi" w:hAnsiTheme="minorHAnsi" w:cs="Calibri"/>
          <w:b/>
          <w:bCs/>
          <w:color w:val="000000"/>
        </w:rPr>
      </w:pPr>
      <w:r>
        <w:rPr>
          <w:rFonts w:asciiTheme="minorHAnsi" w:hAnsiTheme="minorHAnsi" w:cs="Calibri"/>
          <w:b/>
          <w:bCs/>
          <w:color w:val="000000"/>
        </w:rPr>
        <w:t>NÚCLEOS</w:t>
      </w:r>
      <w:r w:rsidRPr="00BE1294">
        <w:rPr>
          <w:rFonts w:asciiTheme="minorHAnsi" w:hAnsiTheme="minorHAnsi" w:cs="Calibri"/>
          <w:b/>
          <w:bCs/>
          <w:color w:val="000000"/>
        </w:rPr>
        <w:t xml:space="preserve"> REGIONAIS DE FISCALIZAÇÃO</w:t>
      </w:r>
      <w:r>
        <w:rPr>
          <w:rFonts w:asciiTheme="minorHAnsi" w:hAnsiTheme="minorHAnsi" w:cs="Calibri"/>
          <w:b/>
          <w:bCs/>
          <w:color w:val="000000"/>
        </w:rPr>
        <w:t xml:space="preserve"> - ÁREA</w:t>
      </w:r>
      <w:r w:rsidRPr="00BE1294">
        <w:rPr>
          <w:rFonts w:asciiTheme="minorHAnsi" w:hAnsiTheme="minorHAnsi" w:cs="Calibri"/>
          <w:b/>
          <w:bCs/>
          <w:color w:val="000000"/>
        </w:rPr>
        <w:t xml:space="preserve"> DE ATUAÇÃO</w:t>
      </w:r>
    </w:p>
    <w:p w:rsidR="00080D99" w:rsidRDefault="00080D99" w:rsidP="00080D99">
      <w:pPr>
        <w:spacing w:after="0" w:line="240" w:lineRule="auto"/>
        <w:jc w:val="both"/>
        <w:rPr>
          <w:rFonts w:asciiTheme="minorHAnsi" w:hAnsiTheme="minorHAnsi" w:cs="Calibri"/>
          <w:b/>
          <w:bCs/>
          <w:color w:val="000000"/>
        </w:rPr>
      </w:pPr>
    </w:p>
    <w:p w:rsidR="00080D99" w:rsidRPr="008B16C7" w:rsidRDefault="00080D99" w:rsidP="00080D99">
      <w:pPr>
        <w:spacing w:after="0" w:line="240" w:lineRule="auto"/>
        <w:jc w:val="both"/>
        <w:rPr>
          <w:rFonts w:asciiTheme="minorHAnsi" w:eastAsia="Times New Roman" w:hAnsiTheme="minorHAnsi" w:cs="Calibri"/>
          <w:b/>
          <w:lang w:eastAsia="pt-BR"/>
        </w:rPr>
      </w:pPr>
      <w:r w:rsidRPr="008B16C7">
        <w:rPr>
          <w:rFonts w:asciiTheme="minorHAnsi" w:hAnsiTheme="minorHAnsi" w:cs="Calibri"/>
          <w:b/>
          <w:bCs/>
          <w:color w:val="000000"/>
        </w:rPr>
        <w:t>AMAZONAS</w:t>
      </w:r>
      <w:r w:rsidRPr="008B16C7">
        <w:rPr>
          <w:rFonts w:asciiTheme="minorHAnsi" w:eastAsia="Times New Roman" w:hAnsiTheme="minorHAnsi" w:cs="Calibri"/>
          <w:b/>
          <w:lang w:eastAsia="pt-BR"/>
        </w:rPr>
        <w:t xml:space="preserve"> - </w:t>
      </w:r>
      <w:r w:rsidRPr="008B16C7">
        <w:rPr>
          <w:rFonts w:asciiTheme="minorHAnsi" w:eastAsia="Times New Roman" w:hAnsiTheme="minorHAnsi" w:cs="Calibri"/>
          <w:lang w:eastAsia="pt-BR"/>
        </w:rPr>
        <w:t>Região Norte,</w:t>
      </w:r>
      <w:r w:rsidRPr="008B16C7">
        <w:rPr>
          <w:rFonts w:asciiTheme="minorHAnsi" w:eastAsia="Times New Roman" w:hAnsiTheme="minorHAnsi" w:cs="Calibri"/>
          <w:b/>
          <w:lang w:eastAsia="pt-BR"/>
        </w:rPr>
        <w:t xml:space="preserve"> </w:t>
      </w:r>
      <w:r w:rsidRPr="008B16C7">
        <w:rPr>
          <w:rFonts w:asciiTheme="minorHAnsi" w:eastAsia="Times New Roman" w:hAnsiTheme="minorHAnsi" w:cs="Calibri"/>
          <w:lang w:eastAsia="pt-BR"/>
        </w:rPr>
        <w:t xml:space="preserve">com exceção do </w:t>
      </w:r>
      <w:proofErr w:type="gramStart"/>
      <w:r w:rsidRPr="008B16C7">
        <w:rPr>
          <w:rFonts w:asciiTheme="minorHAnsi" w:eastAsia="Times New Roman" w:hAnsiTheme="minorHAnsi" w:cs="Calibri"/>
          <w:lang w:eastAsia="pt-BR"/>
        </w:rPr>
        <w:t>Tocantins</w:t>
      </w:r>
      <w:proofErr w:type="gramEnd"/>
      <w:r w:rsidRPr="008B16C7">
        <w:rPr>
          <w:rFonts w:asciiTheme="minorHAnsi" w:eastAsia="Times New Roman" w:hAnsiTheme="minorHAnsi" w:cs="Calibri"/>
          <w:lang w:eastAsia="pt-BR"/>
        </w:rPr>
        <w:t xml:space="preserve"> </w:t>
      </w:r>
      <w:r w:rsidRPr="008B16C7">
        <w:rPr>
          <w:rFonts w:asciiTheme="minorHAnsi" w:eastAsia="Times New Roman" w:hAnsiTheme="minorHAnsi" w:cs="Calibri"/>
          <w:b/>
          <w:lang w:eastAsia="pt-BR"/>
        </w:rPr>
        <w:t xml:space="preserve"> </w:t>
      </w:r>
    </w:p>
    <w:p w:rsidR="00080D99" w:rsidRPr="008B16C7" w:rsidRDefault="00080D99" w:rsidP="00080D99">
      <w:pPr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  <w:r w:rsidRPr="008B16C7">
        <w:rPr>
          <w:rFonts w:asciiTheme="minorHAnsi" w:eastAsia="Times New Roman" w:hAnsiTheme="minorHAnsi" w:cs="Calibri"/>
          <w:lang w:eastAsia="pt-BR"/>
        </w:rPr>
        <w:t xml:space="preserve">Leônidas Araújo </w:t>
      </w:r>
      <w:proofErr w:type="spellStart"/>
      <w:r w:rsidRPr="008B16C7">
        <w:rPr>
          <w:rFonts w:asciiTheme="minorHAnsi" w:eastAsia="Times New Roman" w:hAnsiTheme="minorHAnsi" w:cs="Calibri"/>
          <w:lang w:eastAsia="pt-BR"/>
        </w:rPr>
        <w:t>Vilhena</w:t>
      </w:r>
      <w:proofErr w:type="spellEnd"/>
      <w:r w:rsidRPr="008B16C7">
        <w:rPr>
          <w:rFonts w:asciiTheme="minorHAnsi" w:eastAsia="Times New Roman" w:hAnsiTheme="minorHAnsi" w:cs="Calibri"/>
          <w:lang w:eastAsia="pt-BR"/>
        </w:rPr>
        <w:t xml:space="preserve"> – Coordenador (interino)</w:t>
      </w:r>
    </w:p>
    <w:p w:rsidR="00080D99" w:rsidRPr="008B16C7" w:rsidRDefault="00080D99" w:rsidP="00080D99">
      <w:pPr>
        <w:spacing w:after="0" w:line="240" w:lineRule="auto"/>
        <w:jc w:val="both"/>
        <w:rPr>
          <w:rFonts w:asciiTheme="minorHAnsi" w:eastAsia="Times New Roman" w:hAnsiTheme="minorHAnsi" w:cs="Calibri"/>
          <w:sz w:val="12"/>
          <w:lang w:eastAsia="pt-BR"/>
        </w:rPr>
      </w:pPr>
    </w:p>
    <w:p w:rsidR="00080D99" w:rsidRPr="008B16C7" w:rsidRDefault="00080D99" w:rsidP="00080D99">
      <w:pPr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  <w:r w:rsidRPr="008B16C7">
        <w:rPr>
          <w:rFonts w:asciiTheme="minorHAnsi" w:hAnsiTheme="minorHAnsi" w:cs="Calibri"/>
          <w:b/>
          <w:bCs/>
          <w:color w:val="000000"/>
        </w:rPr>
        <w:t>BAHIA -</w:t>
      </w:r>
      <w:r w:rsidRPr="008B16C7">
        <w:rPr>
          <w:rFonts w:asciiTheme="minorHAnsi" w:eastAsia="Times New Roman" w:hAnsiTheme="minorHAnsi" w:cs="Calibri"/>
          <w:b/>
          <w:lang w:eastAsia="pt-BR"/>
        </w:rPr>
        <w:t xml:space="preserve"> </w:t>
      </w:r>
      <w:r w:rsidRPr="008B16C7">
        <w:rPr>
          <w:rFonts w:asciiTheme="minorHAnsi" w:eastAsia="Times New Roman" w:hAnsiTheme="minorHAnsi" w:cs="Calibri"/>
          <w:lang w:eastAsia="pt-BR"/>
        </w:rPr>
        <w:t xml:space="preserve">Região Nordeste </w:t>
      </w:r>
    </w:p>
    <w:p w:rsidR="00080D99" w:rsidRPr="008B16C7" w:rsidRDefault="00080D99" w:rsidP="00080D99">
      <w:pPr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  <w:r w:rsidRPr="008B16C7">
        <w:rPr>
          <w:rFonts w:asciiTheme="minorHAnsi" w:eastAsia="Times New Roman" w:hAnsiTheme="minorHAnsi" w:cs="Calibri"/>
          <w:lang w:eastAsia="pt-BR"/>
        </w:rPr>
        <w:t>Noel Moreira Santos – Coordenador</w:t>
      </w:r>
    </w:p>
    <w:p w:rsidR="00080D99" w:rsidRPr="008B16C7" w:rsidRDefault="00080D99" w:rsidP="00080D99">
      <w:pPr>
        <w:spacing w:after="0" w:line="240" w:lineRule="auto"/>
        <w:jc w:val="both"/>
        <w:rPr>
          <w:rFonts w:asciiTheme="minorHAnsi" w:eastAsia="Times New Roman" w:hAnsiTheme="minorHAnsi" w:cs="Calibri"/>
          <w:sz w:val="12"/>
          <w:lang w:eastAsia="pt-BR"/>
        </w:rPr>
      </w:pPr>
    </w:p>
    <w:p w:rsidR="00080D99" w:rsidRPr="008B16C7" w:rsidRDefault="00080D99" w:rsidP="00080D99">
      <w:pPr>
        <w:spacing w:after="0" w:line="240" w:lineRule="auto"/>
        <w:jc w:val="both"/>
        <w:rPr>
          <w:rFonts w:asciiTheme="minorHAnsi" w:eastAsia="Times New Roman" w:hAnsiTheme="minorHAnsi" w:cs="Calibri"/>
          <w:b/>
          <w:lang w:eastAsia="pt-BR"/>
        </w:rPr>
      </w:pPr>
      <w:r w:rsidRPr="008B16C7">
        <w:rPr>
          <w:rFonts w:asciiTheme="minorHAnsi" w:hAnsiTheme="minorHAnsi" w:cs="Calibri"/>
          <w:b/>
          <w:bCs/>
          <w:color w:val="000000"/>
        </w:rPr>
        <w:t>BRASÍLIA -</w:t>
      </w:r>
      <w:r w:rsidRPr="008B16C7">
        <w:rPr>
          <w:rFonts w:asciiTheme="minorHAnsi" w:eastAsia="Times New Roman" w:hAnsiTheme="minorHAnsi" w:cs="Calibri"/>
          <w:b/>
          <w:lang w:eastAsia="pt-BR"/>
        </w:rPr>
        <w:t xml:space="preserve"> </w:t>
      </w:r>
      <w:r w:rsidRPr="008B16C7">
        <w:rPr>
          <w:rFonts w:asciiTheme="minorHAnsi" w:eastAsia="Times New Roman" w:hAnsiTheme="minorHAnsi" w:cs="Calibri"/>
          <w:lang w:eastAsia="pt-BR"/>
        </w:rPr>
        <w:t>Região</w:t>
      </w:r>
      <w:r w:rsidRPr="008B16C7">
        <w:rPr>
          <w:rFonts w:asciiTheme="minorHAnsi" w:eastAsia="Times New Roman" w:hAnsiTheme="minorHAnsi" w:cs="Calibri"/>
          <w:b/>
          <w:lang w:eastAsia="pt-BR"/>
        </w:rPr>
        <w:t xml:space="preserve"> </w:t>
      </w:r>
      <w:r w:rsidRPr="008B16C7">
        <w:rPr>
          <w:rFonts w:asciiTheme="minorHAnsi" w:eastAsia="Times New Roman" w:hAnsiTheme="minorHAnsi" w:cs="Calibri"/>
          <w:lang w:eastAsia="pt-BR"/>
        </w:rPr>
        <w:t>Centro-Oeste e Tocantins</w:t>
      </w:r>
    </w:p>
    <w:p w:rsidR="00080D99" w:rsidRPr="008B16C7" w:rsidRDefault="00080D99" w:rsidP="00080D99">
      <w:pPr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  <w:r w:rsidRPr="008B16C7">
        <w:rPr>
          <w:rFonts w:asciiTheme="minorHAnsi" w:eastAsia="Times New Roman" w:hAnsiTheme="minorHAnsi" w:cs="Calibri"/>
          <w:lang w:eastAsia="pt-BR"/>
        </w:rPr>
        <w:t>Luciano José Fernandes – Coordenador</w:t>
      </w:r>
    </w:p>
    <w:p w:rsidR="00080D99" w:rsidRPr="008B16C7" w:rsidRDefault="00080D99" w:rsidP="00080D99">
      <w:pPr>
        <w:spacing w:after="0" w:line="240" w:lineRule="auto"/>
        <w:jc w:val="both"/>
        <w:rPr>
          <w:rFonts w:asciiTheme="minorHAnsi" w:eastAsia="Times New Roman" w:hAnsiTheme="minorHAnsi" w:cs="Calibri"/>
          <w:sz w:val="12"/>
          <w:lang w:eastAsia="pt-BR"/>
        </w:rPr>
      </w:pPr>
    </w:p>
    <w:p w:rsidR="00080D99" w:rsidRPr="008B16C7" w:rsidRDefault="00080D99" w:rsidP="00080D99">
      <w:pPr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  <w:r w:rsidRPr="008B16C7">
        <w:rPr>
          <w:rFonts w:asciiTheme="minorHAnsi" w:hAnsiTheme="minorHAnsi" w:cs="Calibri"/>
          <w:b/>
          <w:bCs/>
          <w:color w:val="000000"/>
        </w:rPr>
        <w:t xml:space="preserve">MINAS </w:t>
      </w:r>
      <w:proofErr w:type="gramStart"/>
      <w:r w:rsidRPr="008B16C7">
        <w:rPr>
          <w:rFonts w:asciiTheme="minorHAnsi" w:hAnsiTheme="minorHAnsi" w:cs="Calibri"/>
          <w:b/>
          <w:bCs/>
          <w:color w:val="000000"/>
        </w:rPr>
        <w:t xml:space="preserve">GERAIS - </w:t>
      </w:r>
      <w:r w:rsidRPr="008B16C7">
        <w:rPr>
          <w:rFonts w:asciiTheme="minorHAnsi" w:eastAsia="Times New Roman" w:hAnsiTheme="minorHAnsi" w:cs="Calibri"/>
          <w:lang w:eastAsia="pt-BR"/>
        </w:rPr>
        <w:t>Estado de Minas Gerais</w:t>
      </w:r>
      <w:proofErr w:type="gramEnd"/>
    </w:p>
    <w:p w:rsidR="00080D99" w:rsidRPr="008B16C7" w:rsidRDefault="00080D99" w:rsidP="00080D99">
      <w:pPr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  <w:r w:rsidRPr="008B16C7">
        <w:rPr>
          <w:rFonts w:asciiTheme="minorHAnsi" w:eastAsia="Times New Roman" w:hAnsiTheme="minorHAnsi" w:cs="Calibri"/>
          <w:lang w:eastAsia="pt-BR"/>
        </w:rPr>
        <w:t xml:space="preserve">Adriano </w:t>
      </w:r>
      <w:proofErr w:type="spellStart"/>
      <w:r w:rsidRPr="008B16C7">
        <w:rPr>
          <w:rFonts w:asciiTheme="minorHAnsi" w:eastAsia="Times New Roman" w:hAnsiTheme="minorHAnsi" w:cs="Calibri"/>
          <w:lang w:eastAsia="pt-BR"/>
        </w:rPr>
        <w:t>Sverberi</w:t>
      </w:r>
      <w:proofErr w:type="spellEnd"/>
      <w:r w:rsidRPr="008B16C7">
        <w:rPr>
          <w:rFonts w:asciiTheme="minorHAnsi" w:eastAsia="Times New Roman" w:hAnsiTheme="minorHAnsi" w:cs="Calibri"/>
          <w:lang w:eastAsia="pt-BR"/>
        </w:rPr>
        <w:t xml:space="preserve"> Abreu – Coordenador</w:t>
      </w:r>
    </w:p>
    <w:p w:rsidR="00080D99" w:rsidRPr="008B16C7" w:rsidRDefault="00080D99" w:rsidP="00080D99">
      <w:pPr>
        <w:spacing w:after="0" w:line="240" w:lineRule="auto"/>
        <w:jc w:val="both"/>
        <w:rPr>
          <w:rFonts w:asciiTheme="minorHAnsi" w:eastAsia="Times New Roman" w:hAnsiTheme="minorHAnsi" w:cs="Calibri"/>
          <w:b/>
          <w:sz w:val="12"/>
          <w:szCs w:val="10"/>
          <w:lang w:eastAsia="pt-BR"/>
        </w:rPr>
      </w:pPr>
    </w:p>
    <w:p w:rsidR="00080D99" w:rsidRPr="008B16C7" w:rsidRDefault="00080D99" w:rsidP="00080D99">
      <w:pPr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  <w:r w:rsidRPr="008B16C7">
        <w:rPr>
          <w:rFonts w:asciiTheme="minorHAnsi" w:hAnsiTheme="minorHAnsi" w:cs="Calibri"/>
          <w:b/>
          <w:bCs/>
          <w:color w:val="000000"/>
        </w:rPr>
        <w:t>RIO DE JANEIRO -</w:t>
      </w:r>
      <w:r w:rsidRPr="008B16C7">
        <w:rPr>
          <w:rFonts w:asciiTheme="minorHAnsi" w:eastAsia="Times New Roman" w:hAnsiTheme="minorHAnsi" w:cs="Calibri"/>
          <w:b/>
          <w:lang w:eastAsia="pt-BR"/>
        </w:rPr>
        <w:t xml:space="preserve"> </w:t>
      </w:r>
      <w:r w:rsidRPr="008B16C7">
        <w:rPr>
          <w:rFonts w:asciiTheme="minorHAnsi" w:eastAsia="Times New Roman" w:hAnsiTheme="minorHAnsi" w:cs="Calibri"/>
          <w:lang w:eastAsia="pt-BR"/>
        </w:rPr>
        <w:t>Estados do Rio de Janeiro e Espírito Santo</w:t>
      </w:r>
    </w:p>
    <w:p w:rsidR="00080D99" w:rsidRPr="008B16C7" w:rsidRDefault="00080D99" w:rsidP="00080D99">
      <w:pPr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  <w:r w:rsidRPr="008B16C7">
        <w:rPr>
          <w:rFonts w:asciiTheme="minorHAnsi" w:eastAsia="Times New Roman" w:hAnsiTheme="minorHAnsi" w:cs="Calibri"/>
          <w:lang w:eastAsia="pt-BR"/>
        </w:rPr>
        <w:t xml:space="preserve">Ary Sergio de Souza </w:t>
      </w:r>
      <w:proofErr w:type="spellStart"/>
      <w:r w:rsidRPr="008B16C7">
        <w:rPr>
          <w:rFonts w:asciiTheme="minorHAnsi" w:eastAsia="Times New Roman" w:hAnsiTheme="minorHAnsi" w:cs="Calibri"/>
          <w:lang w:eastAsia="pt-BR"/>
        </w:rPr>
        <w:t>Bello</w:t>
      </w:r>
      <w:proofErr w:type="spellEnd"/>
      <w:r w:rsidRPr="008B16C7">
        <w:rPr>
          <w:rFonts w:asciiTheme="minorHAnsi" w:eastAsia="Times New Roman" w:hAnsiTheme="minorHAnsi" w:cs="Calibri"/>
          <w:lang w:eastAsia="pt-BR"/>
        </w:rPr>
        <w:t xml:space="preserve"> Junior – Coordenador</w:t>
      </w:r>
    </w:p>
    <w:p w:rsidR="00080D99" w:rsidRPr="008B16C7" w:rsidRDefault="00080D99" w:rsidP="00080D99">
      <w:pPr>
        <w:spacing w:after="0" w:line="240" w:lineRule="auto"/>
        <w:jc w:val="both"/>
        <w:rPr>
          <w:rFonts w:asciiTheme="minorHAnsi" w:eastAsia="Times New Roman" w:hAnsiTheme="minorHAnsi" w:cs="Calibri"/>
          <w:sz w:val="12"/>
          <w:lang w:eastAsia="pt-BR"/>
        </w:rPr>
      </w:pPr>
    </w:p>
    <w:p w:rsidR="00080D99" w:rsidRPr="008B16C7" w:rsidRDefault="00080D99" w:rsidP="00080D99">
      <w:pPr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  <w:r w:rsidRPr="008B16C7">
        <w:rPr>
          <w:rFonts w:asciiTheme="minorHAnsi" w:hAnsiTheme="minorHAnsi" w:cs="Calibri"/>
          <w:b/>
          <w:bCs/>
          <w:color w:val="000000"/>
        </w:rPr>
        <w:t xml:space="preserve">RIO GRANDE DO SUL - </w:t>
      </w:r>
      <w:r w:rsidRPr="008B16C7">
        <w:rPr>
          <w:rFonts w:asciiTheme="minorHAnsi" w:eastAsia="Times New Roman" w:hAnsiTheme="minorHAnsi" w:cs="Calibri"/>
          <w:lang w:eastAsia="pt-BR"/>
        </w:rPr>
        <w:t xml:space="preserve">Estados do Rio Grande do Sul e Santa Catarina </w:t>
      </w:r>
    </w:p>
    <w:p w:rsidR="00080D99" w:rsidRPr="008B16C7" w:rsidRDefault="00080D99" w:rsidP="00080D99">
      <w:pPr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  <w:r w:rsidRPr="008B16C7">
        <w:rPr>
          <w:rFonts w:asciiTheme="minorHAnsi" w:eastAsia="Times New Roman" w:hAnsiTheme="minorHAnsi" w:cs="Calibri"/>
          <w:lang w:eastAsia="pt-BR"/>
        </w:rPr>
        <w:t xml:space="preserve">Mauro Motta </w:t>
      </w:r>
      <w:proofErr w:type="spellStart"/>
      <w:r w:rsidRPr="008B16C7">
        <w:rPr>
          <w:rFonts w:asciiTheme="minorHAnsi" w:eastAsia="Times New Roman" w:hAnsiTheme="minorHAnsi" w:cs="Calibri"/>
          <w:lang w:eastAsia="pt-BR"/>
        </w:rPr>
        <w:t>Laporte</w:t>
      </w:r>
      <w:proofErr w:type="spellEnd"/>
      <w:r w:rsidRPr="008B16C7">
        <w:rPr>
          <w:rFonts w:asciiTheme="minorHAnsi" w:eastAsia="Times New Roman" w:hAnsiTheme="minorHAnsi" w:cs="Calibri"/>
          <w:lang w:eastAsia="pt-BR"/>
        </w:rPr>
        <w:t xml:space="preserve"> – Coordenador</w:t>
      </w:r>
    </w:p>
    <w:p w:rsidR="00080D99" w:rsidRPr="008B16C7" w:rsidRDefault="00080D99" w:rsidP="00080D99">
      <w:pPr>
        <w:spacing w:after="0" w:line="240" w:lineRule="auto"/>
        <w:jc w:val="both"/>
        <w:rPr>
          <w:rFonts w:asciiTheme="minorHAnsi" w:eastAsia="Times New Roman" w:hAnsiTheme="minorHAnsi" w:cs="Calibri"/>
          <w:sz w:val="12"/>
          <w:lang w:eastAsia="pt-BR"/>
        </w:rPr>
      </w:pPr>
    </w:p>
    <w:p w:rsidR="00080D99" w:rsidRPr="008B16C7" w:rsidRDefault="00080D99" w:rsidP="00080D99">
      <w:pPr>
        <w:spacing w:after="0" w:line="240" w:lineRule="auto"/>
        <w:jc w:val="both"/>
        <w:rPr>
          <w:rFonts w:asciiTheme="minorHAnsi" w:eastAsia="Times New Roman" w:hAnsiTheme="minorHAnsi" w:cs="Calibri"/>
          <w:lang w:eastAsia="pt-BR"/>
        </w:rPr>
      </w:pPr>
      <w:proofErr w:type="gramStart"/>
      <w:r w:rsidRPr="008B16C7">
        <w:rPr>
          <w:rFonts w:asciiTheme="minorHAnsi" w:hAnsiTheme="minorHAnsi" w:cs="Calibri"/>
          <w:b/>
          <w:bCs/>
          <w:color w:val="000000"/>
        </w:rPr>
        <w:t>SÃO PAULO -</w:t>
      </w:r>
      <w:r w:rsidRPr="008B16C7">
        <w:rPr>
          <w:rFonts w:asciiTheme="minorHAnsi" w:eastAsia="Times New Roman" w:hAnsiTheme="minorHAnsi" w:cs="Calibri"/>
          <w:b/>
          <w:lang w:eastAsia="pt-BR"/>
        </w:rPr>
        <w:t xml:space="preserve"> </w:t>
      </w:r>
      <w:r w:rsidRPr="008B16C7">
        <w:rPr>
          <w:rFonts w:asciiTheme="minorHAnsi" w:eastAsia="Times New Roman" w:hAnsiTheme="minorHAnsi" w:cs="Calibri"/>
          <w:lang w:eastAsia="pt-BR"/>
        </w:rPr>
        <w:t>Estados de São Paulo e Paraná</w:t>
      </w:r>
      <w:proofErr w:type="gramEnd"/>
      <w:r w:rsidRPr="008B16C7">
        <w:rPr>
          <w:rFonts w:asciiTheme="minorHAnsi" w:eastAsia="Times New Roman" w:hAnsiTheme="minorHAnsi" w:cs="Calibri"/>
          <w:lang w:eastAsia="pt-BR"/>
        </w:rPr>
        <w:t xml:space="preserve"> </w:t>
      </w:r>
    </w:p>
    <w:p w:rsidR="00080D99" w:rsidRDefault="00080D99" w:rsidP="00080D99">
      <w:pPr>
        <w:spacing w:after="0" w:line="240" w:lineRule="auto"/>
        <w:jc w:val="both"/>
      </w:pPr>
      <w:r w:rsidRPr="008B16C7">
        <w:rPr>
          <w:rFonts w:asciiTheme="minorHAnsi" w:eastAsia="Times New Roman" w:hAnsiTheme="minorHAnsi" w:cs="Calibri"/>
          <w:lang w:eastAsia="pt-BR"/>
        </w:rPr>
        <w:t xml:space="preserve">Roberto Jonas </w:t>
      </w:r>
      <w:proofErr w:type="spellStart"/>
      <w:r w:rsidRPr="008B16C7">
        <w:rPr>
          <w:rFonts w:asciiTheme="minorHAnsi" w:eastAsia="Times New Roman" w:hAnsiTheme="minorHAnsi" w:cs="Calibri"/>
          <w:lang w:eastAsia="pt-BR"/>
        </w:rPr>
        <w:t>Saldys</w:t>
      </w:r>
      <w:proofErr w:type="spellEnd"/>
      <w:r w:rsidRPr="008B16C7">
        <w:rPr>
          <w:rFonts w:asciiTheme="minorHAnsi" w:eastAsia="Times New Roman" w:hAnsiTheme="minorHAnsi" w:cs="Calibri"/>
          <w:lang w:eastAsia="pt-BR"/>
        </w:rPr>
        <w:t xml:space="preserve"> – Coordenador</w:t>
      </w:r>
      <w:r>
        <w:t xml:space="preserve"> </w:t>
      </w:r>
    </w:p>
    <w:p w:rsidR="00AD3FCC" w:rsidRDefault="005923B3" w:rsidP="006A1408">
      <w:pPr>
        <w:spacing w:before="360" w:after="0"/>
        <w:jc w:val="center"/>
      </w:pPr>
      <w:r>
        <w:br w:type="page"/>
      </w:r>
      <w:bookmarkStart w:id="1" w:name="_Toc410404566"/>
    </w:p>
    <w:p w:rsidR="006A1408" w:rsidRPr="007E7787" w:rsidRDefault="006A1408" w:rsidP="006A1408">
      <w:pPr>
        <w:spacing w:before="360" w:after="0"/>
        <w:jc w:val="center"/>
        <w:rPr>
          <w:rFonts w:ascii="Cambria" w:hAnsi="Cambria"/>
          <w:b/>
          <w:color w:val="E36C0A"/>
          <w:sz w:val="20"/>
          <w:szCs w:val="20"/>
          <w:lang w:eastAsia="pt-BR"/>
        </w:rPr>
      </w:pPr>
      <w:r w:rsidRPr="002F4554">
        <w:rPr>
          <w:rFonts w:ascii="Cambria" w:hAnsi="Cambria"/>
          <w:b/>
          <w:color w:val="E36C0A"/>
          <w:sz w:val="24"/>
          <w:lang w:eastAsia="pt-BR"/>
        </w:rPr>
        <w:lastRenderedPageBreak/>
        <w:t>MENSAGEM D</w:t>
      </w:r>
      <w:r>
        <w:rPr>
          <w:rFonts w:ascii="Cambria" w:hAnsi="Cambria"/>
          <w:b/>
          <w:color w:val="E36C0A"/>
          <w:sz w:val="24"/>
          <w:lang w:eastAsia="pt-BR"/>
        </w:rPr>
        <w:t>O</w:t>
      </w:r>
      <w:r w:rsidRPr="002F4554">
        <w:rPr>
          <w:rFonts w:ascii="Cambria" w:hAnsi="Cambria"/>
          <w:b/>
          <w:color w:val="E36C0A"/>
          <w:sz w:val="24"/>
          <w:lang w:eastAsia="pt-BR"/>
        </w:rPr>
        <w:t xml:space="preserve"> DIRETOR</w:t>
      </w:r>
      <w:bookmarkEnd w:id="1"/>
    </w:p>
    <w:p w:rsidR="006A1408" w:rsidRPr="006A1408" w:rsidRDefault="006A1408" w:rsidP="006A1408">
      <w:pPr>
        <w:spacing w:after="0" w:line="240" w:lineRule="auto"/>
        <w:jc w:val="both"/>
      </w:pPr>
    </w:p>
    <w:p w:rsidR="000303A1" w:rsidRDefault="000303A1" w:rsidP="000303A1">
      <w:pPr>
        <w:spacing w:after="0" w:line="240" w:lineRule="auto"/>
        <w:jc w:val="both"/>
      </w:pPr>
      <w:r>
        <w:t xml:space="preserve">O trabalho de fiscalização do Abastecimento Nacional de Combustíveis realizado pela Agência Nacional do Petróleo, Gás </w:t>
      </w:r>
      <w:proofErr w:type="gramStart"/>
      <w:r>
        <w:t>Natural e Biocombustíveis, no primeiro semestre do ano de 2017</w:t>
      </w:r>
      <w:proofErr w:type="gramEnd"/>
      <w:r>
        <w:t xml:space="preserve">, manteve a linha de atuação intensiva, procurando identificar e coibir as irregularidades existentes no mercado. Houve ajustes que apontam para a simplificação e racionalização das normas do setor econômico, no sentido de orientar a ação administrativa de modo a contribuir com a retomada do desenvolvimento econômico da indústria do petróleo, </w:t>
      </w:r>
      <w:proofErr w:type="gramStart"/>
      <w:r>
        <w:t>gás natural e biocombustíveis</w:t>
      </w:r>
      <w:proofErr w:type="gramEnd"/>
      <w:r>
        <w:t>.</w:t>
      </w:r>
    </w:p>
    <w:p w:rsidR="000303A1" w:rsidRDefault="000303A1" w:rsidP="000303A1">
      <w:pPr>
        <w:spacing w:after="0" w:line="240" w:lineRule="auto"/>
        <w:jc w:val="both"/>
      </w:pPr>
    </w:p>
    <w:p w:rsidR="000303A1" w:rsidRDefault="000303A1" w:rsidP="000303A1">
      <w:pPr>
        <w:spacing w:after="0" w:line="240" w:lineRule="auto"/>
        <w:jc w:val="both"/>
      </w:pPr>
      <w:r>
        <w:t>A ANP vem aperfeiçoando a cada dia o planejamento da fiscalização, tornando-a mais assertiva e eficaz. Nesse sentido, implantou em todas as Unidades de Fiscalização um novo sistema de inteligência (SISPLAN), que permite levantar e cruzar dados dos sistemas da ANP com os de outros órgãos públicos que atuam nesse mercado.</w:t>
      </w:r>
    </w:p>
    <w:p w:rsidR="000303A1" w:rsidRDefault="000303A1" w:rsidP="000303A1">
      <w:pPr>
        <w:spacing w:after="0" w:line="240" w:lineRule="auto"/>
        <w:jc w:val="both"/>
      </w:pPr>
    </w:p>
    <w:p w:rsidR="000303A1" w:rsidRDefault="000303A1" w:rsidP="000303A1">
      <w:pPr>
        <w:spacing w:after="0" w:line="240" w:lineRule="auto"/>
        <w:jc w:val="both"/>
      </w:pPr>
      <w:r>
        <w:t>Os resultados podem ser vistos no</w:t>
      </w:r>
      <w:proofErr w:type="gramStart"/>
      <w:r>
        <w:t xml:space="preserve">  </w:t>
      </w:r>
      <w:proofErr w:type="gramEnd"/>
      <w:r>
        <w:t xml:space="preserve">Programa de Monitoramento da Qualidade dos Combustíveis (PMQC), principal instrumento para direcionar a fiscalização, que apresenta índices de conformidades de combustíveis no Brasil dentro dos padrões internacionais. Em junho de 2017, os índices de conformidade do Brasil foram de 98,5% para gasolina, 98,7% para etanol e 96,2% para óleo diesel. </w:t>
      </w:r>
    </w:p>
    <w:p w:rsidR="000303A1" w:rsidRDefault="000303A1" w:rsidP="000303A1">
      <w:pPr>
        <w:spacing w:after="0" w:line="240" w:lineRule="auto"/>
        <w:jc w:val="both"/>
      </w:pPr>
      <w:r>
        <w:t xml:space="preserve">          </w:t>
      </w:r>
    </w:p>
    <w:p w:rsidR="000303A1" w:rsidRDefault="000303A1" w:rsidP="000303A1">
      <w:pPr>
        <w:spacing w:after="0" w:line="240" w:lineRule="auto"/>
        <w:jc w:val="both"/>
      </w:pPr>
      <w:r>
        <w:t xml:space="preserve">Essa atuação mais assertiva permitiu à ANP tornar mais eficiente </w:t>
      </w:r>
      <w:proofErr w:type="gramStart"/>
      <w:r>
        <w:t>a</w:t>
      </w:r>
      <w:proofErr w:type="gramEnd"/>
      <w:r>
        <w:t xml:space="preserve"> dosimetria das penas em seus processos administrativos, além de possibilitar uma atuação com viés educativo nas irregularidades com menor potencial lesivo à sociedade.</w:t>
      </w:r>
    </w:p>
    <w:p w:rsidR="000303A1" w:rsidRDefault="000303A1" w:rsidP="000303A1">
      <w:pPr>
        <w:spacing w:after="0" w:line="240" w:lineRule="auto"/>
        <w:jc w:val="both"/>
      </w:pPr>
    </w:p>
    <w:p w:rsidR="000303A1" w:rsidRDefault="000303A1" w:rsidP="000303A1">
      <w:pPr>
        <w:spacing w:after="0" w:line="240" w:lineRule="auto"/>
        <w:jc w:val="both"/>
      </w:pPr>
      <w:r>
        <w:t>Convém ainda ressaltar o esforço empreendido pela Agência formação de parcerias com órgãos de diferentes esferas da administração pública, seja por meio de convênios ou de ações conjuntas nos moldes das forças-tarefa.</w:t>
      </w:r>
    </w:p>
    <w:p w:rsidR="000303A1" w:rsidRDefault="000303A1" w:rsidP="000303A1">
      <w:pPr>
        <w:spacing w:after="0" w:line="240" w:lineRule="auto"/>
        <w:jc w:val="both"/>
      </w:pPr>
    </w:p>
    <w:p w:rsidR="006A1408" w:rsidRPr="006A1408" w:rsidRDefault="000303A1" w:rsidP="000303A1">
      <w:pPr>
        <w:spacing w:after="0" w:line="240" w:lineRule="auto"/>
        <w:jc w:val="both"/>
      </w:pPr>
      <w:r>
        <w:t>Por fim, a participação do consumidor é parte fundamental na fiscalização da qualidade dos combustíveis. Ao exercer o seus direitos, pedindo nota fiscal e a realização dos testes de qualidades, quando achar necessário, o consumidor inibe as práticas lesivas ao mercado saudável e competitivo.</w:t>
      </w:r>
      <w:proofErr w:type="gramStart"/>
      <w:r w:rsidR="006A1408" w:rsidRPr="006A1408">
        <w:tab/>
      </w:r>
      <w:proofErr w:type="gramEnd"/>
    </w:p>
    <w:p w:rsidR="006A1408" w:rsidRPr="006A1408" w:rsidRDefault="006A1408" w:rsidP="006A1408">
      <w:pPr>
        <w:spacing w:after="0" w:line="240" w:lineRule="auto"/>
        <w:jc w:val="both"/>
      </w:pPr>
    </w:p>
    <w:p w:rsidR="006A1408" w:rsidRDefault="006A1408" w:rsidP="006A1408">
      <w:pPr>
        <w:spacing w:after="0" w:line="240" w:lineRule="auto"/>
        <w:jc w:val="both"/>
      </w:pPr>
    </w:p>
    <w:p w:rsidR="006A1408" w:rsidRPr="006A1408" w:rsidRDefault="006A1408" w:rsidP="006A1408">
      <w:pPr>
        <w:spacing w:after="0" w:line="240" w:lineRule="auto"/>
        <w:jc w:val="both"/>
      </w:pPr>
    </w:p>
    <w:p w:rsidR="006A1408" w:rsidRPr="006A1408" w:rsidRDefault="006A1408" w:rsidP="006A1408">
      <w:pPr>
        <w:spacing w:after="0" w:line="240" w:lineRule="auto"/>
        <w:jc w:val="both"/>
      </w:pPr>
    </w:p>
    <w:p w:rsidR="006A1408" w:rsidRPr="006A1408" w:rsidRDefault="006A1408" w:rsidP="006A1408">
      <w:pPr>
        <w:spacing w:after="0" w:line="240" w:lineRule="auto"/>
        <w:jc w:val="both"/>
      </w:pPr>
    </w:p>
    <w:p w:rsidR="006A1408" w:rsidRPr="0000471B" w:rsidRDefault="006A1408" w:rsidP="006A1408">
      <w:pPr>
        <w:spacing w:after="0" w:line="240" w:lineRule="auto"/>
        <w:jc w:val="right"/>
      </w:pPr>
      <w:r w:rsidRPr="0000471B">
        <w:t>Aurélio Cesar Nogueira Amaral</w:t>
      </w:r>
    </w:p>
    <w:p w:rsidR="006A1408" w:rsidRPr="00AD3FCC" w:rsidRDefault="006A1408" w:rsidP="006A1408">
      <w:pPr>
        <w:spacing w:after="0" w:line="240" w:lineRule="auto"/>
        <w:jc w:val="right"/>
        <w:rPr>
          <w:b/>
        </w:rPr>
      </w:pPr>
      <w:r w:rsidRPr="00AD3FCC">
        <w:rPr>
          <w:b/>
        </w:rPr>
        <w:t>Diretor</w:t>
      </w:r>
    </w:p>
    <w:p w:rsidR="006A1408" w:rsidRPr="006A1408" w:rsidRDefault="006A1408" w:rsidP="006A1408">
      <w:pPr>
        <w:spacing w:after="0" w:line="240" w:lineRule="auto"/>
        <w:jc w:val="both"/>
      </w:pPr>
    </w:p>
    <w:p w:rsidR="006A1408" w:rsidRPr="006A1408" w:rsidRDefault="006A1408" w:rsidP="006A1408">
      <w:pPr>
        <w:spacing w:after="0" w:line="240" w:lineRule="auto"/>
        <w:jc w:val="both"/>
      </w:pPr>
    </w:p>
    <w:p w:rsidR="006A1408" w:rsidRDefault="006A1408" w:rsidP="005923B3">
      <w:pPr>
        <w:pStyle w:val="CabealhodoSumrio"/>
        <w:jc w:val="center"/>
        <w:rPr>
          <w:rFonts w:ascii="Calibri" w:eastAsia="Calibri" w:hAnsi="Calibri"/>
          <w:b w:val="0"/>
          <w:bCs w:val="0"/>
          <w:color w:val="auto"/>
          <w:sz w:val="22"/>
          <w:szCs w:val="22"/>
          <w:highlight w:val="yellow"/>
        </w:rPr>
      </w:pPr>
    </w:p>
    <w:p w:rsidR="006A1408" w:rsidRPr="006A1408" w:rsidRDefault="006A1408" w:rsidP="006A1408">
      <w:pPr>
        <w:rPr>
          <w:highlight w:val="yellow"/>
        </w:rPr>
      </w:pPr>
    </w:p>
    <w:p w:rsidR="006A1408" w:rsidRDefault="006A1408" w:rsidP="005923B3">
      <w:pPr>
        <w:pStyle w:val="CabealhodoSumrio"/>
        <w:jc w:val="center"/>
        <w:rPr>
          <w:rFonts w:ascii="Calibri" w:eastAsia="Calibri" w:hAnsi="Calibri"/>
          <w:b w:val="0"/>
          <w:bCs w:val="0"/>
          <w:color w:val="auto"/>
          <w:sz w:val="22"/>
          <w:szCs w:val="22"/>
          <w:highlight w:val="yellow"/>
        </w:rPr>
      </w:pPr>
    </w:p>
    <w:p w:rsidR="006A1408" w:rsidRDefault="006A1408" w:rsidP="006A1408">
      <w:pPr>
        <w:rPr>
          <w:highlight w:val="yellow"/>
        </w:rPr>
      </w:pPr>
    </w:p>
    <w:p w:rsidR="006A1408" w:rsidRDefault="006A1408" w:rsidP="006A1408">
      <w:pPr>
        <w:rPr>
          <w:highlight w:val="yellow"/>
        </w:rPr>
      </w:pPr>
    </w:p>
    <w:p w:rsidR="006A1408" w:rsidRPr="006A1408" w:rsidRDefault="006A1408" w:rsidP="006A1408">
      <w:pPr>
        <w:rPr>
          <w:highlight w:val="yellow"/>
        </w:rPr>
      </w:pPr>
    </w:p>
    <w:sdt>
      <w:sdtPr>
        <w:rPr>
          <w:rFonts w:ascii="Calibri" w:eastAsia="Calibri" w:hAnsi="Calibri"/>
          <w:b w:val="0"/>
          <w:bCs w:val="0"/>
          <w:color w:val="auto"/>
          <w:sz w:val="22"/>
          <w:szCs w:val="22"/>
          <w:highlight w:val="yellow"/>
        </w:rPr>
        <w:id w:val="95725039"/>
        <w:docPartObj>
          <w:docPartGallery w:val="Table of Contents"/>
          <w:docPartUnique/>
        </w:docPartObj>
      </w:sdtPr>
      <w:sdtContent>
        <w:p w:rsidR="005923B3" w:rsidRPr="00AE1AF7" w:rsidRDefault="005923B3" w:rsidP="005923B3">
          <w:pPr>
            <w:pStyle w:val="CabealhodoSumrio"/>
            <w:jc w:val="center"/>
          </w:pPr>
          <w:r w:rsidRPr="00AE1AF7">
            <w:rPr>
              <w:rFonts w:eastAsia="Calibri"/>
              <w:bCs w:val="0"/>
              <w:color w:val="E36C0A"/>
              <w:sz w:val="24"/>
              <w:szCs w:val="22"/>
              <w:lang w:eastAsia="pt-BR"/>
            </w:rPr>
            <w:t>SUMÁRIO</w:t>
          </w:r>
        </w:p>
        <w:p w:rsidR="005923B3" w:rsidRPr="00385448" w:rsidRDefault="005923B3" w:rsidP="005923B3">
          <w:pPr>
            <w:rPr>
              <w:highlight w:val="yellow"/>
            </w:rPr>
          </w:pPr>
        </w:p>
        <w:p w:rsidR="00E616E1" w:rsidRDefault="00B43068">
          <w:pPr>
            <w:pStyle w:val="Sumrio1"/>
            <w:tabs>
              <w:tab w:val="right" w:leader="dot" w:pos="9742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r w:rsidRPr="00385448">
            <w:rPr>
              <w:highlight w:val="yellow"/>
            </w:rPr>
            <w:fldChar w:fldCharType="begin"/>
          </w:r>
          <w:r w:rsidR="005923B3" w:rsidRPr="00385448">
            <w:rPr>
              <w:highlight w:val="yellow"/>
            </w:rPr>
            <w:instrText xml:space="preserve"> TOC \o "1-3" \h \z \u </w:instrText>
          </w:r>
          <w:r w:rsidRPr="00385448">
            <w:rPr>
              <w:highlight w:val="yellow"/>
            </w:rPr>
            <w:fldChar w:fldCharType="separate"/>
          </w:r>
          <w:hyperlink w:anchor="_Toc490842893" w:history="1">
            <w:r w:rsidR="00E616E1" w:rsidRPr="00C02769">
              <w:rPr>
                <w:rStyle w:val="Hyperlink"/>
                <w:noProof/>
                <w:lang w:eastAsia="pt-BR"/>
              </w:rPr>
              <w:t>1– INTRODUÇÃO</w:t>
            </w:r>
            <w:r w:rsidR="00E616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616E1">
              <w:rPr>
                <w:noProof/>
                <w:webHidden/>
              </w:rPr>
              <w:instrText xml:space="preserve"> PAGEREF _Toc490842893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382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16E1" w:rsidRDefault="00B43068">
          <w:pPr>
            <w:pStyle w:val="Sumrio1"/>
            <w:tabs>
              <w:tab w:val="right" w:leader="dot" w:pos="9742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90842894" w:history="1">
            <w:r w:rsidR="00E616E1" w:rsidRPr="00C02769">
              <w:rPr>
                <w:rStyle w:val="Hyperlink"/>
                <w:noProof/>
                <w:lang w:eastAsia="pt-BR"/>
              </w:rPr>
              <w:t>2- AÇÕES DE FISCALIZAÇÃO POR REGIÃO GEOGRÁFICA</w:t>
            </w:r>
            <w:r w:rsidR="00E616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616E1">
              <w:rPr>
                <w:noProof/>
                <w:webHidden/>
              </w:rPr>
              <w:instrText xml:space="preserve"> PAGEREF _Toc490842894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382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16E1" w:rsidRDefault="00B43068">
          <w:pPr>
            <w:pStyle w:val="Sumrio1"/>
            <w:tabs>
              <w:tab w:val="right" w:leader="dot" w:pos="9742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90842895" w:history="1">
            <w:r w:rsidR="00E616E1" w:rsidRPr="00C02769">
              <w:rPr>
                <w:rStyle w:val="Hyperlink"/>
                <w:noProof/>
                <w:lang w:eastAsia="pt-BR"/>
              </w:rPr>
              <w:t>3 – AÇÕES DE FISCALIZAÇÃO POR SEGMENTO</w:t>
            </w:r>
            <w:r w:rsidR="00E616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616E1">
              <w:rPr>
                <w:noProof/>
                <w:webHidden/>
              </w:rPr>
              <w:instrText xml:space="preserve"> PAGEREF _Toc490842895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382F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16E1" w:rsidRDefault="00B43068">
          <w:pPr>
            <w:pStyle w:val="Sumrio1"/>
            <w:tabs>
              <w:tab w:val="right" w:leader="dot" w:pos="9742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90842896" w:history="1">
            <w:r w:rsidR="00E616E1" w:rsidRPr="00C02769">
              <w:rPr>
                <w:rStyle w:val="Hyperlink"/>
                <w:noProof/>
                <w:lang w:eastAsia="pt-BR"/>
              </w:rPr>
              <w:t>4 – PRINCIPAIS MOTIVAÇÕES DOS AUTOS DE INFRAÇÃO</w:t>
            </w:r>
            <w:r w:rsidR="00E616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616E1">
              <w:rPr>
                <w:noProof/>
                <w:webHidden/>
              </w:rPr>
              <w:instrText xml:space="preserve"> PAGEREF _Toc490842896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382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16E1" w:rsidRDefault="00B43068">
          <w:pPr>
            <w:pStyle w:val="Sumrio2"/>
            <w:tabs>
              <w:tab w:val="right" w:leader="dot" w:pos="9742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90842897" w:history="1">
            <w:r w:rsidR="00E616E1" w:rsidRPr="00C02769">
              <w:rPr>
                <w:rStyle w:val="Hyperlink"/>
                <w:noProof/>
                <w:lang w:eastAsia="pt-BR"/>
              </w:rPr>
              <w:t>4.1 – Infrações por Qualidade</w:t>
            </w:r>
            <w:r w:rsidR="00E616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616E1">
              <w:rPr>
                <w:noProof/>
                <w:webHidden/>
              </w:rPr>
              <w:instrText xml:space="preserve"> PAGEREF _Toc490842897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382F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16E1" w:rsidRDefault="00B43068">
          <w:pPr>
            <w:pStyle w:val="Sumrio2"/>
            <w:tabs>
              <w:tab w:val="right" w:leader="dot" w:pos="9742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90842898" w:history="1">
            <w:r w:rsidR="00E616E1" w:rsidRPr="00C02769">
              <w:rPr>
                <w:rStyle w:val="Hyperlink"/>
                <w:noProof/>
                <w:lang w:eastAsia="pt-BR"/>
              </w:rPr>
              <w:t>4.2 – Infrações por Aferição Irregular</w:t>
            </w:r>
            <w:r w:rsidR="00E616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616E1">
              <w:rPr>
                <w:noProof/>
                <w:webHidden/>
              </w:rPr>
              <w:instrText xml:space="preserve"> PAGEREF _Toc490842898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382F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16E1" w:rsidRDefault="00B43068">
          <w:pPr>
            <w:pStyle w:val="Sumrio1"/>
            <w:tabs>
              <w:tab w:val="right" w:leader="dot" w:pos="9742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90842899" w:history="1">
            <w:r w:rsidR="00E616E1" w:rsidRPr="00C02769">
              <w:rPr>
                <w:rStyle w:val="Hyperlink"/>
                <w:noProof/>
                <w:lang w:eastAsia="pt-BR"/>
              </w:rPr>
              <w:t>5 – MEDIDAS CAUTELARES</w:t>
            </w:r>
            <w:r w:rsidR="00E616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616E1">
              <w:rPr>
                <w:noProof/>
                <w:webHidden/>
              </w:rPr>
              <w:instrText xml:space="preserve"> PAGEREF _Toc490842899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382F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16E1" w:rsidRDefault="00B43068">
          <w:pPr>
            <w:pStyle w:val="Sumrio1"/>
            <w:tabs>
              <w:tab w:val="right" w:leader="dot" w:pos="9742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90842900" w:history="1">
            <w:r w:rsidR="00E616E1" w:rsidRPr="00C02769">
              <w:rPr>
                <w:rStyle w:val="Hyperlink"/>
                <w:noProof/>
                <w:lang w:eastAsia="pt-BR"/>
              </w:rPr>
              <w:t>6 – ATENDIMENTO AO CENTRO DE RELAÇÕES COM O CONSUMIDOR – CRC</w:t>
            </w:r>
            <w:r w:rsidR="00E616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616E1">
              <w:rPr>
                <w:noProof/>
                <w:webHidden/>
              </w:rPr>
              <w:instrText xml:space="preserve"> PAGEREF _Toc490842900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382F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16E1" w:rsidRDefault="00B43068">
          <w:pPr>
            <w:pStyle w:val="Sumrio1"/>
            <w:tabs>
              <w:tab w:val="right" w:leader="dot" w:pos="9742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90842901" w:history="1">
            <w:r w:rsidR="00E616E1" w:rsidRPr="00C02769">
              <w:rPr>
                <w:rStyle w:val="Hyperlink"/>
                <w:noProof/>
                <w:lang w:eastAsia="pt-BR"/>
              </w:rPr>
              <w:t>7 – CONVÊNIOS E ACORDOS COM ÓRGÃOS PÚBLICOS</w:t>
            </w:r>
            <w:r w:rsidR="00E616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616E1">
              <w:rPr>
                <w:noProof/>
                <w:webHidden/>
              </w:rPr>
              <w:instrText xml:space="preserve"> PAGEREF _Toc490842901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382F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16E1" w:rsidRDefault="00B43068">
          <w:pPr>
            <w:pStyle w:val="Sumrio1"/>
            <w:tabs>
              <w:tab w:val="right" w:leader="dot" w:pos="9742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90842902" w:history="1">
            <w:r w:rsidR="00E616E1" w:rsidRPr="00C02769">
              <w:rPr>
                <w:rStyle w:val="Hyperlink"/>
                <w:noProof/>
                <w:lang w:eastAsia="pt-BR"/>
              </w:rPr>
              <w:t>8 – FORÇAS-TAREFA</w:t>
            </w:r>
            <w:r w:rsidR="00E616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616E1">
              <w:rPr>
                <w:noProof/>
                <w:webHidden/>
              </w:rPr>
              <w:instrText xml:space="preserve"> PAGEREF _Toc490842902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382F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16E1" w:rsidRDefault="00B43068">
          <w:pPr>
            <w:pStyle w:val="Sumrio1"/>
            <w:tabs>
              <w:tab w:val="right" w:leader="dot" w:pos="9742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90842903" w:history="1">
            <w:r w:rsidR="00E616E1" w:rsidRPr="00C02769">
              <w:rPr>
                <w:rStyle w:val="Hyperlink"/>
                <w:noProof/>
                <w:lang w:eastAsia="pt-BR"/>
              </w:rPr>
              <w:t>9 – PROCESSOS ADMINISTRATIVOS SANCIONADORES</w:t>
            </w:r>
            <w:r w:rsidR="00E616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616E1">
              <w:rPr>
                <w:noProof/>
                <w:webHidden/>
              </w:rPr>
              <w:instrText xml:space="preserve"> PAGEREF _Toc490842903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382F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16E1" w:rsidRDefault="00B43068">
          <w:pPr>
            <w:pStyle w:val="Sumrio1"/>
            <w:tabs>
              <w:tab w:val="right" w:leader="dot" w:pos="9742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90842904" w:history="1">
            <w:r w:rsidR="00E616E1" w:rsidRPr="00C02769">
              <w:rPr>
                <w:rStyle w:val="Hyperlink"/>
                <w:noProof/>
                <w:lang w:eastAsia="pt-BR"/>
              </w:rPr>
              <w:t>10 –DESTAQUES</w:t>
            </w:r>
            <w:r w:rsidR="00E616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616E1">
              <w:rPr>
                <w:noProof/>
                <w:webHidden/>
              </w:rPr>
              <w:instrText xml:space="preserve"> PAGEREF _Toc490842904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382F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616E1" w:rsidRDefault="00B43068">
          <w:pPr>
            <w:pStyle w:val="Sumrio1"/>
            <w:tabs>
              <w:tab w:val="right" w:leader="dot" w:pos="9742"/>
            </w:tabs>
            <w:rPr>
              <w:rFonts w:asciiTheme="minorHAnsi" w:eastAsiaTheme="minorEastAsia" w:hAnsiTheme="minorHAnsi" w:cstheme="minorBidi"/>
              <w:noProof/>
              <w:lang w:eastAsia="pt-BR"/>
            </w:rPr>
          </w:pPr>
          <w:hyperlink w:anchor="_Toc490842905" w:history="1">
            <w:r w:rsidR="00E616E1" w:rsidRPr="00C02769">
              <w:rPr>
                <w:rStyle w:val="Hyperlink"/>
                <w:noProof/>
                <w:lang w:eastAsia="pt-BR"/>
              </w:rPr>
              <w:t>ANEXO – MOTIVAÇÕES DAS INFRAÇÕES POR SEGMENTO</w:t>
            </w:r>
            <w:r w:rsidR="00E616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616E1">
              <w:rPr>
                <w:noProof/>
                <w:webHidden/>
              </w:rPr>
              <w:instrText xml:space="preserve"> PAGEREF _Toc490842905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A382F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923B3" w:rsidRPr="00385448" w:rsidRDefault="00B43068">
          <w:pPr>
            <w:rPr>
              <w:highlight w:val="yellow"/>
            </w:rPr>
          </w:pPr>
          <w:r w:rsidRPr="00385448">
            <w:rPr>
              <w:highlight w:val="yellow"/>
            </w:rPr>
            <w:fldChar w:fldCharType="end"/>
          </w:r>
        </w:p>
      </w:sdtContent>
    </w:sdt>
    <w:p w:rsidR="00865870" w:rsidRPr="00385448" w:rsidRDefault="00865870" w:rsidP="004A6A26">
      <w:pPr>
        <w:shd w:val="clear" w:color="auto" w:fill="FFFFFF"/>
        <w:spacing w:after="0" w:line="240" w:lineRule="auto"/>
        <w:rPr>
          <w:highlight w:val="yellow"/>
          <w:lang w:eastAsia="pt-BR"/>
        </w:rPr>
      </w:pPr>
    </w:p>
    <w:p w:rsidR="00865870" w:rsidRPr="00385448" w:rsidRDefault="00865870" w:rsidP="004A6A26">
      <w:pPr>
        <w:shd w:val="clear" w:color="auto" w:fill="FFFFFF"/>
        <w:spacing w:after="0" w:line="240" w:lineRule="auto"/>
        <w:rPr>
          <w:highlight w:val="yellow"/>
          <w:lang w:eastAsia="pt-BR"/>
        </w:rPr>
      </w:pPr>
    </w:p>
    <w:p w:rsidR="00865870" w:rsidRPr="00385448" w:rsidRDefault="00865870" w:rsidP="004A6A26">
      <w:pPr>
        <w:shd w:val="clear" w:color="auto" w:fill="FFFFFF"/>
        <w:spacing w:after="0" w:line="240" w:lineRule="auto"/>
        <w:rPr>
          <w:highlight w:val="yellow"/>
          <w:lang w:eastAsia="pt-BR"/>
        </w:rPr>
      </w:pPr>
    </w:p>
    <w:p w:rsidR="00865870" w:rsidRDefault="00865870" w:rsidP="004A6A26">
      <w:pPr>
        <w:shd w:val="clear" w:color="auto" w:fill="FFFFFF"/>
        <w:spacing w:after="0" w:line="240" w:lineRule="auto"/>
        <w:rPr>
          <w:highlight w:val="yellow"/>
          <w:lang w:eastAsia="pt-BR"/>
        </w:rPr>
      </w:pPr>
    </w:p>
    <w:p w:rsidR="00034F80" w:rsidRDefault="00034F80" w:rsidP="004A6A26">
      <w:pPr>
        <w:shd w:val="clear" w:color="auto" w:fill="FFFFFF"/>
        <w:spacing w:after="0" w:line="240" w:lineRule="auto"/>
        <w:rPr>
          <w:highlight w:val="yellow"/>
          <w:lang w:eastAsia="pt-BR"/>
        </w:rPr>
      </w:pPr>
    </w:p>
    <w:p w:rsidR="00034F80" w:rsidRDefault="00034F80" w:rsidP="004A6A26">
      <w:pPr>
        <w:shd w:val="clear" w:color="auto" w:fill="FFFFFF"/>
        <w:spacing w:after="0" w:line="240" w:lineRule="auto"/>
        <w:rPr>
          <w:highlight w:val="yellow"/>
          <w:lang w:eastAsia="pt-BR"/>
        </w:rPr>
      </w:pPr>
    </w:p>
    <w:p w:rsidR="00034F80" w:rsidRDefault="00034F80" w:rsidP="004A6A26">
      <w:pPr>
        <w:shd w:val="clear" w:color="auto" w:fill="FFFFFF"/>
        <w:spacing w:after="0" w:line="240" w:lineRule="auto"/>
        <w:rPr>
          <w:highlight w:val="yellow"/>
          <w:lang w:eastAsia="pt-BR"/>
        </w:rPr>
      </w:pPr>
    </w:p>
    <w:p w:rsidR="00034F80" w:rsidRDefault="00034F80" w:rsidP="004A6A26">
      <w:pPr>
        <w:shd w:val="clear" w:color="auto" w:fill="FFFFFF"/>
        <w:spacing w:after="0" w:line="240" w:lineRule="auto"/>
        <w:rPr>
          <w:highlight w:val="yellow"/>
          <w:lang w:eastAsia="pt-BR"/>
        </w:rPr>
      </w:pPr>
    </w:p>
    <w:p w:rsidR="00034F80" w:rsidRDefault="00034F80" w:rsidP="004A6A26">
      <w:pPr>
        <w:shd w:val="clear" w:color="auto" w:fill="FFFFFF"/>
        <w:spacing w:after="0" w:line="240" w:lineRule="auto"/>
        <w:rPr>
          <w:highlight w:val="yellow"/>
          <w:lang w:eastAsia="pt-BR"/>
        </w:rPr>
      </w:pPr>
    </w:p>
    <w:p w:rsidR="00034F80" w:rsidRDefault="00034F80" w:rsidP="004A6A26">
      <w:pPr>
        <w:shd w:val="clear" w:color="auto" w:fill="FFFFFF"/>
        <w:spacing w:after="0" w:line="240" w:lineRule="auto"/>
        <w:rPr>
          <w:highlight w:val="yellow"/>
          <w:lang w:eastAsia="pt-BR"/>
        </w:rPr>
      </w:pPr>
    </w:p>
    <w:p w:rsidR="00034F80" w:rsidRPr="00385448" w:rsidRDefault="00034F80" w:rsidP="004A6A26">
      <w:pPr>
        <w:shd w:val="clear" w:color="auto" w:fill="FFFFFF"/>
        <w:spacing w:after="0" w:line="240" w:lineRule="auto"/>
        <w:rPr>
          <w:highlight w:val="yellow"/>
          <w:lang w:eastAsia="pt-BR"/>
        </w:rPr>
      </w:pPr>
    </w:p>
    <w:p w:rsidR="00865870" w:rsidRPr="00385448" w:rsidRDefault="00865870" w:rsidP="004A6A26">
      <w:pPr>
        <w:shd w:val="clear" w:color="auto" w:fill="FFFFFF"/>
        <w:spacing w:after="0" w:line="240" w:lineRule="auto"/>
        <w:rPr>
          <w:highlight w:val="yellow"/>
          <w:lang w:eastAsia="pt-BR"/>
        </w:rPr>
      </w:pPr>
    </w:p>
    <w:p w:rsidR="00865870" w:rsidRPr="00385448" w:rsidRDefault="00865870" w:rsidP="004A6A26">
      <w:pPr>
        <w:shd w:val="clear" w:color="auto" w:fill="FFFFFF"/>
        <w:spacing w:after="0" w:line="240" w:lineRule="auto"/>
        <w:rPr>
          <w:highlight w:val="yellow"/>
          <w:lang w:eastAsia="pt-BR"/>
        </w:rPr>
      </w:pPr>
    </w:p>
    <w:p w:rsidR="00865870" w:rsidRPr="00385448" w:rsidRDefault="00865870" w:rsidP="004A6A26">
      <w:pPr>
        <w:shd w:val="clear" w:color="auto" w:fill="FFFFFF"/>
        <w:spacing w:after="0" w:line="240" w:lineRule="auto"/>
        <w:rPr>
          <w:highlight w:val="yellow"/>
          <w:lang w:eastAsia="pt-BR"/>
        </w:rPr>
      </w:pPr>
    </w:p>
    <w:p w:rsidR="00865870" w:rsidRPr="00385448" w:rsidRDefault="00865870" w:rsidP="004A6A26">
      <w:pPr>
        <w:shd w:val="clear" w:color="auto" w:fill="FFFFFF"/>
        <w:spacing w:after="0" w:line="240" w:lineRule="auto"/>
        <w:rPr>
          <w:highlight w:val="yellow"/>
          <w:lang w:eastAsia="pt-BR"/>
        </w:rPr>
      </w:pPr>
    </w:p>
    <w:p w:rsidR="00865870" w:rsidRPr="00385448" w:rsidRDefault="00865870" w:rsidP="004A6A26">
      <w:pPr>
        <w:shd w:val="clear" w:color="auto" w:fill="FFFFFF"/>
        <w:spacing w:after="0" w:line="240" w:lineRule="auto"/>
        <w:rPr>
          <w:highlight w:val="yellow"/>
          <w:lang w:eastAsia="pt-BR"/>
        </w:rPr>
      </w:pPr>
    </w:p>
    <w:p w:rsidR="00865870" w:rsidRPr="00385448" w:rsidRDefault="00865870" w:rsidP="004A6A26">
      <w:pPr>
        <w:shd w:val="clear" w:color="auto" w:fill="FFFFFF"/>
        <w:spacing w:after="0" w:line="240" w:lineRule="auto"/>
        <w:rPr>
          <w:highlight w:val="yellow"/>
          <w:lang w:eastAsia="pt-BR"/>
        </w:rPr>
      </w:pPr>
    </w:p>
    <w:p w:rsidR="00AD3FCC" w:rsidRDefault="00AD3FCC">
      <w:pPr>
        <w:spacing w:after="0" w:line="240" w:lineRule="auto"/>
        <w:rPr>
          <w:highlight w:val="yellow"/>
          <w:lang w:eastAsia="pt-BR"/>
        </w:rPr>
      </w:pPr>
      <w:r>
        <w:rPr>
          <w:highlight w:val="yellow"/>
          <w:lang w:eastAsia="pt-BR"/>
        </w:rPr>
        <w:br w:type="page"/>
      </w:r>
    </w:p>
    <w:p w:rsidR="00865870" w:rsidRPr="00B22C43" w:rsidRDefault="00865870" w:rsidP="005923B3">
      <w:pPr>
        <w:pStyle w:val="Ttulo1"/>
        <w:spacing w:before="360"/>
        <w:rPr>
          <w:color w:val="E36C0A"/>
          <w:sz w:val="24"/>
          <w:szCs w:val="24"/>
          <w:lang w:eastAsia="pt-BR"/>
        </w:rPr>
      </w:pPr>
      <w:bookmarkStart w:id="2" w:name="_Toc442180842"/>
      <w:bookmarkStart w:id="3" w:name="_Toc490842893"/>
      <w:r w:rsidRPr="00B22C43">
        <w:rPr>
          <w:color w:val="E36C0A"/>
          <w:sz w:val="24"/>
          <w:szCs w:val="24"/>
          <w:lang w:eastAsia="pt-BR"/>
        </w:rPr>
        <w:lastRenderedPageBreak/>
        <w:t>1– INTR</w:t>
      </w:r>
      <w:r w:rsidR="002F1B08" w:rsidRPr="00B22C43">
        <w:rPr>
          <w:color w:val="E36C0A"/>
          <w:sz w:val="24"/>
          <w:szCs w:val="24"/>
          <w:lang w:eastAsia="pt-BR"/>
        </w:rPr>
        <w:t>O</w:t>
      </w:r>
      <w:r w:rsidRPr="00B22C43">
        <w:rPr>
          <w:color w:val="E36C0A"/>
          <w:sz w:val="24"/>
          <w:szCs w:val="24"/>
          <w:lang w:eastAsia="pt-BR"/>
        </w:rPr>
        <w:t>DUÇÃO</w:t>
      </w:r>
      <w:bookmarkEnd w:id="2"/>
      <w:bookmarkEnd w:id="3"/>
    </w:p>
    <w:p w:rsidR="009A63AB" w:rsidRPr="00B22C43" w:rsidRDefault="009A63AB" w:rsidP="00753901">
      <w:pPr>
        <w:autoSpaceDE w:val="0"/>
        <w:autoSpaceDN w:val="0"/>
        <w:adjustRightInd w:val="0"/>
        <w:spacing w:after="0" w:line="240" w:lineRule="auto"/>
        <w:contextualSpacing/>
        <w:jc w:val="both"/>
      </w:pPr>
    </w:p>
    <w:p w:rsidR="00166515" w:rsidRDefault="00166515" w:rsidP="001665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  <w:r w:rsidRPr="00166515">
        <w:rPr>
          <w:rFonts w:cs="Arial"/>
        </w:rPr>
        <w:t xml:space="preserve">O Boletim "Fiscalização do Abastecimento em Notícias" é um importante instrumento de informação para a sociedade. A publicação apresenta os principais números e problemas encontrados pela fiscalização da ANP no mercado de combustíveis do Brasil e as ações da Agência para coibir essas irregularidades. Além de ser uma prestação de contas à sociedade, o Boletim é uma contribuição ao ambiente concorrencial e ao cenário favorável à atratividade de investimento para o </w:t>
      </w:r>
      <w:proofErr w:type="spellStart"/>
      <w:r w:rsidRPr="00AD3FCC">
        <w:rPr>
          <w:rFonts w:cs="Arial"/>
          <w:i/>
        </w:rPr>
        <w:t>downstream</w:t>
      </w:r>
      <w:proofErr w:type="spellEnd"/>
      <w:r w:rsidRPr="00166515">
        <w:rPr>
          <w:rFonts w:cs="Arial"/>
        </w:rPr>
        <w:t xml:space="preserve">. </w:t>
      </w:r>
    </w:p>
    <w:p w:rsidR="00166515" w:rsidRPr="00166515" w:rsidRDefault="00166515" w:rsidP="001665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166515" w:rsidRPr="00166515" w:rsidRDefault="00166515" w:rsidP="001665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  <w:r w:rsidRPr="00166515">
        <w:rPr>
          <w:rFonts w:cs="Arial"/>
        </w:rPr>
        <w:t>Os dados publicados no Boletim Fiscalização do Abastecimento em Notícias, somados ao Boletim de Monitoramento da Qualidade dos Combustíveis (PMQC), compõem informações referentes a um ambiente seguro para investimentos e para o consumidor, na medida em que demonstram a capacidade da ANP em atuar na identificação e coerção de eventuais falhas na qualidade dos combustíveis comercializados no País, de forma impessoal e com rigor técnico. Além disso, os índices de conformidade expressos no universo de cada Estado da Federação e no Brasil como um todo, da ordem de 97,5%, estão dentro de padrões de qualidade internacionais.</w:t>
      </w:r>
    </w:p>
    <w:p w:rsidR="00166515" w:rsidRDefault="00166515" w:rsidP="001665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166515" w:rsidRPr="00166515" w:rsidRDefault="00166515" w:rsidP="001665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  <w:r w:rsidRPr="00166515">
        <w:rPr>
          <w:rFonts w:cs="Arial"/>
        </w:rPr>
        <w:t xml:space="preserve">A fiscalização do abastecimento é um processo que começa com o planejamento da ação, a partir da qualificação das informações da própria a ANP, de parceiros institucionais e de denúncias, segue para a execução em campo e, nos casos de identificação de irregularidades, resulta em autuação e processo administrativo, sendo finalizado com a condenação ou não do agente econômico. </w:t>
      </w:r>
    </w:p>
    <w:p w:rsidR="00166515" w:rsidRDefault="00166515" w:rsidP="001665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166515" w:rsidRPr="00166515" w:rsidRDefault="00166515" w:rsidP="001665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  <w:r w:rsidRPr="00166515">
        <w:rPr>
          <w:rFonts w:cs="Arial"/>
        </w:rPr>
        <w:t>Os agentes econômicos são responsáveis pela qualidade dos produtos comercializados, independentemente da discussão quanto ao dolo, cabendo a eles a responsabilidade de coletar e/ou exigir a amostra testemunha em cada relação comercial. Assim, podem atestar a sua responsabilidade pela qualidade do produto comercializado.</w:t>
      </w:r>
    </w:p>
    <w:p w:rsidR="00166515" w:rsidRDefault="00166515" w:rsidP="001665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</w:p>
    <w:p w:rsidR="005923B3" w:rsidRPr="00B22C43" w:rsidRDefault="00166515" w:rsidP="0016651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="Arial"/>
        </w:rPr>
      </w:pPr>
      <w:r w:rsidRPr="00166515">
        <w:rPr>
          <w:rFonts w:cs="Arial"/>
        </w:rPr>
        <w:t xml:space="preserve">Em cada uma das etapas do processo, com suas particularidades, a ANP busca o aperfeiçoamento constante de suas ações. Desse modo, a Agência atua em consonância com sua missão de regular as atividades econômicas das indústrias do petróleo, gás </w:t>
      </w:r>
      <w:proofErr w:type="gramStart"/>
      <w:r w:rsidRPr="00166515">
        <w:rPr>
          <w:rFonts w:cs="Arial"/>
        </w:rPr>
        <w:t>natural e biocombustíveis de forma transparente e efetiva, promovendo o interesse público</w:t>
      </w:r>
      <w:proofErr w:type="gramEnd"/>
      <w:r w:rsidRPr="00166515">
        <w:rPr>
          <w:rFonts w:cs="Arial"/>
        </w:rPr>
        <w:t xml:space="preserve"> e atraindo investimentos para o desenvolvimento do Brasil.</w:t>
      </w:r>
      <w:r w:rsidRPr="00B22C43">
        <w:rPr>
          <w:rFonts w:cs="Arial"/>
        </w:rPr>
        <w:t xml:space="preserve"> </w:t>
      </w:r>
    </w:p>
    <w:p w:rsidR="007220A1" w:rsidRPr="00B22C43" w:rsidRDefault="007220A1" w:rsidP="00753901">
      <w:pPr>
        <w:spacing w:after="0" w:line="240" w:lineRule="auto"/>
        <w:contextualSpacing/>
        <w:rPr>
          <w:rFonts w:cs="TT15Ct00"/>
          <w:lang w:eastAsia="pt-BR"/>
        </w:rPr>
      </w:pPr>
      <w:r w:rsidRPr="00B22C43">
        <w:rPr>
          <w:rFonts w:cs="TT15Ct00"/>
          <w:lang w:eastAsia="pt-BR"/>
        </w:rPr>
        <w:br w:type="page"/>
      </w:r>
    </w:p>
    <w:p w:rsidR="00133508" w:rsidRPr="00B22C43" w:rsidRDefault="00865870" w:rsidP="005923B3">
      <w:pPr>
        <w:pStyle w:val="Ttulo1"/>
        <w:spacing w:before="360"/>
        <w:rPr>
          <w:color w:val="E36C0A"/>
          <w:lang w:eastAsia="pt-BR"/>
        </w:rPr>
      </w:pPr>
      <w:bookmarkStart w:id="4" w:name="_Toc442180843"/>
      <w:bookmarkStart w:id="5" w:name="_Toc490842894"/>
      <w:r w:rsidRPr="00B22C43">
        <w:rPr>
          <w:color w:val="E36C0A"/>
          <w:sz w:val="24"/>
          <w:szCs w:val="24"/>
          <w:lang w:eastAsia="pt-BR"/>
        </w:rPr>
        <w:lastRenderedPageBreak/>
        <w:t xml:space="preserve">2- </w:t>
      </w:r>
      <w:r w:rsidR="00133508" w:rsidRPr="00B22C43">
        <w:rPr>
          <w:color w:val="E36C0A"/>
          <w:sz w:val="24"/>
          <w:szCs w:val="24"/>
          <w:lang w:eastAsia="pt-BR"/>
        </w:rPr>
        <w:t>AÇÕES DE FISCALIZAÇÃO POR REGIÃO GEOGRÁFICA</w:t>
      </w:r>
      <w:bookmarkEnd w:id="4"/>
      <w:bookmarkEnd w:id="5"/>
    </w:p>
    <w:p w:rsidR="00865870" w:rsidRPr="00B22C43" w:rsidRDefault="00865870" w:rsidP="00753901">
      <w:pPr>
        <w:shd w:val="clear" w:color="auto" w:fill="FFFFFF"/>
        <w:spacing w:after="0" w:line="240" w:lineRule="auto"/>
        <w:rPr>
          <w:rFonts w:cs="Arial"/>
        </w:rPr>
      </w:pPr>
    </w:p>
    <w:p w:rsidR="00017974" w:rsidRDefault="009A01D6">
      <w:pPr>
        <w:shd w:val="clear" w:color="auto" w:fill="FFFFFF"/>
        <w:spacing w:after="0" w:line="240" w:lineRule="auto"/>
        <w:jc w:val="both"/>
        <w:rPr>
          <w:rFonts w:cs="Arial"/>
        </w:rPr>
      </w:pPr>
      <w:r w:rsidRPr="00B22C43">
        <w:rPr>
          <w:rFonts w:cs="Arial"/>
        </w:rPr>
        <w:t xml:space="preserve">A ANP, por meio da SFI, se faz presente em todo o país, </w:t>
      </w:r>
      <w:r w:rsidR="00FF6303" w:rsidRPr="00B22C43">
        <w:rPr>
          <w:rFonts w:cs="Arial"/>
        </w:rPr>
        <w:t>segmentando</w:t>
      </w:r>
      <w:r w:rsidRPr="00B22C43">
        <w:rPr>
          <w:rFonts w:cs="Arial"/>
        </w:rPr>
        <w:t>-se pelas regiões de acordo com a</w:t>
      </w:r>
      <w:r w:rsidR="00FF6303" w:rsidRPr="00B22C43">
        <w:rPr>
          <w:rFonts w:cs="Arial"/>
        </w:rPr>
        <w:t>s</w:t>
      </w:r>
      <w:r w:rsidRPr="00B22C43">
        <w:rPr>
          <w:rFonts w:cs="Arial"/>
        </w:rPr>
        <w:t xml:space="preserve"> </w:t>
      </w:r>
      <w:r w:rsidR="00FF6303" w:rsidRPr="00B22C43">
        <w:rPr>
          <w:rFonts w:cs="Arial"/>
        </w:rPr>
        <w:t>características</w:t>
      </w:r>
      <w:r w:rsidRPr="00B22C43">
        <w:rPr>
          <w:rFonts w:cs="Arial"/>
        </w:rPr>
        <w:t xml:space="preserve"> de cada mercado. </w:t>
      </w:r>
      <w:r w:rsidR="00E236A4" w:rsidRPr="00E236A4">
        <w:rPr>
          <w:rFonts w:cs="Arial"/>
        </w:rPr>
        <w:t>O planejamento das ações de fiscalização da ANP é pautado na análise do perfil da região a ser fiscalizada. Esse perfil é determinado por fatores como:</w:t>
      </w:r>
      <w:r w:rsidR="00067B10" w:rsidRPr="00E236A4">
        <w:rPr>
          <w:rFonts w:cs="Arial"/>
        </w:rPr>
        <w:t xml:space="preserve"> </w:t>
      </w:r>
      <w:r w:rsidR="00E236A4" w:rsidRPr="00E236A4">
        <w:rPr>
          <w:rFonts w:cs="Arial"/>
        </w:rPr>
        <w:t xml:space="preserve">i) indicativo de não conformidade apurado no Programa de Monitoramento da Qualidade dos Combustíveis - PMQC; </w:t>
      </w:r>
      <w:proofErr w:type="gramStart"/>
      <w:r w:rsidR="00E236A4" w:rsidRPr="00E236A4">
        <w:rPr>
          <w:rFonts w:cs="Arial"/>
        </w:rPr>
        <w:t>ii</w:t>
      </w:r>
      <w:proofErr w:type="gramEnd"/>
      <w:r w:rsidR="00E236A4" w:rsidRPr="00E236A4">
        <w:rPr>
          <w:rFonts w:cs="Arial"/>
        </w:rPr>
        <w:t xml:space="preserve">) dados do Programa de Levantamento de </w:t>
      </w:r>
      <w:r w:rsidR="00E562A9">
        <w:rPr>
          <w:rFonts w:cs="Arial"/>
        </w:rPr>
        <w:t>P</w:t>
      </w:r>
      <w:r w:rsidR="00E236A4" w:rsidRPr="00E236A4">
        <w:rPr>
          <w:rFonts w:cs="Arial"/>
        </w:rPr>
        <w:t xml:space="preserve">reços, iii) estudos internos sobre o mercado de combustíveis e a movimentação dos produtos comercializados, iv) denúncias recebidas pelo Centro de Relações com o Consumidor - CRC; </w:t>
      </w:r>
      <w:r w:rsidR="00FB3C2A">
        <w:rPr>
          <w:rFonts w:cs="Arial"/>
        </w:rPr>
        <w:t xml:space="preserve">e </w:t>
      </w:r>
      <w:r w:rsidR="00E236A4" w:rsidRPr="00E236A4">
        <w:rPr>
          <w:rFonts w:cs="Arial"/>
        </w:rPr>
        <w:t>v) demandas de outros órgãos de fiscalização.</w:t>
      </w:r>
    </w:p>
    <w:p w:rsidR="00B6344A" w:rsidRDefault="00B6344A">
      <w:pPr>
        <w:shd w:val="clear" w:color="auto" w:fill="FFFFFF"/>
        <w:spacing w:after="0" w:line="240" w:lineRule="auto"/>
        <w:jc w:val="both"/>
        <w:rPr>
          <w:rFonts w:cs="Arial"/>
        </w:rPr>
      </w:pPr>
    </w:p>
    <w:p w:rsidR="005742B6" w:rsidRPr="00B22C43" w:rsidRDefault="005674E1" w:rsidP="005742B6">
      <w:pPr>
        <w:shd w:val="clear" w:color="auto" w:fill="FFFFFF"/>
        <w:spacing w:after="0" w:line="240" w:lineRule="auto"/>
        <w:rPr>
          <w:lang w:eastAsia="pt-BR"/>
        </w:rPr>
      </w:pPr>
      <w:r w:rsidRPr="00B22C43">
        <w:rPr>
          <w:b/>
          <w:lang w:eastAsia="pt-BR"/>
        </w:rPr>
        <w:t>Figura</w:t>
      </w:r>
      <w:r w:rsidR="003D0960" w:rsidRPr="00B22C43">
        <w:rPr>
          <w:b/>
          <w:lang w:eastAsia="pt-BR"/>
        </w:rPr>
        <w:t xml:space="preserve"> 1</w:t>
      </w:r>
      <w:r w:rsidR="003D0960" w:rsidRPr="00B22C43">
        <w:rPr>
          <w:lang w:eastAsia="pt-BR"/>
        </w:rPr>
        <w:t xml:space="preserve"> – </w:t>
      </w:r>
      <w:r w:rsidR="006515FD" w:rsidRPr="00B22C43">
        <w:rPr>
          <w:lang w:eastAsia="pt-BR"/>
        </w:rPr>
        <w:t>Número de ações de fiscalização</w:t>
      </w:r>
      <w:r w:rsidR="003D0960" w:rsidRPr="00B22C43">
        <w:rPr>
          <w:lang w:eastAsia="pt-BR"/>
        </w:rPr>
        <w:t xml:space="preserve"> </w:t>
      </w:r>
      <w:r w:rsidR="00A76081" w:rsidRPr="00B22C43">
        <w:rPr>
          <w:lang w:eastAsia="pt-BR"/>
        </w:rPr>
        <w:t>por região geográfica</w:t>
      </w:r>
    </w:p>
    <w:p w:rsidR="000B1340" w:rsidRPr="00B22C43" w:rsidRDefault="000B1340" w:rsidP="005742B6">
      <w:pPr>
        <w:shd w:val="clear" w:color="auto" w:fill="FFFFFF"/>
        <w:spacing w:after="0" w:line="240" w:lineRule="auto"/>
        <w:rPr>
          <w:lang w:eastAsia="pt-BR"/>
        </w:rPr>
      </w:pPr>
    </w:p>
    <w:p w:rsidR="00385448" w:rsidRPr="00B22C43" w:rsidRDefault="007C01C3" w:rsidP="00753901">
      <w:pPr>
        <w:shd w:val="clear" w:color="auto" w:fill="FFFFFF"/>
        <w:spacing w:after="0" w:line="240" w:lineRule="auto"/>
        <w:jc w:val="center"/>
        <w:rPr>
          <w:noProof/>
          <w:sz w:val="16"/>
          <w:szCs w:val="16"/>
          <w:lang w:eastAsia="pt-BR"/>
        </w:rPr>
      </w:pPr>
      <w:r>
        <w:rPr>
          <w:noProof/>
          <w:sz w:val="16"/>
          <w:szCs w:val="16"/>
          <w:lang w:eastAsia="pt-BR"/>
        </w:rPr>
        <w:drawing>
          <wp:inline distT="0" distB="0" distL="0" distR="0">
            <wp:extent cx="5188688" cy="5166114"/>
            <wp:effectExtent l="0" t="0" r="0" b="0"/>
            <wp:docPr id="516" name="Imagem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933" cy="51753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62E5" w:rsidRPr="00B22C43" w:rsidRDefault="000E62E5" w:rsidP="00753901">
      <w:pPr>
        <w:shd w:val="clear" w:color="auto" w:fill="FFFFFF"/>
        <w:spacing w:after="0" w:line="240" w:lineRule="auto"/>
        <w:jc w:val="center"/>
        <w:rPr>
          <w:noProof/>
          <w:sz w:val="16"/>
          <w:szCs w:val="16"/>
          <w:lang w:eastAsia="pt-BR"/>
        </w:rPr>
      </w:pPr>
    </w:p>
    <w:p w:rsidR="006535C7" w:rsidRPr="00B22C43" w:rsidRDefault="006535C7" w:rsidP="00753901">
      <w:pPr>
        <w:shd w:val="clear" w:color="auto" w:fill="FFFFFF"/>
        <w:spacing w:after="0" w:line="240" w:lineRule="auto"/>
        <w:jc w:val="center"/>
        <w:rPr>
          <w:noProof/>
          <w:sz w:val="16"/>
          <w:szCs w:val="16"/>
          <w:lang w:eastAsia="pt-BR"/>
        </w:rPr>
      </w:pPr>
      <w:r w:rsidRPr="00B22C43">
        <w:rPr>
          <w:noProof/>
          <w:sz w:val="16"/>
          <w:szCs w:val="16"/>
          <w:lang w:eastAsia="pt-BR"/>
        </w:rPr>
        <w:t xml:space="preserve">Fonte: </w:t>
      </w:r>
      <w:r w:rsidR="006C0B57" w:rsidRPr="00B22C43">
        <w:rPr>
          <w:noProof/>
          <w:sz w:val="16"/>
          <w:szCs w:val="16"/>
          <w:lang w:eastAsia="pt-BR"/>
        </w:rPr>
        <w:t>Dados extraídos d</w:t>
      </w:r>
      <w:r w:rsidRPr="00B22C43">
        <w:rPr>
          <w:noProof/>
          <w:sz w:val="16"/>
          <w:szCs w:val="16"/>
          <w:lang w:eastAsia="pt-BR"/>
        </w:rPr>
        <w:t>o SIGI-WEB em 1</w:t>
      </w:r>
      <w:r w:rsidR="00483F45" w:rsidRPr="00B22C43">
        <w:rPr>
          <w:noProof/>
          <w:sz w:val="16"/>
          <w:szCs w:val="16"/>
          <w:lang w:eastAsia="pt-BR"/>
        </w:rPr>
        <w:t>9</w:t>
      </w:r>
      <w:r w:rsidRPr="00B22C43">
        <w:rPr>
          <w:noProof/>
          <w:sz w:val="16"/>
          <w:szCs w:val="16"/>
          <w:lang w:eastAsia="pt-BR"/>
        </w:rPr>
        <w:t>/0</w:t>
      </w:r>
      <w:r w:rsidR="001D5ED2" w:rsidRPr="00B22C43">
        <w:rPr>
          <w:noProof/>
          <w:sz w:val="16"/>
          <w:szCs w:val="16"/>
          <w:lang w:eastAsia="pt-BR"/>
        </w:rPr>
        <w:t>7</w:t>
      </w:r>
      <w:r w:rsidRPr="00B22C43">
        <w:rPr>
          <w:noProof/>
          <w:sz w:val="16"/>
          <w:szCs w:val="16"/>
          <w:lang w:eastAsia="pt-BR"/>
        </w:rPr>
        <w:t>/201</w:t>
      </w:r>
      <w:r w:rsidR="00483F45" w:rsidRPr="00B22C43">
        <w:rPr>
          <w:noProof/>
          <w:sz w:val="16"/>
          <w:szCs w:val="16"/>
          <w:lang w:eastAsia="pt-BR"/>
        </w:rPr>
        <w:t>7</w:t>
      </w:r>
      <w:r w:rsidRPr="00B22C43">
        <w:rPr>
          <w:noProof/>
          <w:sz w:val="16"/>
          <w:szCs w:val="16"/>
          <w:lang w:eastAsia="pt-BR"/>
        </w:rPr>
        <w:t>. Elaboração própria.</w:t>
      </w:r>
    </w:p>
    <w:p w:rsidR="006E1ABC" w:rsidRDefault="006E1ABC" w:rsidP="006E1ABC">
      <w:pPr>
        <w:shd w:val="clear" w:color="auto" w:fill="FFFFFF"/>
        <w:spacing w:after="0" w:line="240" w:lineRule="auto"/>
        <w:jc w:val="center"/>
        <w:rPr>
          <w:lang w:eastAsia="pt-BR"/>
        </w:rPr>
      </w:pPr>
    </w:p>
    <w:p w:rsidR="005824F6" w:rsidRPr="00B22C43" w:rsidRDefault="005824F6" w:rsidP="006E1ABC">
      <w:pPr>
        <w:shd w:val="clear" w:color="auto" w:fill="FFFFFF"/>
        <w:spacing w:after="0" w:line="240" w:lineRule="auto"/>
        <w:jc w:val="center"/>
        <w:rPr>
          <w:lang w:eastAsia="pt-BR"/>
        </w:rPr>
      </w:pPr>
    </w:p>
    <w:p w:rsidR="000C2B7E" w:rsidRPr="00B22C43" w:rsidRDefault="000C2B7E" w:rsidP="006E1ABC">
      <w:pPr>
        <w:shd w:val="clear" w:color="auto" w:fill="FFE89F"/>
        <w:spacing w:after="0" w:line="240" w:lineRule="auto"/>
        <w:jc w:val="center"/>
        <w:rPr>
          <w:rFonts w:eastAsia="Times New Roman" w:cs="Calibri"/>
          <w:b/>
          <w:sz w:val="16"/>
          <w:szCs w:val="16"/>
          <w:lang w:eastAsia="pt-BR"/>
        </w:rPr>
      </w:pPr>
    </w:p>
    <w:p w:rsidR="006E1ABC" w:rsidRPr="00B22C43" w:rsidRDefault="005674E1" w:rsidP="006E1ABC">
      <w:pPr>
        <w:shd w:val="clear" w:color="auto" w:fill="FFE89F"/>
        <w:spacing w:after="0" w:line="240" w:lineRule="auto"/>
        <w:jc w:val="center"/>
        <w:rPr>
          <w:rFonts w:eastAsia="Times New Roman" w:cs="Calibri"/>
          <w:b/>
          <w:sz w:val="24"/>
          <w:szCs w:val="24"/>
          <w:shd w:val="clear" w:color="auto" w:fill="FFE89F"/>
          <w:lang w:eastAsia="pt-BR"/>
        </w:rPr>
      </w:pPr>
      <w:r w:rsidRPr="00B22C43">
        <w:rPr>
          <w:rFonts w:eastAsia="Times New Roman" w:cs="Calibri"/>
          <w:b/>
          <w:sz w:val="24"/>
          <w:szCs w:val="24"/>
          <w:lang w:eastAsia="pt-BR"/>
        </w:rPr>
        <w:t>Brasil – 1º semestre</w:t>
      </w:r>
      <w:r w:rsidR="000C4E82" w:rsidRPr="00B22C43">
        <w:rPr>
          <w:rFonts w:eastAsia="Times New Roman" w:cs="Calibri"/>
          <w:b/>
          <w:sz w:val="24"/>
          <w:szCs w:val="24"/>
          <w:lang w:eastAsia="pt-BR"/>
        </w:rPr>
        <w:t xml:space="preserve"> de </w:t>
      </w:r>
      <w:r w:rsidRPr="00B22C43">
        <w:rPr>
          <w:rFonts w:eastAsia="Times New Roman" w:cs="Calibri"/>
          <w:b/>
          <w:sz w:val="24"/>
          <w:szCs w:val="24"/>
          <w:lang w:eastAsia="pt-BR"/>
        </w:rPr>
        <w:t>201</w:t>
      </w:r>
      <w:r w:rsidR="00B06D91" w:rsidRPr="00B22C43">
        <w:rPr>
          <w:rFonts w:eastAsia="Times New Roman" w:cs="Calibri"/>
          <w:b/>
          <w:sz w:val="24"/>
          <w:szCs w:val="24"/>
          <w:lang w:eastAsia="pt-BR"/>
        </w:rPr>
        <w:t>7</w:t>
      </w:r>
      <w:r w:rsidR="006E1ABC" w:rsidRPr="00B22C43">
        <w:rPr>
          <w:rFonts w:eastAsia="Times New Roman" w:cs="Calibri"/>
          <w:b/>
          <w:sz w:val="24"/>
          <w:szCs w:val="24"/>
          <w:shd w:val="clear" w:color="auto" w:fill="FFE89F"/>
          <w:lang w:eastAsia="pt-BR"/>
        </w:rPr>
        <w:t>: 9.7</w:t>
      </w:r>
      <w:r w:rsidR="00483F45" w:rsidRPr="00B22C43">
        <w:rPr>
          <w:rFonts w:eastAsia="Times New Roman" w:cs="Calibri"/>
          <w:b/>
          <w:sz w:val="24"/>
          <w:szCs w:val="24"/>
          <w:shd w:val="clear" w:color="auto" w:fill="FFE89F"/>
          <w:lang w:eastAsia="pt-BR"/>
        </w:rPr>
        <w:t>93</w:t>
      </w:r>
      <w:r w:rsidR="006E1ABC" w:rsidRPr="00B22C43">
        <w:rPr>
          <w:rFonts w:eastAsia="Times New Roman" w:cs="Calibri"/>
          <w:b/>
          <w:sz w:val="24"/>
          <w:szCs w:val="24"/>
          <w:shd w:val="clear" w:color="auto" w:fill="FFE89F"/>
          <w:lang w:eastAsia="pt-BR"/>
        </w:rPr>
        <w:t xml:space="preserve"> AÇÕES</w:t>
      </w:r>
    </w:p>
    <w:p w:rsidR="000C2B7E" w:rsidRPr="00B22C43" w:rsidRDefault="000C2B7E" w:rsidP="006E1ABC">
      <w:pPr>
        <w:shd w:val="clear" w:color="auto" w:fill="FFE89F"/>
        <w:spacing w:after="0" w:line="240" w:lineRule="auto"/>
        <w:jc w:val="center"/>
        <w:rPr>
          <w:rFonts w:eastAsia="Times New Roman" w:cs="Calibri"/>
          <w:b/>
          <w:sz w:val="16"/>
          <w:szCs w:val="16"/>
          <w:shd w:val="clear" w:color="auto" w:fill="FFE89F"/>
          <w:lang w:eastAsia="pt-BR"/>
        </w:rPr>
      </w:pPr>
    </w:p>
    <w:p w:rsidR="006E1ABC" w:rsidRPr="00B22C43" w:rsidRDefault="006E1ABC" w:rsidP="006E1ABC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lang w:eastAsia="pt-BR"/>
        </w:rPr>
      </w:pPr>
    </w:p>
    <w:p w:rsidR="009A01D6" w:rsidRPr="00B22C43" w:rsidRDefault="00B43068" w:rsidP="009A01D6">
      <w:pPr>
        <w:shd w:val="clear" w:color="auto" w:fill="FFFFFF"/>
        <w:spacing w:after="0" w:line="240" w:lineRule="auto"/>
        <w:rPr>
          <w:rFonts w:eastAsia="Times New Roman" w:cs="Calibri"/>
          <w:b/>
          <w:color w:val="D2A000"/>
          <w:spacing w:val="20"/>
          <w:lang w:eastAsia="pt-BR"/>
        </w:rPr>
      </w:pPr>
      <w:r>
        <w:rPr>
          <w:rFonts w:eastAsia="Times New Roman" w:cs="Calibri"/>
          <w:b/>
          <w:noProof/>
          <w:color w:val="D2A000"/>
          <w:spacing w:val="20"/>
          <w:lang w:eastAsia="pt-BR"/>
        </w:rPr>
        <w:pict>
          <v:shape id="Text Box 512" o:spid="_x0000_s1027" type="#_x0000_t202" style="position:absolute;margin-left:159.95pt;margin-top:1.15pt;width:164.3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" strokecolor="#ffc000">
            <v:textbox>
              <w:txbxContent>
                <w:p w:rsidR="00035795" w:rsidRPr="00A4601F" w:rsidRDefault="00035795" w:rsidP="00385448">
                  <w:pPr>
                    <w:rPr>
                      <w:rFonts w:cs="Arial"/>
                      <w:i/>
                    </w:rPr>
                  </w:pPr>
                  <w:r w:rsidRPr="00A4601F">
                    <w:rPr>
                      <w:rFonts w:cs="Arial"/>
                    </w:rPr>
                    <w:t xml:space="preserve">   </w:t>
                  </w:r>
                  <w:r w:rsidRPr="00B22C43">
                    <w:rPr>
                      <w:rFonts w:cs="Arial"/>
                      <w:i/>
                    </w:rPr>
                    <w:t>1º semestre</w:t>
                  </w:r>
                  <w:r w:rsidRPr="00B22C43">
                    <w:rPr>
                      <w:rFonts w:cs="Arial"/>
                    </w:rPr>
                    <w:t xml:space="preserve"> de </w:t>
                  </w:r>
                  <w:r w:rsidRPr="00B22C43">
                    <w:rPr>
                      <w:rFonts w:cs="Arial"/>
                      <w:i/>
                    </w:rPr>
                    <w:t>2016: 9.709</w:t>
                  </w:r>
                  <w:r w:rsidRPr="00A4601F">
                    <w:rPr>
                      <w:rFonts w:cs="Arial"/>
                      <w:i/>
                    </w:rPr>
                    <w:t xml:space="preserve"> ações</w:t>
                  </w:r>
                </w:p>
              </w:txbxContent>
            </v:textbox>
          </v:shape>
        </w:pict>
      </w:r>
    </w:p>
    <w:p w:rsidR="00385448" w:rsidRPr="00B22C43" w:rsidRDefault="00385448" w:rsidP="00753901">
      <w:pPr>
        <w:spacing w:after="0" w:line="240" w:lineRule="auto"/>
        <w:contextualSpacing/>
        <w:jc w:val="both"/>
        <w:rPr>
          <w:lang w:eastAsia="pt-BR"/>
        </w:rPr>
      </w:pPr>
    </w:p>
    <w:p w:rsidR="007C01C3" w:rsidRDefault="007C01C3" w:rsidP="00753901">
      <w:pPr>
        <w:spacing w:after="0" w:line="240" w:lineRule="auto"/>
        <w:contextualSpacing/>
        <w:jc w:val="both"/>
        <w:rPr>
          <w:lang w:eastAsia="pt-BR"/>
        </w:rPr>
      </w:pPr>
    </w:p>
    <w:p w:rsidR="008D6C28" w:rsidRPr="00B22C43" w:rsidRDefault="00A55F3E" w:rsidP="00753901">
      <w:pPr>
        <w:spacing w:after="0" w:line="240" w:lineRule="auto"/>
        <w:contextualSpacing/>
        <w:jc w:val="both"/>
        <w:rPr>
          <w:lang w:eastAsia="pt-BR"/>
        </w:rPr>
      </w:pPr>
      <w:r w:rsidRPr="00B22C43">
        <w:rPr>
          <w:lang w:eastAsia="pt-BR"/>
        </w:rPr>
        <w:lastRenderedPageBreak/>
        <w:t>A</w:t>
      </w:r>
      <w:r w:rsidR="00B14BFC" w:rsidRPr="00B22C43">
        <w:rPr>
          <w:lang w:eastAsia="pt-BR"/>
        </w:rPr>
        <w:t xml:space="preserve"> figura</w:t>
      </w:r>
      <w:r w:rsidR="007220A1" w:rsidRPr="00B22C43">
        <w:rPr>
          <w:lang w:eastAsia="pt-BR"/>
        </w:rPr>
        <w:t xml:space="preserve"> 1 apresenta o </w:t>
      </w:r>
      <w:r w:rsidR="00116085" w:rsidRPr="00B22C43">
        <w:rPr>
          <w:lang w:eastAsia="pt-BR"/>
        </w:rPr>
        <w:t xml:space="preserve">quantitativo </w:t>
      </w:r>
      <w:r w:rsidR="007220A1" w:rsidRPr="00B22C43">
        <w:rPr>
          <w:lang w:eastAsia="pt-BR"/>
        </w:rPr>
        <w:t xml:space="preserve">de ações de fiscalização realizadas </w:t>
      </w:r>
      <w:r w:rsidR="00A32EE8" w:rsidRPr="00B22C43">
        <w:rPr>
          <w:lang w:eastAsia="pt-BR"/>
        </w:rPr>
        <w:t xml:space="preserve">no 1º semestre de </w:t>
      </w:r>
      <w:r w:rsidR="007220A1" w:rsidRPr="00B22C43">
        <w:rPr>
          <w:lang w:eastAsia="pt-BR"/>
        </w:rPr>
        <w:t>201</w:t>
      </w:r>
      <w:r w:rsidR="00483F45" w:rsidRPr="00B22C43">
        <w:rPr>
          <w:lang w:eastAsia="pt-BR"/>
        </w:rPr>
        <w:t>7</w:t>
      </w:r>
      <w:r w:rsidR="007220A1" w:rsidRPr="00B22C43">
        <w:rPr>
          <w:lang w:eastAsia="pt-BR"/>
        </w:rPr>
        <w:t>, divididas por região geográfica, o que permite visualizar de forma clara a abrangência das ações da Agência</w:t>
      </w:r>
      <w:r w:rsidR="00E03AAC" w:rsidRPr="00B22C43">
        <w:rPr>
          <w:lang w:eastAsia="pt-BR"/>
        </w:rPr>
        <w:t>.</w:t>
      </w:r>
      <w:r w:rsidR="007220A1" w:rsidRPr="00B22C43">
        <w:rPr>
          <w:lang w:eastAsia="pt-BR"/>
        </w:rPr>
        <w:t xml:space="preserve"> Para informações </w:t>
      </w:r>
      <w:r w:rsidR="00AC7386" w:rsidRPr="00B22C43">
        <w:rPr>
          <w:lang w:eastAsia="pt-BR"/>
        </w:rPr>
        <w:t>mais detalhadas</w:t>
      </w:r>
      <w:r w:rsidR="00483F45" w:rsidRPr="00B22C43">
        <w:rPr>
          <w:lang w:eastAsia="pt-BR"/>
        </w:rPr>
        <w:t xml:space="preserve"> so</w:t>
      </w:r>
      <w:r w:rsidR="00AC7386" w:rsidRPr="00B22C43">
        <w:rPr>
          <w:lang w:eastAsia="pt-BR"/>
        </w:rPr>
        <w:t>bre cada região (e seus estado</w:t>
      </w:r>
      <w:r w:rsidR="0039426C">
        <w:rPr>
          <w:lang w:eastAsia="pt-BR"/>
        </w:rPr>
        <w:t>s</w:t>
      </w:r>
      <w:r w:rsidR="00AC7386" w:rsidRPr="00B22C43">
        <w:rPr>
          <w:lang w:eastAsia="pt-BR"/>
        </w:rPr>
        <w:t>),</w:t>
      </w:r>
      <w:r w:rsidR="007220A1" w:rsidRPr="00B22C43">
        <w:rPr>
          <w:lang w:eastAsia="pt-BR"/>
        </w:rPr>
        <w:t xml:space="preserve"> </w:t>
      </w:r>
      <w:r w:rsidR="003F488F" w:rsidRPr="00B22C43">
        <w:rPr>
          <w:lang w:eastAsia="pt-BR"/>
        </w:rPr>
        <w:t>os números de ações de fiscalização</w:t>
      </w:r>
      <w:r w:rsidR="00707887" w:rsidRPr="00B22C43">
        <w:rPr>
          <w:lang w:eastAsia="pt-BR"/>
        </w:rPr>
        <w:t xml:space="preserve"> e</w:t>
      </w:r>
      <w:r w:rsidR="003F488F" w:rsidRPr="00B22C43">
        <w:rPr>
          <w:lang w:eastAsia="pt-BR"/>
        </w:rPr>
        <w:t xml:space="preserve"> de autos de infração, de interdição e de apreensão lavrados são apresentados nas tabelas a seguir.</w:t>
      </w:r>
    </w:p>
    <w:p w:rsidR="007220A1" w:rsidRPr="00B22C43" w:rsidRDefault="007220A1" w:rsidP="00753901">
      <w:pPr>
        <w:spacing w:after="0" w:line="240" w:lineRule="auto"/>
        <w:contextualSpacing/>
        <w:rPr>
          <w:lang w:eastAsia="pt-BR"/>
        </w:rPr>
      </w:pPr>
    </w:p>
    <w:p w:rsidR="00972EC3" w:rsidRPr="00B22C43" w:rsidRDefault="00972EC3" w:rsidP="00753901">
      <w:pPr>
        <w:spacing w:after="0" w:line="240" w:lineRule="auto"/>
        <w:contextualSpacing/>
        <w:rPr>
          <w:lang w:eastAsia="pt-BR"/>
        </w:rPr>
      </w:pPr>
    </w:p>
    <w:p w:rsidR="00A32EE8" w:rsidRPr="00B22C43" w:rsidRDefault="002C5967" w:rsidP="002F09E0">
      <w:pPr>
        <w:spacing w:after="0" w:line="240" w:lineRule="auto"/>
        <w:contextualSpacing/>
        <w:jc w:val="both"/>
        <w:rPr>
          <w:lang w:eastAsia="pt-BR"/>
        </w:rPr>
      </w:pPr>
      <w:r w:rsidRPr="00B22C43">
        <w:rPr>
          <w:b/>
          <w:lang w:eastAsia="pt-BR"/>
        </w:rPr>
        <w:t>TABELA 1</w:t>
      </w:r>
      <w:r w:rsidRPr="00B22C43">
        <w:rPr>
          <w:lang w:eastAsia="pt-BR"/>
        </w:rPr>
        <w:t xml:space="preserve"> – </w:t>
      </w:r>
      <w:r w:rsidR="00707887" w:rsidRPr="00B22C43">
        <w:rPr>
          <w:lang w:eastAsia="pt-BR"/>
        </w:rPr>
        <w:t>Número de ações de fiscalização e</w:t>
      </w:r>
      <w:r w:rsidR="00162718" w:rsidRPr="00B22C43">
        <w:rPr>
          <w:lang w:eastAsia="pt-BR"/>
        </w:rPr>
        <w:t xml:space="preserve"> de autos de infração</w:t>
      </w:r>
      <w:r w:rsidR="003F488F" w:rsidRPr="00B22C43">
        <w:rPr>
          <w:lang w:eastAsia="pt-BR"/>
        </w:rPr>
        <w:t>,</w:t>
      </w:r>
      <w:r w:rsidR="00162718" w:rsidRPr="00B22C43">
        <w:rPr>
          <w:lang w:eastAsia="pt-BR"/>
        </w:rPr>
        <w:t xml:space="preserve"> </w:t>
      </w:r>
      <w:r w:rsidR="00483F45" w:rsidRPr="00B22C43">
        <w:rPr>
          <w:lang w:eastAsia="pt-BR"/>
        </w:rPr>
        <w:t>de interdição</w:t>
      </w:r>
      <w:r w:rsidR="003F488F" w:rsidRPr="00B22C43">
        <w:rPr>
          <w:lang w:eastAsia="pt-BR"/>
        </w:rPr>
        <w:t xml:space="preserve"> e de apreensão lavrados</w:t>
      </w:r>
      <w:r w:rsidR="008505B7" w:rsidRPr="00B22C43">
        <w:rPr>
          <w:lang w:eastAsia="pt-BR"/>
        </w:rPr>
        <w:t xml:space="preserve"> </w:t>
      </w:r>
      <w:r w:rsidR="005774FD" w:rsidRPr="00B22C43">
        <w:rPr>
          <w:lang w:eastAsia="pt-BR"/>
        </w:rPr>
        <w:t xml:space="preserve">na Região </w:t>
      </w:r>
      <w:proofErr w:type="gramStart"/>
      <w:r w:rsidR="005774FD" w:rsidRPr="00B22C43">
        <w:rPr>
          <w:lang w:eastAsia="pt-BR"/>
        </w:rPr>
        <w:t>Norte</w:t>
      </w:r>
      <w:proofErr w:type="gramEnd"/>
    </w:p>
    <w:p w:rsidR="002F09E0" w:rsidRPr="00B22C43" w:rsidRDefault="002F09E0" w:rsidP="002F09E0">
      <w:pPr>
        <w:spacing w:after="0" w:line="240" w:lineRule="auto"/>
        <w:contextualSpacing/>
        <w:jc w:val="both"/>
        <w:rPr>
          <w:lang w:eastAsia="pt-BR"/>
        </w:rPr>
      </w:pPr>
    </w:p>
    <w:tbl>
      <w:tblPr>
        <w:tblStyle w:val="SombreamentoClaro-nfase6"/>
        <w:tblW w:w="9220" w:type="dxa"/>
        <w:jc w:val="center"/>
        <w:tblLook w:val="04A0"/>
      </w:tblPr>
      <w:tblGrid>
        <w:gridCol w:w="2580"/>
        <w:gridCol w:w="1660"/>
        <w:gridCol w:w="1660"/>
        <w:gridCol w:w="1660"/>
        <w:gridCol w:w="1660"/>
      </w:tblGrid>
      <w:tr w:rsidR="003F488F" w:rsidRPr="00B22C43" w:rsidTr="00D86FBF">
        <w:trPr>
          <w:cnfStyle w:val="100000000000"/>
          <w:trHeight w:val="615"/>
          <w:jc w:val="center"/>
        </w:trPr>
        <w:tc>
          <w:tcPr>
            <w:cnfStyle w:val="001000000000"/>
            <w:tcW w:w="2580" w:type="dxa"/>
            <w:vAlign w:val="center"/>
            <w:hideMark/>
          </w:tcPr>
          <w:p w:rsidR="003F488F" w:rsidRPr="00B22C43" w:rsidRDefault="003F488F" w:rsidP="00D86FBF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REGIÃO NORTE</w:t>
            </w:r>
          </w:p>
        </w:tc>
        <w:tc>
          <w:tcPr>
            <w:tcW w:w="1660" w:type="dxa"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Ações de fiscalização</w:t>
            </w:r>
          </w:p>
        </w:tc>
        <w:tc>
          <w:tcPr>
            <w:tcW w:w="1660" w:type="dxa"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Autos de infração</w:t>
            </w:r>
          </w:p>
        </w:tc>
        <w:tc>
          <w:tcPr>
            <w:tcW w:w="1660" w:type="dxa"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Autos de interdição</w:t>
            </w:r>
          </w:p>
        </w:tc>
        <w:tc>
          <w:tcPr>
            <w:tcW w:w="1660" w:type="dxa"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Autos de Apreensão</w:t>
            </w:r>
          </w:p>
        </w:tc>
      </w:tr>
      <w:tr w:rsidR="003F488F" w:rsidRPr="00B22C43" w:rsidTr="00D86FBF">
        <w:trPr>
          <w:cnfStyle w:val="000000100000"/>
          <w:trHeight w:val="300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ACRE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47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10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3F488F" w:rsidRPr="00B22C43" w:rsidTr="00D86FBF">
        <w:trPr>
          <w:trHeight w:val="300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AMAPÁ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54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17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2</w:t>
            </w:r>
            <w:proofErr w:type="gramEnd"/>
          </w:p>
        </w:tc>
      </w:tr>
      <w:tr w:rsidR="003F488F" w:rsidRPr="00B22C43" w:rsidTr="00D86FBF">
        <w:trPr>
          <w:cnfStyle w:val="000000100000"/>
          <w:trHeight w:val="300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AMAZONAS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253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91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33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13</w:t>
            </w:r>
          </w:p>
        </w:tc>
      </w:tr>
      <w:tr w:rsidR="003F488F" w:rsidRPr="00B22C43" w:rsidTr="00D86FBF">
        <w:trPr>
          <w:trHeight w:val="300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PARÁ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156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32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3F488F" w:rsidRPr="00B22C43" w:rsidTr="00D86FBF">
        <w:trPr>
          <w:cnfStyle w:val="000000100000"/>
          <w:trHeight w:val="300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RONDÔNIA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63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3F488F" w:rsidRPr="00B22C43" w:rsidTr="00D86FBF">
        <w:trPr>
          <w:trHeight w:val="300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RORAIMA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32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3F488F" w:rsidRPr="00B22C43" w:rsidTr="00D86FBF">
        <w:trPr>
          <w:cnfStyle w:val="000000100000"/>
          <w:trHeight w:val="315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TOCANTINS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48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12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1</w:t>
            </w:r>
            <w:proofErr w:type="gramEnd"/>
          </w:p>
        </w:tc>
      </w:tr>
      <w:tr w:rsidR="003F488F" w:rsidRPr="00B22C43" w:rsidTr="00D86FBF">
        <w:trPr>
          <w:trHeight w:val="315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TOTAL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653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177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47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16</w:t>
            </w:r>
          </w:p>
        </w:tc>
      </w:tr>
    </w:tbl>
    <w:p w:rsidR="00A32EE8" w:rsidRPr="00B22C43" w:rsidRDefault="00A32EE8" w:rsidP="00753901">
      <w:pPr>
        <w:shd w:val="clear" w:color="auto" w:fill="FFFFFF"/>
        <w:spacing w:after="0" w:line="240" w:lineRule="auto"/>
        <w:contextualSpacing/>
        <w:jc w:val="center"/>
        <w:rPr>
          <w:noProof/>
          <w:sz w:val="16"/>
          <w:szCs w:val="16"/>
          <w:lang w:eastAsia="pt-BR"/>
        </w:rPr>
      </w:pPr>
    </w:p>
    <w:p w:rsidR="00E237C8" w:rsidRPr="00B22C43" w:rsidRDefault="00023A6E" w:rsidP="00753901">
      <w:pPr>
        <w:shd w:val="clear" w:color="auto" w:fill="FFFFFF"/>
        <w:spacing w:after="0" w:line="240" w:lineRule="auto"/>
        <w:contextualSpacing/>
        <w:jc w:val="center"/>
        <w:rPr>
          <w:noProof/>
          <w:lang w:eastAsia="pt-BR"/>
        </w:rPr>
      </w:pPr>
      <w:r w:rsidRPr="00B22C43">
        <w:rPr>
          <w:noProof/>
          <w:sz w:val="16"/>
          <w:szCs w:val="16"/>
          <w:lang w:eastAsia="pt-BR"/>
        </w:rPr>
        <w:t xml:space="preserve">Fonte: </w:t>
      </w:r>
      <w:r w:rsidR="006C0B57" w:rsidRPr="00B22C43">
        <w:rPr>
          <w:noProof/>
          <w:sz w:val="16"/>
          <w:szCs w:val="16"/>
          <w:lang w:eastAsia="pt-BR"/>
        </w:rPr>
        <w:t xml:space="preserve">: Dados extraídos do </w:t>
      </w:r>
      <w:r w:rsidRPr="00B22C43">
        <w:rPr>
          <w:noProof/>
          <w:sz w:val="16"/>
          <w:szCs w:val="16"/>
          <w:lang w:eastAsia="pt-BR"/>
        </w:rPr>
        <w:t xml:space="preserve">SIGI-WEB em </w:t>
      </w:r>
      <w:r w:rsidR="00237EFF" w:rsidRPr="00B22C43">
        <w:rPr>
          <w:noProof/>
          <w:sz w:val="16"/>
          <w:szCs w:val="16"/>
          <w:lang w:eastAsia="pt-BR"/>
        </w:rPr>
        <w:t>1</w:t>
      </w:r>
      <w:r w:rsidR="002F09E0" w:rsidRPr="00B22C43">
        <w:rPr>
          <w:noProof/>
          <w:sz w:val="16"/>
          <w:szCs w:val="16"/>
          <w:lang w:eastAsia="pt-BR"/>
        </w:rPr>
        <w:t>9</w:t>
      </w:r>
      <w:r w:rsidRPr="00B22C43">
        <w:rPr>
          <w:noProof/>
          <w:sz w:val="16"/>
          <w:szCs w:val="16"/>
          <w:lang w:eastAsia="pt-BR"/>
        </w:rPr>
        <w:t>/0</w:t>
      </w:r>
      <w:r w:rsidR="00E86E43" w:rsidRPr="00B22C43">
        <w:rPr>
          <w:noProof/>
          <w:sz w:val="16"/>
          <w:szCs w:val="16"/>
          <w:lang w:eastAsia="pt-BR"/>
        </w:rPr>
        <w:t>7</w:t>
      </w:r>
      <w:r w:rsidRPr="00B22C43">
        <w:rPr>
          <w:noProof/>
          <w:sz w:val="16"/>
          <w:szCs w:val="16"/>
          <w:lang w:eastAsia="pt-BR"/>
        </w:rPr>
        <w:t>/201</w:t>
      </w:r>
      <w:r w:rsidR="002F09E0" w:rsidRPr="00B22C43">
        <w:rPr>
          <w:noProof/>
          <w:sz w:val="16"/>
          <w:szCs w:val="16"/>
          <w:lang w:eastAsia="pt-BR"/>
        </w:rPr>
        <w:t>7</w:t>
      </w:r>
      <w:r w:rsidRPr="00B22C43">
        <w:rPr>
          <w:noProof/>
          <w:sz w:val="16"/>
          <w:szCs w:val="16"/>
          <w:lang w:eastAsia="pt-BR"/>
        </w:rPr>
        <w:t>. Elaboração própria.</w:t>
      </w:r>
    </w:p>
    <w:p w:rsidR="00162718" w:rsidRPr="00B22C43" w:rsidRDefault="00162718" w:rsidP="00DE4AF6">
      <w:pPr>
        <w:spacing w:after="0" w:line="240" w:lineRule="auto"/>
        <w:contextualSpacing/>
        <w:jc w:val="both"/>
        <w:rPr>
          <w:lang w:eastAsia="pt-BR"/>
        </w:rPr>
      </w:pPr>
    </w:p>
    <w:p w:rsidR="00972EC3" w:rsidRPr="00B22C43" w:rsidRDefault="00972EC3" w:rsidP="00DE4AF6">
      <w:pPr>
        <w:spacing w:after="0" w:line="240" w:lineRule="auto"/>
        <w:contextualSpacing/>
        <w:jc w:val="both"/>
        <w:rPr>
          <w:lang w:eastAsia="pt-BR"/>
        </w:rPr>
      </w:pPr>
    </w:p>
    <w:p w:rsidR="00A32EE8" w:rsidRPr="00B22C43" w:rsidRDefault="002C5967" w:rsidP="002F09E0">
      <w:pPr>
        <w:spacing w:after="0" w:line="240" w:lineRule="auto"/>
        <w:contextualSpacing/>
        <w:jc w:val="both"/>
        <w:rPr>
          <w:lang w:eastAsia="pt-BR"/>
        </w:rPr>
      </w:pPr>
      <w:r w:rsidRPr="00B22C43">
        <w:rPr>
          <w:b/>
          <w:lang w:eastAsia="pt-BR"/>
        </w:rPr>
        <w:t>TABELA 2</w:t>
      </w:r>
      <w:r w:rsidRPr="00B22C43">
        <w:rPr>
          <w:lang w:eastAsia="pt-BR"/>
        </w:rPr>
        <w:t xml:space="preserve"> –</w:t>
      </w:r>
      <w:r w:rsidR="00D25C7D" w:rsidRPr="00B22C43">
        <w:rPr>
          <w:lang w:eastAsia="pt-BR"/>
        </w:rPr>
        <w:t xml:space="preserve"> </w:t>
      </w:r>
      <w:r w:rsidR="00707887" w:rsidRPr="00B22C43">
        <w:rPr>
          <w:lang w:eastAsia="pt-BR"/>
        </w:rPr>
        <w:t xml:space="preserve">Número de ações de fiscalização e de autos de infração, de interdição e de apreensão lavrados </w:t>
      </w:r>
      <w:r w:rsidR="00364088" w:rsidRPr="00B22C43">
        <w:rPr>
          <w:lang w:eastAsia="pt-BR"/>
        </w:rPr>
        <w:t xml:space="preserve">na </w:t>
      </w:r>
      <w:r w:rsidRPr="00B22C43">
        <w:rPr>
          <w:lang w:eastAsia="pt-BR"/>
        </w:rPr>
        <w:t xml:space="preserve">Região </w:t>
      </w:r>
      <w:proofErr w:type="gramStart"/>
      <w:r w:rsidRPr="00B22C43">
        <w:rPr>
          <w:lang w:eastAsia="pt-BR"/>
        </w:rPr>
        <w:t>Nordeste</w:t>
      </w:r>
      <w:proofErr w:type="gramEnd"/>
    </w:p>
    <w:p w:rsidR="002F09E0" w:rsidRPr="00B22C43" w:rsidRDefault="002F09E0" w:rsidP="002F09E0">
      <w:pPr>
        <w:spacing w:after="0" w:line="240" w:lineRule="auto"/>
        <w:contextualSpacing/>
        <w:jc w:val="both"/>
        <w:rPr>
          <w:lang w:eastAsia="pt-BR"/>
        </w:rPr>
      </w:pPr>
    </w:p>
    <w:tbl>
      <w:tblPr>
        <w:tblStyle w:val="SombreamentoClaro-nfase6"/>
        <w:tblW w:w="9220" w:type="dxa"/>
        <w:jc w:val="center"/>
        <w:tblLook w:val="04A0"/>
      </w:tblPr>
      <w:tblGrid>
        <w:gridCol w:w="2580"/>
        <w:gridCol w:w="1660"/>
        <w:gridCol w:w="1660"/>
        <w:gridCol w:w="1660"/>
        <w:gridCol w:w="1660"/>
      </w:tblGrid>
      <w:tr w:rsidR="003F488F" w:rsidRPr="00B22C43" w:rsidTr="00D86FBF">
        <w:trPr>
          <w:cnfStyle w:val="100000000000"/>
          <w:trHeight w:val="615"/>
          <w:jc w:val="center"/>
        </w:trPr>
        <w:tc>
          <w:tcPr>
            <w:cnfStyle w:val="001000000000"/>
            <w:tcW w:w="2580" w:type="dxa"/>
            <w:noWrap/>
            <w:vAlign w:val="center"/>
            <w:hideMark/>
          </w:tcPr>
          <w:p w:rsidR="003F488F" w:rsidRPr="00B22C43" w:rsidRDefault="003F488F" w:rsidP="00D86FBF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REGIÃO NORDESTE</w:t>
            </w:r>
          </w:p>
        </w:tc>
        <w:tc>
          <w:tcPr>
            <w:tcW w:w="1660" w:type="dxa"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Ações de fiscalização</w:t>
            </w:r>
          </w:p>
        </w:tc>
        <w:tc>
          <w:tcPr>
            <w:tcW w:w="1660" w:type="dxa"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Autos de infração</w:t>
            </w:r>
          </w:p>
        </w:tc>
        <w:tc>
          <w:tcPr>
            <w:tcW w:w="1660" w:type="dxa"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Autos de interdição</w:t>
            </w:r>
          </w:p>
        </w:tc>
        <w:tc>
          <w:tcPr>
            <w:tcW w:w="1660" w:type="dxa"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Autos de Apreensão</w:t>
            </w:r>
          </w:p>
        </w:tc>
      </w:tr>
      <w:tr w:rsidR="003F488F" w:rsidRPr="00B22C43" w:rsidTr="00D86FBF">
        <w:trPr>
          <w:cnfStyle w:val="000000100000"/>
          <w:trHeight w:val="315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ALAGOAS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101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43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3F488F" w:rsidRPr="00B22C43" w:rsidTr="00D86FBF">
        <w:trPr>
          <w:trHeight w:val="300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BAHIA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967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308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3F488F" w:rsidRPr="00B22C43" w:rsidTr="00D86FBF">
        <w:trPr>
          <w:cnfStyle w:val="000000100000"/>
          <w:trHeight w:val="300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CEARÁ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199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88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23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3F488F" w:rsidRPr="00B22C43" w:rsidTr="00D86FBF">
        <w:trPr>
          <w:trHeight w:val="300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MARANHÃO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143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47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13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3</w:t>
            </w:r>
            <w:proofErr w:type="gramEnd"/>
          </w:p>
        </w:tc>
      </w:tr>
      <w:tr w:rsidR="003F488F" w:rsidRPr="00B22C43" w:rsidTr="00D86FBF">
        <w:trPr>
          <w:cnfStyle w:val="000000100000"/>
          <w:trHeight w:val="300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PARAÍBA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84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32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3F488F" w:rsidRPr="00B22C43" w:rsidTr="00D86FBF">
        <w:trPr>
          <w:trHeight w:val="300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PERNAMBUCO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327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136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37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4</w:t>
            </w:r>
            <w:proofErr w:type="gramEnd"/>
          </w:p>
        </w:tc>
      </w:tr>
      <w:tr w:rsidR="003F488F" w:rsidRPr="00B22C43" w:rsidTr="00D86FBF">
        <w:trPr>
          <w:cnfStyle w:val="000000100000"/>
          <w:trHeight w:val="300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PIAUÍ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59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25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3F488F" w:rsidRPr="00B22C43" w:rsidTr="00D86FBF">
        <w:trPr>
          <w:trHeight w:val="300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RIO GRANDE DO NORTE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77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28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3F488F" w:rsidRPr="00B22C43" w:rsidTr="00D86FBF">
        <w:trPr>
          <w:cnfStyle w:val="000000100000"/>
          <w:trHeight w:val="315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SERGIPE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70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15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3F488F" w:rsidRPr="00B22C43" w:rsidTr="00D86FBF">
        <w:trPr>
          <w:trHeight w:val="315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TOTAL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2.027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722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107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7</w:t>
            </w:r>
            <w:proofErr w:type="gramEnd"/>
          </w:p>
        </w:tc>
      </w:tr>
    </w:tbl>
    <w:p w:rsidR="002F09E0" w:rsidRPr="00B22C43" w:rsidRDefault="002F09E0" w:rsidP="002F09E0">
      <w:pPr>
        <w:spacing w:after="0" w:line="240" w:lineRule="auto"/>
        <w:contextualSpacing/>
        <w:jc w:val="both"/>
        <w:rPr>
          <w:lang w:eastAsia="pt-BR"/>
        </w:rPr>
      </w:pPr>
    </w:p>
    <w:p w:rsidR="002F09E0" w:rsidRPr="00B22C43" w:rsidRDefault="002F09E0" w:rsidP="002F09E0">
      <w:pPr>
        <w:shd w:val="clear" w:color="auto" w:fill="FFFFFF"/>
        <w:spacing w:after="0" w:line="240" w:lineRule="auto"/>
        <w:contextualSpacing/>
        <w:jc w:val="center"/>
        <w:rPr>
          <w:noProof/>
          <w:lang w:eastAsia="pt-BR"/>
        </w:rPr>
      </w:pPr>
      <w:r w:rsidRPr="00B22C43">
        <w:rPr>
          <w:noProof/>
          <w:sz w:val="16"/>
          <w:szCs w:val="16"/>
          <w:lang w:eastAsia="pt-BR"/>
        </w:rPr>
        <w:t>Fonte: : Dados extraídos do SIGI-WEB em 19/07/2017. Elaboração própria.</w:t>
      </w:r>
    </w:p>
    <w:p w:rsidR="00A32EE8" w:rsidRPr="00B22C43" w:rsidRDefault="00A32EE8" w:rsidP="00A32EE8">
      <w:pPr>
        <w:spacing w:after="0" w:line="240" w:lineRule="auto"/>
        <w:contextualSpacing/>
        <w:jc w:val="both"/>
        <w:rPr>
          <w:lang w:eastAsia="pt-BR"/>
        </w:rPr>
      </w:pPr>
    </w:p>
    <w:p w:rsidR="00A32EE8" w:rsidRPr="00B22C43" w:rsidRDefault="00A32EE8" w:rsidP="00753901">
      <w:pPr>
        <w:shd w:val="clear" w:color="auto" w:fill="FFFFFF"/>
        <w:spacing w:after="0" w:line="240" w:lineRule="auto"/>
        <w:contextualSpacing/>
        <w:jc w:val="center"/>
        <w:rPr>
          <w:noProof/>
          <w:sz w:val="16"/>
          <w:szCs w:val="16"/>
          <w:lang w:eastAsia="pt-BR"/>
        </w:rPr>
      </w:pPr>
    </w:p>
    <w:p w:rsidR="00972EC3" w:rsidRPr="00B22C43" w:rsidRDefault="00972EC3" w:rsidP="00753901">
      <w:pPr>
        <w:spacing w:after="0" w:line="240" w:lineRule="auto"/>
        <w:contextualSpacing/>
        <w:rPr>
          <w:b/>
          <w:lang w:eastAsia="pt-BR"/>
        </w:rPr>
      </w:pPr>
    </w:p>
    <w:p w:rsidR="00972EC3" w:rsidRDefault="00972EC3" w:rsidP="00753901">
      <w:pPr>
        <w:spacing w:after="0" w:line="240" w:lineRule="auto"/>
        <w:contextualSpacing/>
        <w:rPr>
          <w:b/>
          <w:lang w:eastAsia="pt-BR"/>
        </w:rPr>
      </w:pPr>
    </w:p>
    <w:p w:rsidR="00B6344A" w:rsidRDefault="00B6344A" w:rsidP="00753901">
      <w:pPr>
        <w:spacing w:after="0" w:line="240" w:lineRule="auto"/>
        <w:contextualSpacing/>
        <w:rPr>
          <w:b/>
          <w:lang w:eastAsia="pt-BR"/>
        </w:rPr>
      </w:pPr>
    </w:p>
    <w:p w:rsidR="00B6344A" w:rsidRDefault="00B6344A" w:rsidP="00753901">
      <w:pPr>
        <w:spacing w:after="0" w:line="240" w:lineRule="auto"/>
        <w:contextualSpacing/>
        <w:rPr>
          <w:b/>
          <w:lang w:eastAsia="pt-BR"/>
        </w:rPr>
      </w:pPr>
    </w:p>
    <w:p w:rsidR="00B6344A" w:rsidRDefault="00B6344A" w:rsidP="00753901">
      <w:pPr>
        <w:spacing w:after="0" w:line="240" w:lineRule="auto"/>
        <w:contextualSpacing/>
        <w:rPr>
          <w:b/>
          <w:lang w:eastAsia="pt-BR"/>
        </w:rPr>
      </w:pPr>
    </w:p>
    <w:p w:rsidR="00B6344A" w:rsidRPr="00B22C43" w:rsidRDefault="00B6344A" w:rsidP="00753901">
      <w:pPr>
        <w:spacing w:after="0" w:line="240" w:lineRule="auto"/>
        <w:contextualSpacing/>
        <w:rPr>
          <w:b/>
          <w:lang w:eastAsia="pt-BR"/>
        </w:rPr>
      </w:pPr>
    </w:p>
    <w:p w:rsidR="00972EC3" w:rsidRPr="00B22C43" w:rsidRDefault="00972EC3" w:rsidP="00753901">
      <w:pPr>
        <w:spacing w:after="0" w:line="240" w:lineRule="auto"/>
        <w:contextualSpacing/>
        <w:rPr>
          <w:b/>
          <w:lang w:eastAsia="pt-BR"/>
        </w:rPr>
      </w:pPr>
    </w:p>
    <w:p w:rsidR="00972EC3" w:rsidRPr="00B22C43" w:rsidRDefault="002C5967" w:rsidP="002F09E0">
      <w:pPr>
        <w:spacing w:after="0" w:line="240" w:lineRule="auto"/>
        <w:contextualSpacing/>
        <w:jc w:val="both"/>
        <w:rPr>
          <w:lang w:eastAsia="pt-BR"/>
        </w:rPr>
      </w:pPr>
      <w:r w:rsidRPr="00B22C43">
        <w:rPr>
          <w:b/>
          <w:lang w:eastAsia="pt-BR"/>
        </w:rPr>
        <w:lastRenderedPageBreak/>
        <w:t>TABELA 3</w:t>
      </w:r>
      <w:r w:rsidRPr="00B22C43">
        <w:rPr>
          <w:lang w:eastAsia="pt-BR"/>
        </w:rPr>
        <w:t xml:space="preserve"> –</w:t>
      </w:r>
      <w:r w:rsidR="00D25C7D" w:rsidRPr="00B22C43">
        <w:rPr>
          <w:lang w:eastAsia="pt-BR"/>
        </w:rPr>
        <w:t xml:space="preserve"> </w:t>
      </w:r>
      <w:r w:rsidR="00707887" w:rsidRPr="00B22C43">
        <w:rPr>
          <w:lang w:eastAsia="pt-BR"/>
        </w:rPr>
        <w:t xml:space="preserve">Número de ações de fiscalização e de autos de infração, de interdição e de apreensão lavrados </w:t>
      </w:r>
      <w:r w:rsidR="00364088" w:rsidRPr="00B22C43">
        <w:rPr>
          <w:lang w:eastAsia="pt-BR"/>
        </w:rPr>
        <w:t xml:space="preserve">na </w:t>
      </w:r>
      <w:r w:rsidRPr="00B22C43">
        <w:rPr>
          <w:lang w:eastAsia="pt-BR"/>
        </w:rPr>
        <w:t xml:space="preserve">Região </w:t>
      </w:r>
      <w:proofErr w:type="gramStart"/>
      <w:r w:rsidRPr="00B22C43">
        <w:rPr>
          <w:lang w:eastAsia="pt-BR"/>
        </w:rPr>
        <w:t>Centro-Oeste</w:t>
      </w:r>
      <w:proofErr w:type="gramEnd"/>
    </w:p>
    <w:p w:rsidR="002F09E0" w:rsidRPr="00B22C43" w:rsidRDefault="002F09E0" w:rsidP="002F09E0">
      <w:pPr>
        <w:spacing w:after="0" w:line="240" w:lineRule="auto"/>
        <w:contextualSpacing/>
        <w:jc w:val="both"/>
        <w:rPr>
          <w:lang w:eastAsia="pt-BR"/>
        </w:rPr>
      </w:pPr>
    </w:p>
    <w:tbl>
      <w:tblPr>
        <w:tblStyle w:val="SombreamentoClaro-nfase6"/>
        <w:tblW w:w="9220" w:type="dxa"/>
        <w:jc w:val="center"/>
        <w:tblLook w:val="04A0"/>
      </w:tblPr>
      <w:tblGrid>
        <w:gridCol w:w="2580"/>
        <w:gridCol w:w="1660"/>
        <w:gridCol w:w="1660"/>
        <w:gridCol w:w="1660"/>
        <w:gridCol w:w="1660"/>
      </w:tblGrid>
      <w:tr w:rsidR="003F488F" w:rsidRPr="00B22C43" w:rsidTr="00D86FBF">
        <w:trPr>
          <w:cnfStyle w:val="100000000000"/>
          <w:trHeight w:val="615"/>
          <w:jc w:val="center"/>
        </w:trPr>
        <w:tc>
          <w:tcPr>
            <w:cnfStyle w:val="001000000000"/>
            <w:tcW w:w="2580" w:type="dxa"/>
            <w:noWrap/>
            <w:vAlign w:val="center"/>
            <w:hideMark/>
          </w:tcPr>
          <w:p w:rsidR="003F488F" w:rsidRPr="00B22C43" w:rsidRDefault="003F488F" w:rsidP="00D86FBF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REGIÃO CENTRO-OESTE</w:t>
            </w:r>
          </w:p>
        </w:tc>
        <w:tc>
          <w:tcPr>
            <w:tcW w:w="1660" w:type="dxa"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Ações de fiscalização</w:t>
            </w:r>
          </w:p>
        </w:tc>
        <w:tc>
          <w:tcPr>
            <w:tcW w:w="1660" w:type="dxa"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Autos de infração</w:t>
            </w:r>
          </w:p>
        </w:tc>
        <w:tc>
          <w:tcPr>
            <w:tcW w:w="1660" w:type="dxa"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Autos de interdição</w:t>
            </w:r>
          </w:p>
        </w:tc>
        <w:tc>
          <w:tcPr>
            <w:tcW w:w="1660" w:type="dxa"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Autos de Apreensão</w:t>
            </w:r>
          </w:p>
        </w:tc>
      </w:tr>
      <w:tr w:rsidR="003F488F" w:rsidRPr="00B22C43" w:rsidTr="00D86FBF">
        <w:trPr>
          <w:cnfStyle w:val="000000100000"/>
          <w:trHeight w:val="315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DISTRITO FEDERAL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800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167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1</w:t>
            </w:r>
            <w:proofErr w:type="gramEnd"/>
          </w:p>
        </w:tc>
      </w:tr>
      <w:tr w:rsidR="003F488F" w:rsidRPr="00B22C43" w:rsidTr="00D86FBF">
        <w:trPr>
          <w:trHeight w:val="300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GOIÁS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1.509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197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15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5</w:t>
            </w:r>
            <w:proofErr w:type="gramEnd"/>
          </w:p>
        </w:tc>
      </w:tr>
      <w:tr w:rsidR="003F488F" w:rsidRPr="00B22C43" w:rsidTr="00D86FBF">
        <w:trPr>
          <w:cnfStyle w:val="000000100000"/>
          <w:trHeight w:val="300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MATO GROSSO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195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60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1</w:t>
            </w:r>
            <w:proofErr w:type="gramEnd"/>
          </w:p>
        </w:tc>
      </w:tr>
      <w:tr w:rsidR="003F488F" w:rsidRPr="00B22C43" w:rsidTr="00D86FBF">
        <w:trPr>
          <w:trHeight w:val="315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MATO GROSSO DO SUL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111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42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2</w:t>
            </w:r>
            <w:proofErr w:type="gramEnd"/>
          </w:p>
        </w:tc>
      </w:tr>
      <w:tr w:rsidR="003F488F" w:rsidRPr="00B22C43" w:rsidTr="00D86FBF">
        <w:trPr>
          <w:cnfStyle w:val="000000100000"/>
          <w:trHeight w:val="315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TOTAL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2.615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466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24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9</w:t>
            </w:r>
            <w:proofErr w:type="gramEnd"/>
          </w:p>
        </w:tc>
      </w:tr>
    </w:tbl>
    <w:p w:rsidR="002F09E0" w:rsidRPr="00B22C43" w:rsidRDefault="002F09E0" w:rsidP="002F09E0">
      <w:pPr>
        <w:spacing w:after="0" w:line="240" w:lineRule="auto"/>
        <w:contextualSpacing/>
        <w:jc w:val="both"/>
        <w:rPr>
          <w:lang w:eastAsia="pt-BR"/>
        </w:rPr>
      </w:pPr>
    </w:p>
    <w:p w:rsidR="002F09E0" w:rsidRPr="00B22C43" w:rsidRDefault="002F09E0" w:rsidP="002F09E0">
      <w:pPr>
        <w:shd w:val="clear" w:color="auto" w:fill="FFFFFF"/>
        <w:spacing w:after="0" w:line="240" w:lineRule="auto"/>
        <w:contextualSpacing/>
        <w:jc w:val="center"/>
        <w:rPr>
          <w:noProof/>
          <w:lang w:eastAsia="pt-BR"/>
        </w:rPr>
      </w:pPr>
      <w:r w:rsidRPr="00B22C43">
        <w:rPr>
          <w:noProof/>
          <w:sz w:val="16"/>
          <w:szCs w:val="16"/>
          <w:lang w:eastAsia="pt-BR"/>
        </w:rPr>
        <w:t>Fonte: : Dados extraídos do SIGI-WEB em 19/07/2017. Elaboração própria.</w:t>
      </w:r>
    </w:p>
    <w:p w:rsidR="00780993" w:rsidRPr="00B22C43" w:rsidRDefault="00780993" w:rsidP="00753901">
      <w:pPr>
        <w:spacing w:after="0" w:line="240" w:lineRule="auto"/>
        <w:contextualSpacing/>
        <w:rPr>
          <w:rFonts w:eastAsia="Times New Roman" w:cs="Calibri"/>
          <w:b/>
          <w:sz w:val="20"/>
          <w:szCs w:val="20"/>
          <w:lang w:eastAsia="pt-BR"/>
        </w:rPr>
      </w:pPr>
    </w:p>
    <w:p w:rsidR="00724CDB" w:rsidRPr="00B22C43" w:rsidRDefault="00724CDB" w:rsidP="00753901">
      <w:pPr>
        <w:spacing w:after="0" w:line="240" w:lineRule="auto"/>
        <w:contextualSpacing/>
        <w:rPr>
          <w:lang w:eastAsia="pt-BR"/>
        </w:rPr>
      </w:pPr>
    </w:p>
    <w:p w:rsidR="00972EC3" w:rsidRPr="00B22C43" w:rsidRDefault="002C5967" w:rsidP="002F09E0">
      <w:pPr>
        <w:spacing w:after="0" w:line="240" w:lineRule="auto"/>
        <w:contextualSpacing/>
        <w:jc w:val="both"/>
        <w:rPr>
          <w:lang w:eastAsia="pt-BR"/>
        </w:rPr>
      </w:pPr>
      <w:r w:rsidRPr="00B22C43">
        <w:rPr>
          <w:b/>
          <w:lang w:eastAsia="pt-BR"/>
        </w:rPr>
        <w:t>TABELA 4</w:t>
      </w:r>
      <w:r w:rsidRPr="00B22C43">
        <w:rPr>
          <w:lang w:eastAsia="pt-BR"/>
        </w:rPr>
        <w:t xml:space="preserve"> – </w:t>
      </w:r>
      <w:r w:rsidR="00707887" w:rsidRPr="00B22C43">
        <w:rPr>
          <w:lang w:eastAsia="pt-BR"/>
        </w:rPr>
        <w:t xml:space="preserve">Número de ações de fiscalização e de autos de infração, de interdição e de apreensão lavrados </w:t>
      </w:r>
      <w:r w:rsidR="00364088" w:rsidRPr="00B22C43">
        <w:rPr>
          <w:lang w:eastAsia="pt-BR"/>
        </w:rPr>
        <w:t xml:space="preserve">na </w:t>
      </w:r>
      <w:r w:rsidRPr="00B22C43">
        <w:rPr>
          <w:lang w:eastAsia="pt-BR"/>
        </w:rPr>
        <w:t xml:space="preserve">Região </w:t>
      </w:r>
      <w:proofErr w:type="gramStart"/>
      <w:r w:rsidRPr="00B22C43">
        <w:rPr>
          <w:lang w:eastAsia="pt-BR"/>
        </w:rPr>
        <w:t>Sudeste</w:t>
      </w:r>
      <w:proofErr w:type="gramEnd"/>
    </w:p>
    <w:p w:rsidR="002F09E0" w:rsidRPr="00B22C43" w:rsidRDefault="002F09E0" w:rsidP="002F09E0">
      <w:pPr>
        <w:spacing w:after="0" w:line="240" w:lineRule="auto"/>
        <w:contextualSpacing/>
        <w:jc w:val="both"/>
        <w:rPr>
          <w:lang w:eastAsia="pt-BR"/>
        </w:rPr>
      </w:pPr>
    </w:p>
    <w:tbl>
      <w:tblPr>
        <w:tblStyle w:val="SombreamentoClaro-nfase6"/>
        <w:tblW w:w="9220" w:type="dxa"/>
        <w:jc w:val="center"/>
        <w:tblLook w:val="04A0"/>
      </w:tblPr>
      <w:tblGrid>
        <w:gridCol w:w="2580"/>
        <w:gridCol w:w="1660"/>
        <w:gridCol w:w="1660"/>
        <w:gridCol w:w="1660"/>
        <w:gridCol w:w="1660"/>
      </w:tblGrid>
      <w:tr w:rsidR="003F488F" w:rsidRPr="00B22C43" w:rsidTr="00D86FBF">
        <w:trPr>
          <w:cnfStyle w:val="100000000000"/>
          <w:trHeight w:val="615"/>
          <w:jc w:val="center"/>
        </w:trPr>
        <w:tc>
          <w:tcPr>
            <w:cnfStyle w:val="001000000000"/>
            <w:tcW w:w="2580" w:type="dxa"/>
            <w:noWrap/>
            <w:vAlign w:val="center"/>
            <w:hideMark/>
          </w:tcPr>
          <w:p w:rsidR="003F488F" w:rsidRPr="00B22C43" w:rsidRDefault="003F488F" w:rsidP="00D86FBF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REGIÃO SUDESTE</w:t>
            </w:r>
          </w:p>
        </w:tc>
        <w:tc>
          <w:tcPr>
            <w:tcW w:w="1660" w:type="dxa"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Ações de fiscalização</w:t>
            </w:r>
          </w:p>
        </w:tc>
        <w:tc>
          <w:tcPr>
            <w:tcW w:w="1660" w:type="dxa"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Autos de infração</w:t>
            </w:r>
          </w:p>
        </w:tc>
        <w:tc>
          <w:tcPr>
            <w:tcW w:w="1660" w:type="dxa"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Autos de interdição</w:t>
            </w:r>
          </w:p>
        </w:tc>
        <w:tc>
          <w:tcPr>
            <w:tcW w:w="1660" w:type="dxa"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Autos de Apreensão</w:t>
            </w:r>
          </w:p>
        </w:tc>
      </w:tr>
      <w:tr w:rsidR="003F488F" w:rsidRPr="00B22C43" w:rsidTr="00D86FBF">
        <w:trPr>
          <w:cnfStyle w:val="000000100000"/>
          <w:trHeight w:val="315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ESPÍRITO SANTO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230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76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12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6</w:t>
            </w:r>
            <w:proofErr w:type="gramEnd"/>
          </w:p>
        </w:tc>
      </w:tr>
      <w:tr w:rsidR="003F488F" w:rsidRPr="00B22C43" w:rsidTr="00D86FBF">
        <w:trPr>
          <w:trHeight w:val="300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MINAS GERAIS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601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215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42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32</w:t>
            </w:r>
          </w:p>
        </w:tc>
      </w:tr>
      <w:tr w:rsidR="003F488F" w:rsidRPr="00B22C43" w:rsidTr="00D86FBF">
        <w:trPr>
          <w:cnfStyle w:val="000000100000"/>
          <w:trHeight w:val="300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RIO DE JANEIRO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1.407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270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53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4</w:t>
            </w:r>
            <w:proofErr w:type="gramEnd"/>
          </w:p>
        </w:tc>
      </w:tr>
      <w:tr w:rsidR="003F488F" w:rsidRPr="00B22C43" w:rsidTr="00D86FBF">
        <w:trPr>
          <w:trHeight w:val="315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SÃO PAULO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1.397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518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77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29</w:t>
            </w:r>
          </w:p>
        </w:tc>
      </w:tr>
      <w:tr w:rsidR="003F488F" w:rsidRPr="00B22C43" w:rsidTr="00D86FBF">
        <w:trPr>
          <w:cnfStyle w:val="000000100000"/>
          <w:trHeight w:val="315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TOTAL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3.635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1.079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184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71</w:t>
            </w:r>
          </w:p>
        </w:tc>
      </w:tr>
    </w:tbl>
    <w:p w:rsidR="002F09E0" w:rsidRPr="00B22C43" w:rsidRDefault="002F09E0" w:rsidP="002F09E0">
      <w:pPr>
        <w:spacing w:after="0" w:line="240" w:lineRule="auto"/>
        <w:contextualSpacing/>
        <w:jc w:val="both"/>
        <w:rPr>
          <w:lang w:eastAsia="pt-BR"/>
        </w:rPr>
      </w:pPr>
    </w:p>
    <w:p w:rsidR="002F09E0" w:rsidRPr="00B22C43" w:rsidRDefault="002F09E0" w:rsidP="002F09E0">
      <w:pPr>
        <w:shd w:val="clear" w:color="auto" w:fill="FFFFFF"/>
        <w:spacing w:after="0" w:line="240" w:lineRule="auto"/>
        <w:contextualSpacing/>
        <w:jc w:val="center"/>
        <w:rPr>
          <w:noProof/>
          <w:lang w:eastAsia="pt-BR"/>
        </w:rPr>
      </w:pPr>
      <w:r w:rsidRPr="00B22C43">
        <w:rPr>
          <w:noProof/>
          <w:sz w:val="16"/>
          <w:szCs w:val="16"/>
          <w:lang w:eastAsia="pt-BR"/>
        </w:rPr>
        <w:t>Fonte: : Dados extraídos do SIGI-WEB em 19/07/2017. Elaboração própria.</w:t>
      </w:r>
    </w:p>
    <w:p w:rsidR="00470667" w:rsidRPr="00B22C43" w:rsidRDefault="00470667" w:rsidP="00753901">
      <w:pPr>
        <w:spacing w:after="0" w:line="240" w:lineRule="auto"/>
        <w:contextualSpacing/>
        <w:rPr>
          <w:rFonts w:eastAsia="Times New Roman" w:cs="Calibri"/>
          <w:b/>
          <w:lang w:eastAsia="pt-BR"/>
        </w:rPr>
      </w:pPr>
    </w:p>
    <w:p w:rsidR="00972EC3" w:rsidRPr="00B22C43" w:rsidRDefault="003C7201" w:rsidP="002F09E0">
      <w:pPr>
        <w:spacing w:after="0" w:line="240" w:lineRule="auto"/>
        <w:contextualSpacing/>
        <w:jc w:val="both"/>
        <w:rPr>
          <w:lang w:eastAsia="pt-BR"/>
        </w:rPr>
      </w:pPr>
      <w:r w:rsidRPr="00B22C43">
        <w:rPr>
          <w:b/>
          <w:lang w:eastAsia="pt-BR"/>
        </w:rPr>
        <w:t>TABELA 5</w:t>
      </w:r>
      <w:r w:rsidRPr="00B22C43">
        <w:rPr>
          <w:lang w:eastAsia="pt-BR"/>
        </w:rPr>
        <w:t xml:space="preserve"> –</w:t>
      </w:r>
      <w:r w:rsidR="00D25C7D" w:rsidRPr="00B22C43">
        <w:rPr>
          <w:lang w:eastAsia="pt-BR"/>
        </w:rPr>
        <w:t xml:space="preserve"> </w:t>
      </w:r>
      <w:r w:rsidR="00707887" w:rsidRPr="00B22C43">
        <w:rPr>
          <w:lang w:eastAsia="pt-BR"/>
        </w:rPr>
        <w:t xml:space="preserve">Número de ações de fiscalização e de autos de infração, de interdição e de apreensão lavrados </w:t>
      </w:r>
      <w:r w:rsidR="00364088" w:rsidRPr="00B22C43">
        <w:rPr>
          <w:lang w:eastAsia="pt-BR"/>
        </w:rPr>
        <w:t xml:space="preserve">na </w:t>
      </w:r>
      <w:r w:rsidRPr="00B22C43">
        <w:rPr>
          <w:lang w:eastAsia="pt-BR"/>
        </w:rPr>
        <w:t xml:space="preserve">Região </w:t>
      </w:r>
      <w:proofErr w:type="gramStart"/>
      <w:r w:rsidR="00ED0D38" w:rsidRPr="00B22C43">
        <w:rPr>
          <w:lang w:eastAsia="pt-BR"/>
        </w:rPr>
        <w:t>Sul</w:t>
      </w:r>
      <w:proofErr w:type="gramEnd"/>
    </w:p>
    <w:p w:rsidR="002F09E0" w:rsidRPr="00B22C43" w:rsidRDefault="002F09E0" w:rsidP="002F09E0">
      <w:pPr>
        <w:spacing w:after="0" w:line="240" w:lineRule="auto"/>
        <w:contextualSpacing/>
        <w:jc w:val="both"/>
        <w:rPr>
          <w:lang w:eastAsia="pt-BR"/>
        </w:rPr>
      </w:pPr>
    </w:p>
    <w:tbl>
      <w:tblPr>
        <w:tblStyle w:val="SombreamentoClaro-nfase6"/>
        <w:tblW w:w="9220" w:type="dxa"/>
        <w:jc w:val="center"/>
        <w:tblLook w:val="04A0"/>
      </w:tblPr>
      <w:tblGrid>
        <w:gridCol w:w="2580"/>
        <w:gridCol w:w="1660"/>
        <w:gridCol w:w="1660"/>
        <w:gridCol w:w="1660"/>
        <w:gridCol w:w="1660"/>
      </w:tblGrid>
      <w:tr w:rsidR="003F488F" w:rsidRPr="00B22C43" w:rsidTr="00D86FBF">
        <w:trPr>
          <w:cnfStyle w:val="100000000000"/>
          <w:trHeight w:val="615"/>
          <w:jc w:val="center"/>
        </w:trPr>
        <w:tc>
          <w:tcPr>
            <w:cnfStyle w:val="001000000000"/>
            <w:tcW w:w="2580" w:type="dxa"/>
            <w:noWrap/>
            <w:vAlign w:val="center"/>
            <w:hideMark/>
          </w:tcPr>
          <w:p w:rsidR="003F488F" w:rsidRPr="00B22C43" w:rsidRDefault="003F488F" w:rsidP="00D86FBF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REGIÃO SUL</w:t>
            </w:r>
          </w:p>
        </w:tc>
        <w:tc>
          <w:tcPr>
            <w:tcW w:w="1660" w:type="dxa"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Ações de fiscalização</w:t>
            </w:r>
          </w:p>
        </w:tc>
        <w:tc>
          <w:tcPr>
            <w:tcW w:w="1660" w:type="dxa"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Autos de infração</w:t>
            </w:r>
          </w:p>
        </w:tc>
        <w:tc>
          <w:tcPr>
            <w:tcW w:w="1660" w:type="dxa"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Autos de interdição</w:t>
            </w:r>
          </w:p>
        </w:tc>
        <w:tc>
          <w:tcPr>
            <w:tcW w:w="1660" w:type="dxa"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Autos de Apreensão</w:t>
            </w:r>
          </w:p>
        </w:tc>
      </w:tr>
      <w:tr w:rsidR="003F488F" w:rsidRPr="00B22C43" w:rsidTr="00D86FBF">
        <w:trPr>
          <w:cnfStyle w:val="000000100000"/>
          <w:trHeight w:val="315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 xml:space="preserve">PARANÁ 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191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76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3F488F" w:rsidRPr="00B22C43" w:rsidTr="00D86FBF">
        <w:trPr>
          <w:trHeight w:val="300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RIO GRANDE DO SUL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505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247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28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5</w:t>
            </w:r>
            <w:proofErr w:type="gramEnd"/>
          </w:p>
        </w:tc>
      </w:tr>
      <w:tr w:rsidR="003F488F" w:rsidRPr="00B22C43" w:rsidTr="00D86FBF">
        <w:trPr>
          <w:cnfStyle w:val="000000100000"/>
          <w:trHeight w:val="315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SANTA CATARINA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167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69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3F488F" w:rsidRPr="00B22C43" w:rsidTr="00D86FBF">
        <w:trPr>
          <w:trHeight w:val="315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TOTAL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863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392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37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B22C43">
              <w:rPr>
                <w:rFonts w:eastAsia="Times New Roman"/>
                <w:color w:val="000000"/>
                <w:lang w:eastAsia="pt-BR"/>
              </w:rPr>
              <w:t>5</w:t>
            </w:r>
            <w:proofErr w:type="gramEnd"/>
          </w:p>
        </w:tc>
      </w:tr>
    </w:tbl>
    <w:p w:rsidR="002F09E0" w:rsidRPr="00B22C43" w:rsidRDefault="002F09E0" w:rsidP="002F09E0">
      <w:pPr>
        <w:spacing w:after="0" w:line="240" w:lineRule="auto"/>
        <w:contextualSpacing/>
        <w:jc w:val="both"/>
        <w:rPr>
          <w:lang w:eastAsia="pt-BR"/>
        </w:rPr>
      </w:pPr>
    </w:p>
    <w:p w:rsidR="002F09E0" w:rsidRPr="00B22C43" w:rsidRDefault="002F09E0" w:rsidP="002F09E0">
      <w:pPr>
        <w:shd w:val="clear" w:color="auto" w:fill="FFFFFF"/>
        <w:spacing w:after="0" w:line="240" w:lineRule="auto"/>
        <w:contextualSpacing/>
        <w:jc w:val="center"/>
        <w:rPr>
          <w:noProof/>
          <w:lang w:eastAsia="pt-BR"/>
        </w:rPr>
      </w:pPr>
      <w:r w:rsidRPr="00B22C43">
        <w:rPr>
          <w:noProof/>
          <w:sz w:val="16"/>
          <w:szCs w:val="16"/>
          <w:lang w:eastAsia="pt-BR"/>
        </w:rPr>
        <w:t>Fonte: : Dados extraídos do SIGI-WEB em 19/07/2017. Elaboração própria.</w:t>
      </w:r>
    </w:p>
    <w:p w:rsidR="00162718" w:rsidRPr="00B22C43" w:rsidRDefault="00162718" w:rsidP="00753901">
      <w:pPr>
        <w:spacing w:after="0" w:line="240" w:lineRule="auto"/>
        <w:contextualSpacing/>
        <w:rPr>
          <w:lang w:eastAsia="pt-BR"/>
        </w:rPr>
      </w:pPr>
    </w:p>
    <w:p w:rsidR="000E62E5" w:rsidRPr="00B22C43" w:rsidRDefault="000E62E5" w:rsidP="00753901">
      <w:pPr>
        <w:spacing w:after="0" w:line="240" w:lineRule="auto"/>
        <w:contextualSpacing/>
        <w:rPr>
          <w:lang w:eastAsia="pt-BR"/>
        </w:rPr>
      </w:pPr>
    </w:p>
    <w:p w:rsidR="00831C1E" w:rsidRPr="00B22C43" w:rsidRDefault="00ED0D38" w:rsidP="002F09E0">
      <w:pPr>
        <w:spacing w:after="0" w:line="240" w:lineRule="auto"/>
        <w:contextualSpacing/>
        <w:jc w:val="both"/>
        <w:rPr>
          <w:lang w:eastAsia="pt-BR"/>
        </w:rPr>
      </w:pPr>
      <w:r w:rsidRPr="00B22C43">
        <w:rPr>
          <w:b/>
          <w:lang w:eastAsia="pt-BR"/>
        </w:rPr>
        <w:t>TABELA 6</w:t>
      </w:r>
      <w:r w:rsidRPr="00B22C43">
        <w:rPr>
          <w:lang w:eastAsia="pt-BR"/>
        </w:rPr>
        <w:t xml:space="preserve"> – </w:t>
      </w:r>
      <w:r w:rsidR="00707887" w:rsidRPr="00B22C43">
        <w:rPr>
          <w:lang w:eastAsia="pt-BR"/>
        </w:rPr>
        <w:t xml:space="preserve">Número de ações de fiscalização e de autos de infração, de interdição e de apreensão lavrados </w:t>
      </w:r>
      <w:r w:rsidR="00364088" w:rsidRPr="00B22C43">
        <w:rPr>
          <w:lang w:eastAsia="pt-BR"/>
        </w:rPr>
        <w:t xml:space="preserve">no </w:t>
      </w:r>
      <w:proofErr w:type="gramStart"/>
      <w:r w:rsidRPr="00B22C43">
        <w:rPr>
          <w:lang w:eastAsia="pt-BR"/>
        </w:rPr>
        <w:t>Brasil</w:t>
      </w:r>
      <w:bookmarkStart w:id="6" w:name="_Toc410404568"/>
      <w:bookmarkStart w:id="7" w:name="_Toc442180844"/>
      <w:proofErr w:type="gramEnd"/>
    </w:p>
    <w:p w:rsidR="002F09E0" w:rsidRPr="00B22C43" w:rsidRDefault="002F09E0" w:rsidP="002F09E0">
      <w:pPr>
        <w:spacing w:after="0" w:line="240" w:lineRule="auto"/>
        <w:contextualSpacing/>
        <w:jc w:val="both"/>
        <w:rPr>
          <w:lang w:eastAsia="pt-BR"/>
        </w:rPr>
      </w:pPr>
    </w:p>
    <w:tbl>
      <w:tblPr>
        <w:tblStyle w:val="SombreamentoClaro-nfase6"/>
        <w:tblW w:w="9220" w:type="dxa"/>
        <w:jc w:val="center"/>
        <w:tblLook w:val="04A0"/>
      </w:tblPr>
      <w:tblGrid>
        <w:gridCol w:w="2580"/>
        <w:gridCol w:w="1660"/>
        <w:gridCol w:w="1660"/>
        <w:gridCol w:w="1660"/>
        <w:gridCol w:w="1660"/>
      </w:tblGrid>
      <w:tr w:rsidR="003F488F" w:rsidRPr="00B22C43" w:rsidTr="00D86FBF">
        <w:trPr>
          <w:cnfStyle w:val="100000000000"/>
          <w:trHeight w:val="615"/>
          <w:jc w:val="center"/>
        </w:trPr>
        <w:tc>
          <w:tcPr>
            <w:cnfStyle w:val="001000000000"/>
            <w:tcW w:w="2580" w:type="dxa"/>
            <w:noWrap/>
            <w:vAlign w:val="center"/>
            <w:hideMark/>
          </w:tcPr>
          <w:p w:rsidR="003F488F" w:rsidRPr="00B22C43" w:rsidRDefault="003F488F" w:rsidP="00D86FBF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BRASIL</w:t>
            </w:r>
          </w:p>
        </w:tc>
        <w:tc>
          <w:tcPr>
            <w:tcW w:w="1660" w:type="dxa"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Ações de fiscalização</w:t>
            </w:r>
          </w:p>
        </w:tc>
        <w:tc>
          <w:tcPr>
            <w:tcW w:w="1660" w:type="dxa"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Autos de infração</w:t>
            </w:r>
          </w:p>
        </w:tc>
        <w:tc>
          <w:tcPr>
            <w:tcW w:w="1660" w:type="dxa"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Autos de interdição</w:t>
            </w:r>
          </w:p>
        </w:tc>
        <w:tc>
          <w:tcPr>
            <w:tcW w:w="1660" w:type="dxa"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Autos de Apreensão</w:t>
            </w:r>
          </w:p>
        </w:tc>
      </w:tr>
      <w:tr w:rsidR="003F488F" w:rsidRPr="00B22C43" w:rsidTr="00D86FBF">
        <w:trPr>
          <w:cnfStyle w:val="000000100000"/>
          <w:trHeight w:val="330"/>
          <w:jc w:val="center"/>
        </w:trPr>
        <w:tc>
          <w:tcPr>
            <w:cnfStyle w:val="001000000000"/>
            <w:tcW w:w="258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TOTAL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9.793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2.836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399</w:t>
            </w:r>
          </w:p>
        </w:tc>
        <w:tc>
          <w:tcPr>
            <w:tcW w:w="1660" w:type="dxa"/>
            <w:noWrap/>
            <w:hideMark/>
          </w:tcPr>
          <w:p w:rsidR="003F488F" w:rsidRPr="00B22C43" w:rsidRDefault="003F488F" w:rsidP="003F488F">
            <w:pPr>
              <w:spacing w:after="0" w:line="240" w:lineRule="auto"/>
              <w:jc w:val="center"/>
              <w:cnfStyle w:val="0000001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108</w:t>
            </w:r>
          </w:p>
        </w:tc>
      </w:tr>
    </w:tbl>
    <w:p w:rsidR="004C2C1F" w:rsidRPr="00265F14" w:rsidRDefault="004C2C1F" w:rsidP="002F09E0">
      <w:pPr>
        <w:shd w:val="clear" w:color="auto" w:fill="FFFFFF"/>
        <w:spacing w:after="0" w:line="240" w:lineRule="auto"/>
        <w:contextualSpacing/>
        <w:jc w:val="center"/>
        <w:rPr>
          <w:noProof/>
          <w:lang w:eastAsia="pt-BR"/>
        </w:rPr>
      </w:pPr>
    </w:p>
    <w:p w:rsidR="002F09E0" w:rsidRPr="00B22C43" w:rsidRDefault="002F09E0" w:rsidP="002F09E0">
      <w:pPr>
        <w:shd w:val="clear" w:color="auto" w:fill="FFFFFF"/>
        <w:spacing w:after="0" w:line="240" w:lineRule="auto"/>
        <w:contextualSpacing/>
        <w:jc w:val="center"/>
        <w:rPr>
          <w:noProof/>
          <w:lang w:eastAsia="pt-BR"/>
        </w:rPr>
      </w:pPr>
      <w:r w:rsidRPr="00B22C43">
        <w:rPr>
          <w:noProof/>
          <w:sz w:val="16"/>
          <w:szCs w:val="16"/>
          <w:lang w:eastAsia="pt-BR"/>
        </w:rPr>
        <w:t>Fonte: : Dados extraídos do SIGI-WEB em 19/07/2017. Elaboração própria.</w:t>
      </w:r>
    </w:p>
    <w:p w:rsidR="00F617C4" w:rsidRPr="00B22C43" w:rsidRDefault="00F617C4" w:rsidP="005923B3">
      <w:pPr>
        <w:pStyle w:val="Ttulo1"/>
        <w:spacing w:before="360"/>
        <w:rPr>
          <w:color w:val="E36C0A"/>
          <w:sz w:val="24"/>
          <w:szCs w:val="24"/>
          <w:lang w:eastAsia="pt-BR"/>
        </w:rPr>
      </w:pPr>
      <w:bookmarkStart w:id="8" w:name="_Toc490842895"/>
      <w:r w:rsidRPr="00B22C43">
        <w:rPr>
          <w:color w:val="E36C0A"/>
          <w:sz w:val="24"/>
          <w:szCs w:val="24"/>
          <w:lang w:eastAsia="pt-BR"/>
        </w:rPr>
        <w:lastRenderedPageBreak/>
        <w:t>3 – AÇÕES DE FISCALIZAÇÃO POR SEGMENTO</w:t>
      </w:r>
      <w:bookmarkEnd w:id="6"/>
      <w:bookmarkEnd w:id="8"/>
      <w:r w:rsidR="00780993" w:rsidRPr="00B22C43">
        <w:rPr>
          <w:color w:val="E36C0A"/>
          <w:sz w:val="24"/>
          <w:szCs w:val="24"/>
          <w:lang w:eastAsia="pt-BR"/>
        </w:rPr>
        <w:t xml:space="preserve"> </w:t>
      </w:r>
      <w:bookmarkEnd w:id="7"/>
    </w:p>
    <w:p w:rsidR="00F617C4" w:rsidRPr="00B22C43" w:rsidRDefault="00F617C4" w:rsidP="00753901">
      <w:pPr>
        <w:shd w:val="clear" w:color="auto" w:fill="FFFFFF"/>
        <w:spacing w:after="0" w:line="240" w:lineRule="auto"/>
        <w:contextualSpacing/>
        <w:rPr>
          <w:rFonts w:eastAsia="Times New Roman" w:cs="Calibri"/>
          <w:b/>
          <w:spacing w:val="20"/>
          <w:lang w:eastAsia="pt-BR"/>
        </w:rPr>
      </w:pPr>
    </w:p>
    <w:p w:rsidR="00B378B8" w:rsidRPr="00B22C43" w:rsidRDefault="00B70E54" w:rsidP="00753901">
      <w:pPr>
        <w:spacing w:after="0"/>
        <w:contextualSpacing/>
        <w:jc w:val="both"/>
        <w:rPr>
          <w:rFonts w:cs="Arial"/>
        </w:rPr>
      </w:pPr>
      <w:r w:rsidRPr="00B22C43">
        <w:rPr>
          <w:rFonts w:cs="Arial"/>
        </w:rPr>
        <w:t>O</w:t>
      </w:r>
      <w:r w:rsidR="000355B6" w:rsidRPr="00B22C43">
        <w:rPr>
          <w:rFonts w:cs="Arial"/>
        </w:rPr>
        <w:t xml:space="preserve"> </w:t>
      </w:r>
      <w:r w:rsidRPr="00B22C43">
        <w:rPr>
          <w:rFonts w:cs="Arial"/>
        </w:rPr>
        <w:t>abastecimento nacional</w:t>
      </w:r>
      <w:r w:rsidR="001D16D8" w:rsidRPr="00B22C43">
        <w:rPr>
          <w:rFonts w:cs="Arial"/>
        </w:rPr>
        <w:t xml:space="preserve"> </w:t>
      </w:r>
      <w:r w:rsidRPr="00B22C43">
        <w:rPr>
          <w:rFonts w:cs="Arial"/>
        </w:rPr>
        <w:t xml:space="preserve">é </w:t>
      </w:r>
      <w:r w:rsidR="000355B6" w:rsidRPr="00B22C43">
        <w:rPr>
          <w:rFonts w:cs="Arial"/>
        </w:rPr>
        <w:t>composto</w:t>
      </w:r>
      <w:r w:rsidR="000550AA" w:rsidRPr="00B22C43">
        <w:rPr>
          <w:rFonts w:cs="Arial"/>
        </w:rPr>
        <w:t xml:space="preserve"> atualmente</w:t>
      </w:r>
      <w:r w:rsidRPr="00B22C43">
        <w:rPr>
          <w:rFonts w:cs="Arial"/>
        </w:rPr>
        <w:t xml:space="preserve"> por </w:t>
      </w:r>
      <w:r w:rsidR="008505B7" w:rsidRPr="00B22C43">
        <w:rPr>
          <w:rFonts w:cs="Arial"/>
        </w:rPr>
        <w:t>cerca de 1</w:t>
      </w:r>
      <w:r w:rsidR="000550AA" w:rsidRPr="00B22C43">
        <w:rPr>
          <w:rFonts w:cs="Arial"/>
        </w:rPr>
        <w:t>20</w:t>
      </w:r>
      <w:r w:rsidR="008505B7" w:rsidRPr="00B22C43">
        <w:rPr>
          <w:rFonts w:cs="Arial"/>
        </w:rPr>
        <w:t xml:space="preserve">.000 </w:t>
      </w:r>
      <w:r w:rsidRPr="00B22C43">
        <w:rPr>
          <w:rFonts w:cs="Arial"/>
        </w:rPr>
        <w:t xml:space="preserve">agentes econômicos, divididos </w:t>
      </w:r>
      <w:r w:rsidR="009B7DCF" w:rsidRPr="00B22C43">
        <w:rPr>
          <w:rFonts w:cs="Arial"/>
        </w:rPr>
        <w:t>em mais de uma dezena de</w:t>
      </w:r>
      <w:r w:rsidR="000355B6" w:rsidRPr="00B22C43">
        <w:rPr>
          <w:rFonts w:cs="Arial"/>
        </w:rPr>
        <w:t xml:space="preserve"> </w:t>
      </w:r>
      <w:r w:rsidR="008505B7" w:rsidRPr="00B22C43">
        <w:rPr>
          <w:rFonts w:cs="Arial"/>
        </w:rPr>
        <w:t>segmentos</w:t>
      </w:r>
      <w:r w:rsidR="00386253" w:rsidRPr="00B22C43">
        <w:rPr>
          <w:rFonts w:cs="Arial"/>
        </w:rPr>
        <w:t xml:space="preserve">, </w:t>
      </w:r>
      <w:r w:rsidRPr="00B22C43">
        <w:rPr>
          <w:rFonts w:cs="Arial"/>
        </w:rPr>
        <w:t xml:space="preserve">de acordo com </w:t>
      </w:r>
      <w:r w:rsidR="00D25C7D" w:rsidRPr="00B22C43">
        <w:rPr>
          <w:rFonts w:cs="Arial"/>
        </w:rPr>
        <w:t xml:space="preserve">as </w:t>
      </w:r>
      <w:r w:rsidRPr="00B22C43">
        <w:rPr>
          <w:rFonts w:cs="Arial"/>
        </w:rPr>
        <w:t>atividade</w:t>
      </w:r>
      <w:r w:rsidR="00B24BA4" w:rsidRPr="00B22C43">
        <w:rPr>
          <w:rFonts w:cs="Arial"/>
        </w:rPr>
        <w:t xml:space="preserve">s </w:t>
      </w:r>
      <w:r w:rsidR="009B7DCF" w:rsidRPr="00B22C43">
        <w:rPr>
          <w:rFonts w:cs="Arial"/>
        </w:rPr>
        <w:t xml:space="preserve">econômicas </w:t>
      </w:r>
      <w:r w:rsidR="00B24BA4" w:rsidRPr="00B22C43">
        <w:rPr>
          <w:rFonts w:cs="Arial"/>
        </w:rPr>
        <w:t>exercidas</w:t>
      </w:r>
      <w:r w:rsidR="00386253" w:rsidRPr="00B22C43">
        <w:rPr>
          <w:rFonts w:cs="Arial"/>
        </w:rPr>
        <w:t>. As r</w:t>
      </w:r>
      <w:r w:rsidR="00B24BA4" w:rsidRPr="00B22C43">
        <w:rPr>
          <w:rFonts w:cs="Arial"/>
        </w:rPr>
        <w:t xml:space="preserve">evendas de combustíveis automotivos e </w:t>
      </w:r>
      <w:r w:rsidR="00386253" w:rsidRPr="00B22C43">
        <w:rPr>
          <w:rFonts w:cs="Arial"/>
        </w:rPr>
        <w:t>a</w:t>
      </w:r>
      <w:r w:rsidR="00B24BA4" w:rsidRPr="00B22C43">
        <w:rPr>
          <w:rFonts w:cs="Arial"/>
        </w:rPr>
        <w:t>s de GLP</w:t>
      </w:r>
      <w:r w:rsidR="00386253" w:rsidRPr="00B22C43">
        <w:rPr>
          <w:rFonts w:cs="Arial"/>
        </w:rPr>
        <w:t xml:space="preserve"> são </w:t>
      </w:r>
      <w:r w:rsidR="002D2B31" w:rsidRPr="00B22C43">
        <w:rPr>
          <w:rFonts w:cs="Arial"/>
        </w:rPr>
        <w:t>a</w:t>
      </w:r>
      <w:r w:rsidR="00386253" w:rsidRPr="00B22C43">
        <w:rPr>
          <w:rFonts w:cs="Arial"/>
        </w:rPr>
        <w:t>s mais numeros</w:t>
      </w:r>
      <w:r w:rsidR="002D2B31" w:rsidRPr="00B22C43">
        <w:rPr>
          <w:rFonts w:cs="Arial"/>
        </w:rPr>
        <w:t>a</w:t>
      </w:r>
      <w:r w:rsidR="00386253" w:rsidRPr="00B22C43">
        <w:rPr>
          <w:rFonts w:cs="Arial"/>
        </w:rPr>
        <w:t>s</w:t>
      </w:r>
      <w:r w:rsidR="007A490C" w:rsidRPr="00B22C43">
        <w:rPr>
          <w:rFonts w:cs="Arial"/>
        </w:rPr>
        <w:t xml:space="preserve">, </w:t>
      </w:r>
      <w:r w:rsidR="00154992" w:rsidRPr="00B22C43">
        <w:rPr>
          <w:rFonts w:cs="Arial"/>
        </w:rPr>
        <w:t>e</w:t>
      </w:r>
      <w:r w:rsidR="001F4565" w:rsidRPr="00B22C43">
        <w:rPr>
          <w:rFonts w:cs="Arial"/>
        </w:rPr>
        <w:t xml:space="preserve"> consequentemente</w:t>
      </w:r>
      <w:r w:rsidR="00154992" w:rsidRPr="00B22C43">
        <w:rPr>
          <w:rFonts w:cs="Arial"/>
        </w:rPr>
        <w:t xml:space="preserve"> </w:t>
      </w:r>
      <w:r w:rsidR="00386253" w:rsidRPr="00B22C43">
        <w:rPr>
          <w:rFonts w:cs="Arial"/>
        </w:rPr>
        <w:t xml:space="preserve">apresentam </w:t>
      </w:r>
      <w:r w:rsidR="000355B6" w:rsidRPr="00B22C43">
        <w:rPr>
          <w:rFonts w:cs="Arial"/>
        </w:rPr>
        <w:t xml:space="preserve">o </w:t>
      </w:r>
      <w:r w:rsidR="007C65EC" w:rsidRPr="00B22C43">
        <w:rPr>
          <w:rFonts w:cs="Arial"/>
        </w:rPr>
        <w:t>maior quantitativo</w:t>
      </w:r>
      <w:r w:rsidR="009B7DCF" w:rsidRPr="00B22C43">
        <w:rPr>
          <w:rFonts w:cs="Arial"/>
        </w:rPr>
        <w:t xml:space="preserve"> de ações de fiscalização, de autos de infração e de interdição.</w:t>
      </w:r>
    </w:p>
    <w:p w:rsidR="002F574C" w:rsidRPr="00B22C43" w:rsidRDefault="002F574C" w:rsidP="00753901">
      <w:pPr>
        <w:spacing w:after="0"/>
        <w:contextualSpacing/>
        <w:jc w:val="both"/>
        <w:rPr>
          <w:rFonts w:cs="Arial"/>
        </w:rPr>
      </w:pPr>
    </w:p>
    <w:p w:rsidR="00896933" w:rsidRPr="00B22C43" w:rsidRDefault="000355B6" w:rsidP="00753901">
      <w:pPr>
        <w:spacing w:after="0"/>
        <w:contextualSpacing/>
        <w:jc w:val="both"/>
        <w:rPr>
          <w:rFonts w:eastAsia="Times New Roman"/>
          <w:color w:val="000000"/>
          <w:sz w:val="16"/>
          <w:szCs w:val="16"/>
          <w:lang w:eastAsia="pt-BR"/>
        </w:rPr>
      </w:pPr>
      <w:r w:rsidRPr="00B22C43">
        <w:rPr>
          <w:rFonts w:cs="Arial"/>
        </w:rPr>
        <w:t xml:space="preserve">A tabela </w:t>
      </w:r>
      <w:r w:rsidR="00F93B97" w:rsidRPr="00B22C43">
        <w:rPr>
          <w:rFonts w:cs="Arial"/>
        </w:rPr>
        <w:t>a seguir</w:t>
      </w:r>
      <w:r w:rsidRPr="00B22C43">
        <w:rPr>
          <w:rFonts w:cs="Arial"/>
        </w:rPr>
        <w:t xml:space="preserve"> </w:t>
      </w:r>
      <w:r w:rsidR="003C5F1A" w:rsidRPr="00B22C43">
        <w:rPr>
          <w:rFonts w:cs="Arial"/>
        </w:rPr>
        <w:t xml:space="preserve">apresenta </w:t>
      </w:r>
      <w:r w:rsidRPr="00B22C43">
        <w:rPr>
          <w:rFonts w:cs="Arial"/>
        </w:rPr>
        <w:t>a distribuição das ações de fiscalização por segmento</w:t>
      </w:r>
      <w:r w:rsidR="00D43098" w:rsidRPr="00B22C43">
        <w:rPr>
          <w:rFonts w:cs="Arial"/>
        </w:rPr>
        <w:t>, assim como o número de</w:t>
      </w:r>
      <w:r w:rsidR="00707887" w:rsidRPr="00B22C43">
        <w:rPr>
          <w:rFonts w:cs="Arial"/>
        </w:rPr>
        <w:t xml:space="preserve"> autos de infração,</w:t>
      </w:r>
      <w:r w:rsidR="009B7DCF" w:rsidRPr="00B22C43">
        <w:rPr>
          <w:rFonts w:cs="Arial"/>
        </w:rPr>
        <w:t xml:space="preserve"> de interdição </w:t>
      </w:r>
      <w:r w:rsidR="00707887" w:rsidRPr="00B22C43">
        <w:rPr>
          <w:rFonts w:cs="Arial"/>
        </w:rPr>
        <w:t xml:space="preserve">e de apreensão </w:t>
      </w:r>
      <w:r w:rsidRPr="00B22C43">
        <w:rPr>
          <w:rFonts w:cs="Arial"/>
        </w:rPr>
        <w:t>lavrados</w:t>
      </w:r>
      <w:r w:rsidR="009B7DCF" w:rsidRPr="00B22C43">
        <w:rPr>
          <w:rFonts w:cs="Arial"/>
        </w:rPr>
        <w:t xml:space="preserve"> no primeiro semestre de 201</w:t>
      </w:r>
      <w:r w:rsidR="0073269B">
        <w:rPr>
          <w:rFonts w:cs="Arial"/>
        </w:rPr>
        <w:t>7</w:t>
      </w:r>
      <w:r w:rsidRPr="00B22C43">
        <w:rPr>
          <w:rFonts w:cs="Arial"/>
        </w:rPr>
        <w:t xml:space="preserve">. </w:t>
      </w:r>
      <w:r w:rsidR="009B7DCF" w:rsidRPr="00B22C43">
        <w:rPr>
          <w:rFonts w:cs="Arial"/>
        </w:rPr>
        <w:t>Os segmentos</w:t>
      </w:r>
      <w:r w:rsidR="000D2080" w:rsidRPr="00B22C43">
        <w:rPr>
          <w:rFonts w:cs="Arial"/>
        </w:rPr>
        <w:t xml:space="preserve"> que</w:t>
      </w:r>
      <w:r w:rsidRPr="00B22C43">
        <w:rPr>
          <w:rFonts w:cs="Arial"/>
        </w:rPr>
        <w:t xml:space="preserve"> apresentaram reduzido número de ações de fiscalização foram </w:t>
      </w:r>
      <w:r w:rsidR="005A10B9" w:rsidRPr="00B22C43">
        <w:rPr>
          <w:rFonts w:cs="Arial"/>
        </w:rPr>
        <w:t>classificados como</w:t>
      </w:r>
      <w:r w:rsidR="00D43098" w:rsidRPr="00B22C43">
        <w:rPr>
          <w:rFonts w:cs="Arial"/>
        </w:rPr>
        <w:t xml:space="preserve"> “</w:t>
      </w:r>
      <w:r w:rsidR="009B7DCF" w:rsidRPr="00B22C43">
        <w:rPr>
          <w:rFonts w:cs="Arial"/>
        </w:rPr>
        <w:t>demais</w:t>
      </w:r>
      <w:r w:rsidR="00D43098" w:rsidRPr="00B22C43">
        <w:rPr>
          <w:rFonts w:cs="Arial"/>
        </w:rPr>
        <w:t>”</w:t>
      </w:r>
      <w:r w:rsidRPr="00B22C43">
        <w:rPr>
          <w:rFonts w:cs="Arial"/>
        </w:rPr>
        <w:t xml:space="preserve">, </w:t>
      </w:r>
      <w:r w:rsidR="0067490B" w:rsidRPr="00B22C43">
        <w:rPr>
          <w:rFonts w:cs="Arial"/>
        </w:rPr>
        <w:t>compreendendo</w:t>
      </w:r>
      <w:r w:rsidR="001B17B9" w:rsidRPr="00B22C43">
        <w:rPr>
          <w:rFonts w:cs="Arial"/>
        </w:rPr>
        <w:t xml:space="preserve"> </w:t>
      </w:r>
      <w:r w:rsidR="001077A0" w:rsidRPr="00B22C43">
        <w:rPr>
          <w:rFonts w:cs="Arial"/>
        </w:rPr>
        <w:t>os</w:t>
      </w:r>
      <w:r w:rsidR="005A10B9" w:rsidRPr="00B22C43">
        <w:rPr>
          <w:rFonts w:cs="Arial"/>
        </w:rPr>
        <w:t xml:space="preserve"> </w:t>
      </w:r>
      <w:r w:rsidR="00582246" w:rsidRPr="00B22C43">
        <w:rPr>
          <w:rFonts w:cs="Arial"/>
        </w:rPr>
        <w:t>importador</w:t>
      </w:r>
      <w:r w:rsidR="001077A0" w:rsidRPr="00B22C43">
        <w:rPr>
          <w:rFonts w:cs="Arial"/>
        </w:rPr>
        <w:t>es</w:t>
      </w:r>
      <w:r w:rsidR="00582246" w:rsidRPr="00B22C43">
        <w:rPr>
          <w:rFonts w:cs="Arial"/>
        </w:rPr>
        <w:t xml:space="preserve"> de óleo lubrificante, </w:t>
      </w:r>
      <w:r w:rsidR="001077A0" w:rsidRPr="00B22C43">
        <w:rPr>
          <w:rFonts w:cs="Arial"/>
        </w:rPr>
        <w:t xml:space="preserve">os </w:t>
      </w:r>
      <w:r w:rsidR="008D6AB5" w:rsidRPr="00B22C43">
        <w:rPr>
          <w:rFonts w:cs="Arial"/>
        </w:rPr>
        <w:t>distribuidor</w:t>
      </w:r>
      <w:r w:rsidR="001077A0" w:rsidRPr="00B22C43">
        <w:rPr>
          <w:rFonts w:cs="Arial"/>
        </w:rPr>
        <w:t>es</w:t>
      </w:r>
      <w:r w:rsidR="008D6AB5" w:rsidRPr="00B22C43">
        <w:rPr>
          <w:rFonts w:cs="Arial"/>
        </w:rPr>
        <w:t xml:space="preserve"> de asfalto</w:t>
      </w:r>
      <w:r w:rsidR="0067490B" w:rsidRPr="00B22C43">
        <w:rPr>
          <w:rFonts w:cs="Arial"/>
        </w:rPr>
        <w:t xml:space="preserve"> e</w:t>
      </w:r>
      <w:r w:rsidR="00582246" w:rsidRPr="00B22C43">
        <w:rPr>
          <w:rFonts w:cs="Arial"/>
        </w:rPr>
        <w:t xml:space="preserve"> </w:t>
      </w:r>
      <w:r w:rsidR="001077A0" w:rsidRPr="00B22C43">
        <w:rPr>
          <w:rFonts w:cs="Arial"/>
        </w:rPr>
        <w:t xml:space="preserve">os </w:t>
      </w:r>
      <w:r w:rsidR="00582246" w:rsidRPr="00B22C43">
        <w:rPr>
          <w:rFonts w:cs="Arial"/>
        </w:rPr>
        <w:t>consumidor</w:t>
      </w:r>
      <w:r w:rsidR="001077A0" w:rsidRPr="00B22C43">
        <w:rPr>
          <w:rFonts w:cs="Arial"/>
        </w:rPr>
        <w:t>es industriais</w:t>
      </w:r>
      <w:r w:rsidR="00582246" w:rsidRPr="00B22C43">
        <w:rPr>
          <w:rFonts w:cs="Arial"/>
        </w:rPr>
        <w:t xml:space="preserve"> de solvente</w:t>
      </w:r>
      <w:r w:rsidR="001077A0" w:rsidRPr="00B22C43">
        <w:rPr>
          <w:rFonts w:cs="Arial"/>
        </w:rPr>
        <w:t>, por exemplo</w:t>
      </w:r>
      <w:r w:rsidR="00D43098" w:rsidRPr="00B22C43">
        <w:rPr>
          <w:rFonts w:cs="Arial"/>
        </w:rPr>
        <w:t>.</w:t>
      </w:r>
    </w:p>
    <w:p w:rsidR="007E6848" w:rsidRPr="00B22C43" w:rsidRDefault="007E6848" w:rsidP="00753901">
      <w:pPr>
        <w:spacing w:after="0" w:line="240" w:lineRule="auto"/>
        <w:contextualSpacing/>
        <w:jc w:val="both"/>
        <w:rPr>
          <w:rFonts w:cs="Arial"/>
        </w:rPr>
      </w:pPr>
    </w:p>
    <w:p w:rsidR="00972EC3" w:rsidRPr="00B22C43" w:rsidRDefault="00972EC3" w:rsidP="00753901">
      <w:pPr>
        <w:spacing w:after="0" w:line="240" w:lineRule="auto"/>
        <w:contextualSpacing/>
        <w:jc w:val="both"/>
        <w:rPr>
          <w:rFonts w:cs="Arial"/>
        </w:rPr>
      </w:pPr>
    </w:p>
    <w:p w:rsidR="002F1B08" w:rsidRPr="00B22C43" w:rsidRDefault="002F1B08" w:rsidP="00DD6AA2">
      <w:pPr>
        <w:spacing w:after="0" w:line="240" w:lineRule="auto"/>
        <w:contextualSpacing/>
        <w:jc w:val="both"/>
        <w:rPr>
          <w:b/>
          <w:lang w:eastAsia="pt-BR"/>
        </w:rPr>
      </w:pPr>
      <w:r w:rsidRPr="00B22C43">
        <w:rPr>
          <w:b/>
          <w:lang w:eastAsia="pt-BR"/>
        </w:rPr>
        <w:t xml:space="preserve">TABELA 7 – </w:t>
      </w:r>
      <w:r w:rsidR="00707887" w:rsidRPr="00B22C43">
        <w:rPr>
          <w:lang w:eastAsia="pt-BR"/>
        </w:rPr>
        <w:t>Número de ações de fiscalização e de autos de infração, de interdição e de apreensão lavrados</w:t>
      </w:r>
      <w:r w:rsidR="005774FD" w:rsidRPr="00B22C43">
        <w:rPr>
          <w:lang w:eastAsia="pt-BR"/>
        </w:rPr>
        <w:t>, por segmento</w:t>
      </w:r>
      <w:r w:rsidR="00913068" w:rsidRPr="00B22C43">
        <w:rPr>
          <w:lang w:eastAsia="pt-BR"/>
        </w:rPr>
        <w:t xml:space="preserve">, </w:t>
      </w:r>
      <w:r w:rsidR="00707887" w:rsidRPr="00B22C43">
        <w:rPr>
          <w:lang w:eastAsia="pt-BR"/>
        </w:rPr>
        <w:t xml:space="preserve">no </w:t>
      </w:r>
      <w:proofErr w:type="gramStart"/>
      <w:r w:rsidR="00913068" w:rsidRPr="00B22C43">
        <w:rPr>
          <w:lang w:eastAsia="pt-BR"/>
        </w:rPr>
        <w:t>Brasil</w:t>
      </w:r>
      <w:proofErr w:type="gramEnd"/>
    </w:p>
    <w:p w:rsidR="00375E5D" w:rsidRDefault="00375E5D" w:rsidP="00753901">
      <w:pPr>
        <w:spacing w:after="0" w:line="240" w:lineRule="auto"/>
        <w:contextualSpacing/>
        <w:jc w:val="center"/>
        <w:rPr>
          <w:rFonts w:eastAsia="Times New Roman" w:cs="Calibri"/>
          <w:b/>
          <w:spacing w:val="20"/>
          <w:lang w:eastAsia="pt-BR"/>
        </w:rPr>
      </w:pPr>
    </w:p>
    <w:tbl>
      <w:tblPr>
        <w:tblStyle w:val="SombreamentoClaro-nfase6"/>
        <w:tblW w:w="10077" w:type="dxa"/>
        <w:tblLook w:val="04A0"/>
      </w:tblPr>
      <w:tblGrid>
        <w:gridCol w:w="4974"/>
        <w:gridCol w:w="1283"/>
        <w:gridCol w:w="1285"/>
        <w:gridCol w:w="1276"/>
        <w:gridCol w:w="1276"/>
      </w:tblGrid>
      <w:tr w:rsidR="00265F14" w:rsidRPr="00265F14" w:rsidTr="00F21810">
        <w:trPr>
          <w:cnfStyle w:val="100000000000"/>
          <w:trHeight w:val="624"/>
        </w:trPr>
        <w:tc>
          <w:tcPr>
            <w:cnfStyle w:val="001000000000"/>
            <w:tcW w:w="4974" w:type="dxa"/>
            <w:noWrap/>
            <w:vAlign w:val="center"/>
            <w:hideMark/>
          </w:tcPr>
          <w:p w:rsidR="00265F14" w:rsidRPr="00265F14" w:rsidRDefault="00265F14" w:rsidP="00F21810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Segmento</w:t>
            </w:r>
          </w:p>
        </w:tc>
        <w:tc>
          <w:tcPr>
            <w:tcW w:w="1266" w:type="dxa"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Ações de Fiscalização</w:t>
            </w:r>
          </w:p>
        </w:tc>
        <w:tc>
          <w:tcPr>
            <w:tcW w:w="1285" w:type="dxa"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Autos de Infração</w:t>
            </w:r>
          </w:p>
        </w:tc>
        <w:tc>
          <w:tcPr>
            <w:tcW w:w="1276" w:type="dxa"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Autos de Interdição</w:t>
            </w:r>
          </w:p>
        </w:tc>
        <w:tc>
          <w:tcPr>
            <w:tcW w:w="1276" w:type="dxa"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Autos de Apreensão</w:t>
            </w:r>
          </w:p>
        </w:tc>
      </w:tr>
      <w:tr w:rsidR="00265F14" w:rsidRPr="00265F14" w:rsidTr="00F21810">
        <w:trPr>
          <w:cnfStyle w:val="000000100000"/>
          <w:trHeight w:val="318"/>
        </w:trPr>
        <w:tc>
          <w:tcPr>
            <w:cnfStyle w:val="001000000000"/>
            <w:tcW w:w="4974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Revendedor de Combustíveis</w:t>
            </w:r>
          </w:p>
        </w:tc>
        <w:tc>
          <w:tcPr>
            <w:tcW w:w="126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6.215</w:t>
            </w:r>
          </w:p>
        </w:tc>
        <w:tc>
          <w:tcPr>
            <w:tcW w:w="1285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1.922</w:t>
            </w:r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215</w:t>
            </w:r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19</w:t>
            </w:r>
          </w:p>
        </w:tc>
      </w:tr>
      <w:tr w:rsidR="00265F14" w:rsidRPr="00265F14" w:rsidTr="00F21810">
        <w:trPr>
          <w:trHeight w:val="288"/>
        </w:trPr>
        <w:tc>
          <w:tcPr>
            <w:cnfStyle w:val="001000000000"/>
            <w:tcW w:w="4974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Revendedor de GLP</w:t>
            </w:r>
          </w:p>
        </w:tc>
        <w:tc>
          <w:tcPr>
            <w:tcW w:w="126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2.382</w:t>
            </w:r>
          </w:p>
        </w:tc>
        <w:tc>
          <w:tcPr>
            <w:tcW w:w="1285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556</w:t>
            </w:r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170</w:t>
            </w:r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68</w:t>
            </w:r>
          </w:p>
        </w:tc>
      </w:tr>
      <w:tr w:rsidR="00265F14" w:rsidRPr="00265F14" w:rsidTr="00F21810">
        <w:trPr>
          <w:cnfStyle w:val="000000100000"/>
          <w:trHeight w:val="288"/>
        </w:trPr>
        <w:tc>
          <w:tcPr>
            <w:cnfStyle w:val="001000000000"/>
            <w:tcW w:w="4974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Distribuidor de Combustíveis</w:t>
            </w:r>
          </w:p>
        </w:tc>
        <w:tc>
          <w:tcPr>
            <w:tcW w:w="126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548</w:t>
            </w:r>
          </w:p>
        </w:tc>
        <w:tc>
          <w:tcPr>
            <w:tcW w:w="1285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170</w:t>
            </w:r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7</w:t>
            </w:r>
            <w:proofErr w:type="gramEnd"/>
          </w:p>
        </w:tc>
      </w:tr>
      <w:tr w:rsidR="00265F14" w:rsidRPr="00265F14" w:rsidTr="00F21810">
        <w:trPr>
          <w:trHeight w:val="288"/>
        </w:trPr>
        <w:tc>
          <w:tcPr>
            <w:cnfStyle w:val="001000000000"/>
            <w:tcW w:w="4974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Distribuidor de GLP</w:t>
            </w:r>
          </w:p>
        </w:tc>
        <w:tc>
          <w:tcPr>
            <w:tcW w:w="126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165</w:t>
            </w:r>
          </w:p>
        </w:tc>
        <w:tc>
          <w:tcPr>
            <w:tcW w:w="1285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94</w:t>
            </w:r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265F14" w:rsidRPr="00265F14" w:rsidTr="00F21810">
        <w:trPr>
          <w:cnfStyle w:val="000000100000"/>
          <w:trHeight w:val="318"/>
        </w:trPr>
        <w:tc>
          <w:tcPr>
            <w:cnfStyle w:val="001000000000"/>
            <w:tcW w:w="4974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Transportador-Revendedor-Retalhista</w:t>
            </w:r>
          </w:p>
        </w:tc>
        <w:tc>
          <w:tcPr>
            <w:tcW w:w="126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113</w:t>
            </w:r>
          </w:p>
        </w:tc>
        <w:tc>
          <w:tcPr>
            <w:tcW w:w="1285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40</w:t>
            </w:r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2</w:t>
            </w:r>
            <w:proofErr w:type="gramEnd"/>
          </w:p>
        </w:tc>
      </w:tr>
      <w:tr w:rsidR="00265F14" w:rsidRPr="00265F14" w:rsidTr="00F21810">
        <w:trPr>
          <w:trHeight w:val="318"/>
        </w:trPr>
        <w:tc>
          <w:tcPr>
            <w:cnfStyle w:val="001000000000"/>
            <w:tcW w:w="4974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Revendedor/Distribuidor de Combustível de Aviação</w:t>
            </w:r>
          </w:p>
        </w:tc>
        <w:tc>
          <w:tcPr>
            <w:tcW w:w="126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71</w:t>
            </w:r>
          </w:p>
        </w:tc>
        <w:tc>
          <w:tcPr>
            <w:tcW w:w="1285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265F14" w:rsidRPr="00265F14" w:rsidTr="00F21810">
        <w:trPr>
          <w:cnfStyle w:val="000000100000"/>
          <w:trHeight w:val="318"/>
        </w:trPr>
        <w:tc>
          <w:tcPr>
            <w:cnfStyle w:val="001000000000"/>
            <w:tcW w:w="4974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Ponto de Abastecimento</w:t>
            </w:r>
          </w:p>
        </w:tc>
        <w:tc>
          <w:tcPr>
            <w:tcW w:w="126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49</w:t>
            </w:r>
          </w:p>
        </w:tc>
        <w:tc>
          <w:tcPr>
            <w:tcW w:w="1285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16</w:t>
            </w:r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5</w:t>
            </w:r>
            <w:proofErr w:type="gramEnd"/>
          </w:p>
        </w:tc>
      </w:tr>
      <w:tr w:rsidR="00265F14" w:rsidRPr="00265F14" w:rsidTr="00F21810">
        <w:trPr>
          <w:trHeight w:val="318"/>
        </w:trPr>
        <w:tc>
          <w:tcPr>
            <w:cnfStyle w:val="001000000000"/>
            <w:tcW w:w="4974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Produtor de Lubrificante Acabado</w:t>
            </w:r>
          </w:p>
        </w:tc>
        <w:tc>
          <w:tcPr>
            <w:tcW w:w="126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25</w:t>
            </w:r>
          </w:p>
        </w:tc>
        <w:tc>
          <w:tcPr>
            <w:tcW w:w="1285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265F14" w:rsidRPr="00265F14" w:rsidTr="00F21810">
        <w:trPr>
          <w:cnfStyle w:val="000000100000"/>
          <w:trHeight w:val="318"/>
        </w:trPr>
        <w:tc>
          <w:tcPr>
            <w:cnfStyle w:val="001000000000"/>
            <w:tcW w:w="4974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Produtor de Etanol</w:t>
            </w:r>
          </w:p>
        </w:tc>
        <w:tc>
          <w:tcPr>
            <w:tcW w:w="126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23</w:t>
            </w:r>
          </w:p>
        </w:tc>
        <w:tc>
          <w:tcPr>
            <w:tcW w:w="1285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265F14" w:rsidRPr="00265F14" w:rsidTr="00F21810">
        <w:trPr>
          <w:trHeight w:val="318"/>
        </w:trPr>
        <w:tc>
          <w:tcPr>
            <w:cnfStyle w:val="001000000000"/>
            <w:tcW w:w="4974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Produtor de Biodiesel</w:t>
            </w:r>
          </w:p>
        </w:tc>
        <w:tc>
          <w:tcPr>
            <w:tcW w:w="126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17</w:t>
            </w:r>
          </w:p>
        </w:tc>
        <w:tc>
          <w:tcPr>
            <w:tcW w:w="1285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265F14" w:rsidRPr="00265F14" w:rsidTr="00F21810">
        <w:trPr>
          <w:cnfStyle w:val="000000100000"/>
          <w:trHeight w:val="318"/>
        </w:trPr>
        <w:tc>
          <w:tcPr>
            <w:cnfStyle w:val="001000000000"/>
            <w:tcW w:w="4974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Distribuidor de Solvente</w:t>
            </w:r>
          </w:p>
        </w:tc>
        <w:tc>
          <w:tcPr>
            <w:tcW w:w="126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1285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265F14" w:rsidRPr="00265F14" w:rsidTr="00F21810">
        <w:trPr>
          <w:trHeight w:val="318"/>
        </w:trPr>
        <w:tc>
          <w:tcPr>
            <w:cnfStyle w:val="001000000000"/>
            <w:tcW w:w="4974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Coletor de Óleo Lubrificante Usado ou Contaminado</w:t>
            </w:r>
          </w:p>
        </w:tc>
        <w:tc>
          <w:tcPr>
            <w:tcW w:w="126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1285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265F14" w:rsidRPr="00265F14" w:rsidTr="00F21810">
        <w:trPr>
          <w:cnfStyle w:val="000000100000"/>
          <w:trHeight w:val="318"/>
        </w:trPr>
        <w:tc>
          <w:tcPr>
            <w:cnfStyle w:val="001000000000"/>
            <w:tcW w:w="4974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proofErr w:type="spellStart"/>
            <w:r w:rsidRPr="00265F14">
              <w:rPr>
                <w:rFonts w:eastAsia="Times New Roman"/>
                <w:color w:val="000000"/>
                <w:lang w:eastAsia="pt-BR"/>
              </w:rPr>
              <w:t>Rerrefinador</w:t>
            </w:r>
            <w:proofErr w:type="spellEnd"/>
            <w:r w:rsidRPr="00265F14">
              <w:rPr>
                <w:rFonts w:eastAsia="Times New Roman"/>
                <w:color w:val="000000"/>
                <w:lang w:eastAsia="pt-BR"/>
              </w:rPr>
              <w:t xml:space="preserve"> de óleo lubrificante</w:t>
            </w:r>
          </w:p>
        </w:tc>
        <w:tc>
          <w:tcPr>
            <w:tcW w:w="126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285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265F14" w:rsidRPr="00265F14" w:rsidTr="00F21810">
        <w:trPr>
          <w:trHeight w:val="318"/>
        </w:trPr>
        <w:tc>
          <w:tcPr>
            <w:cnfStyle w:val="001000000000"/>
            <w:tcW w:w="4974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Demais (*)</w:t>
            </w:r>
          </w:p>
        </w:tc>
        <w:tc>
          <w:tcPr>
            <w:tcW w:w="126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265F14">
              <w:rPr>
                <w:rFonts w:eastAsia="Times New Roman"/>
                <w:color w:val="000000"/>
                <w:lang w:eastAsia="pt-BR"/>
              </w:rPr>
              <w:t>170</w:t>
            </w:r>
          </w:p>
        </w:tc>
        <w:tc>
          <w:tcPr>
            <w:tcW w:w="1285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proofErr w:type="gramStart"/>
            <w:r w:rsidRPr="00265F14">
              <w:rPr>
                <w:rFonts w:eastAsia="Times New Roman"/>
                <w:color w:val="000000"/>
                <w:lang w:eastAsia="pt-BR"/>
              </w:rPr>
              <w:t>7</w:t>
            </w:r>
            <w:proofErr w:type="gramEnd"/>
          </w:p>
        </w:tc>
      </w:tr>
      <w:tr w:rsidR="00265F14" w:rsidRPr="00265F14" w:rsidTr="00F21810">
        <w:trPr>
          <w:cnfStyle w:val="000000100000"/>
          <w:trHeight w:val="318"/>
        </w:trPr>
        <w:tc>
          <w:tcPr>
            <w:cnfStyle w:val="001000000000"/>
            <w:tcW w:w="4974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sz w:val="24"/>
                <w:szCs w:val="24"/>
                <w:lang w:eastAsia="pt-BR"/>
              </w:rPr>
            </w:pPr>
            <w:r w:rsidRPr="00265F14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6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5F1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9.793</w:t>
            </w:r>
          </w:p>
        </w:tc>
        <w:tc>
          <w:tcPr>
            <w:tcW w:w="1285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5F1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2.836</w:t>
            </w:r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5F1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399</w:t>
            </w:r>
          </w:p>
        </w:tc>
        <w:tc>
          <w:tcPr>
            <w:tcW w:w="1276" w:type="dxa"/>
            <w:noWrap/>
            <w:hideMark/>
          </w:tcPr>
          <w:p w:rsidR="00265F14" w:rsidRPr="00265F14" w:rsidRDefault="00265F14" w:rsidP="00265F14">
            <w:pPr>
              <w:spacing w:after="0" w:line="240" w:lineRule="auto"/>
              <w:jc w:val="center"/>
              <w:cnfStyle w:val="000000100000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65F1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108</w:t>
            </w:r>
          </w:p>
        </w:tc>
      </w:tr>
    </w:tbl>
    <w:p w:rsidR="00EB43C9" w:rsidRPr="00B22C43" w:rsidRDefault="00E8133A" w:rsidP="00E8133A">
      <w:pPr>
        <w:spacing w:after="0" w:line="240" w:lineRule="auto"/>
        <w:contextualSpacing/>
        <w:rPr>
          <w:rFonts w:eastAsia="Times New Roman" w:cs="Calibri"/>
          <w:spacing w:val="20"/>
          <w:lang w:eastAsia="pt-BR"/>
        </w:rPr>
      </w:pPr>
      <w:r w:rsidRPr="00B22C43">
        <w:rPr>
          <w:noProof/>
          <w:sz w:val="16"/>
          <w:szCs w:val="16"/>
          <w:lang w:eastAsia="pt-BR"/>
        </w:rPr>
        <w:t xml:space="preserve">(*) Distribuidor de asfalto, Consumidor Industrial de Solventes, Importador, </w:t>
      </w:r>
      <w:r w:rsidR="00D72B5E" w:rsidRPr="00B22C43">
        <w:rPr>
          <w:noProof/>
          <w:sz w:val="16"/>
          <w:szCs w:val="16"/>
          <w:lang w:eastAsia="pt-BR"/>
        </w:rPr>
        <w:t>etc.</w:t>
      </w:r>
    </w:p>
    <w:p w:rsidR="00732DB6" w:rsidRPr="00B22C43" w:rsidRDefault="00D83267" w:rsidP="00753901">
      <w:pPr>
        <w:shd w:val="clear" w:color="auto" w:fill="FFFFFF"/>
        <w:spacing w:after="0" w:line="240" w:lineRule="auto"/>
        <w:contextualSpacing/>
        <w:jc w:val="center"/>
        <w:rPr>
          <w:rFonts w:eastAsia="Times New Roman" w:cs="Calibri"/>
          <w:b/>
          <w:color w:val="D2A000"/>
          <w:spacing w:val="20"/>
          <w:sz w:val="18"/>
          <w:szCs w:val="18"/>
          <w:lang w:eastAsia="pt-BR"/>
        </w:rPr>
      </w:pPr>
      <w:r w:rsidRPr="00B22C43">
        <w:rPr>
          <w:rFonts w:eastAsia="Times New Roman" w:cs="Calibri"/>
          <w:b/>
          <w:color w:val="D2A000"/>
          <w:spacing w:val="20"/>
          <w:sz w:val="18"/>
          <w:szCs w:val="18"/>
          <w:lang w:eastAsia="pt-BR"/>
        </w:rPr>
        <w:t xml:space="preserve"> </w:t>
      </w:r>
    </w:p>
    <w:p w:rsidR="002F09E0" w:rsidRPr="00B22C43" w:rsidRDefault="002F09E0" w:rsidP="002F09E0">
      <w:pPr>
        <w:shd w:val="clear" w:color="auto" w:fill="FFFFFF"/>
        <w:spacing w:after="0" w:line="240" w:lineRule="auto"/>
        <w:contextualSpacing/>
        <w:jc w:val="center"/>
        <w:rPr>
          <w:noProof/>
          <w:lang w:eastAsia="pt-BR"/>
        </w:rPr>
      </w:pPr>
      <w:r w:rsidRPr="00B22C43">
        <w:rPr>
          <w:noProof/>
          <w:sz w:val="16"/>
          <w:szCs w:val="16"/>
          <w:lang w:eastAsia="pt-BR"/>
        </w:rPr>
        <w:t>Fonte: : Dados extraídos do SIGI-WEB em 19/07/2017. Elaboração própria.</w:t>
      </w:r>
    </w:p>
    <w:p w:rsidR="00530AA9" w:rsidRPr="00B22C43" w:rsidRDefault="00530AA9" w:rsidP="00753901">
      <w:pPr>
        <w:spacing w:after="0" w:line="240" w:lineRule="auto"/>
        <w:contextualSpacing/>
        <w:rPr>
          <w:rFonts w:eastAsia="Times New Roman"/>
          <w:color w:val="000000"/>
          <w:lang w:eastAsia="pt-BR"/>
        </w:rPr>
      </w:pPr>
    </w:p>
    <w:p w:rsidR="00375E5D" w:rsidRPr="00B22C43" w:rsidRDefault="00375E5D" w:rsidP="00753901">
      <w:pPr>
        <w:spacing w:after="0" w:line="240" w:lineRule="auto"/>
        <w:contextualSpacing/>
        <w:rPr>
          <w:rFonts w:eastAsia="Times New Roman"/>
          <w:color w:val="000000"/>
          <w:lang w:eastAsia="pt-BR"/>
        </w:rPr>
      </w:pPr>
    </w:p>
    <w:p w:rsidR="00375E5D" w:rsidRPr="00B22C43" w:rsidRDefault="00375E5D" w:rsidP="00753901">
      <w:pPr>
        <w:spacing w:after="0" w:line="240" w:lineRule="auto"/>
        <w:contextualSpacing/>
        <w:rPr>
          <w:rFonts w:eastAsia="Times New Roman"/>
          <w:color w:val="000000"/>
          <w:lang w:eastAsia="pt-BR"/>
        </w:rPr>
      </w:pPr>
    </w:p>
    <w:p w:rsidR="00972EC3" w:rsidRPr="00B22C43" w:rsidRDefault="00972EC3" w:rsidP="00753901">
      <w:pPr>
        <w:spacing w:after="0" w:line="240" w:lineRule="auto"/>
        <w:contextualSpacing/>
        <w:rPr>
          <w:rFonts w:eastAsia="Times New Roman"/>
          <w:color w:val="000000"/>
          <w:lang w:eastAsia="pt-BR"/>
        </w:rPr>
      </w:pPr>
    </w:p>
    <w:p w:rsidR="00777A5C" w:rsidRDefault="00777A5C" w:rsidP="00753901">
      <w:pPr>
        <w:spacing w:after="0" w:line="240" w:lineRule="auto"/>
        <w:contextualSpacing/>
        <w:rPr>
          <w:rFonts w:eastAsia="Times New Roman"/>
          <w:color w:val="000000"/>
          <w:lang w:eastAsia="pt-BR"/>
        </w:rPr>
      </w:pPr>
    </w:p>
    <w:p w:rsidR="00B6344A" w:rsidRDefault="00B6344A" w:rsidP="00753901">
      <w:pPr>
        <w:spacing w:after="0" w:line="240" w:lineRule="auto"/>
        <w:contextualSpacing/>
        <w:rPr>
          <w:rFonts w:eastAsia="Times New Roman"/>
          <w:color w:val="000000"/>
          <w:lang w:eastAsia="pt-BR"/>
        </w:rPr>
      </w:pPr>
    </w:p>
    <w:p w:rsidR="001B7790" w:rsidRDefault="001B7790" w:rsidP="00753901">
      <w:pPr>
        <w:spacing w:after="0" w:line="240" w:lineRule="auto"/>
        <w:contextualSpacing/>
        <w:rPr>
          <w:rFonts w:eastAsia="Times New Roman"/>
          <w:color w:val="000000"/>
          <w:lang w:eastAsia="pt-BR"/>
        </w:rPr>
      </w:pPr>
    </w:p>
    <w:p w:rsidR="00B6344A" w:rsidRDefault="00B6344A" w:rsidP="00753901">
      <w:pPr>
        <w:spacing w:after="0" w:line="240" w:lineRule="auto"/>
        <w:contextualSpacing/>
        <w:rPr>
          <w:rFonts w:eastAsia="Times New Roman"/>
          <w:color w:val="000000"/>
          <w:lang w:eastAsia="pt-BR"/>
        </w:rPr>
      </w:pPr>
    </w:p>
    <w:p w:rsidR="00B6344A" w:rsidRPr="00B22C43" w:rsidRDefault="00B6344A" w:rsidP="00753901">
      <w:pPr>
        <w:spacing w:after="0" w:line="240" w:lineRule="auto"/>
        <w:contextualSpacing/>
        <w:rPr>
          <w:rFonts w:eastAsia="Times New Roman"/>
          <w:color w:val="000000"/>
          <w:lang w:eastAsia="pt-BR"/>
        </w:rPr>
      </w:pPr>
    </w:p>
    <w:p w:rsidR="00F617C4" w:rsidRPr="00B22C43" w:rsidRDefault="00924DDC" w:rsidP="005923B3">
      <w:pPr>
        <w:pStyle w:val="Ttulo1"/>
        <w:spacing w:before="360"/>
        <w:rPr>
          <w:color w:val="E36C0A"/>
          <w:sz w:val="24"/>
          <w:szCs w:val="24"/>
          <w:lang w:eastAsia="pt-BR"/>
        </w:rPr>
      </w:pPr>
      <w:bookmarkStart w:id="9" w:name="_Toc410404570"/>
      <w:bookmarkStart w:id="10" w:name="_Toc442180845"/>
      <w:bookmarkStart w:id="11" w:name="_Toc490842896"/>
      <w:r w:rsidRPr="00B22C43">
        <w:rPr>
          <w:color w:val="E36C0A"/>
          <w:sz w:val="24"/>
          <w:szCs w:val="24"/>
          <w:lang w:eastAsia="pt-BR"/>
        </w:rPr>
        <w:lastRenderedPageBreak/>
        <w:t>4</w:t>
      </w:r>
      <w:r w:rsidR="00F617C4" w:rsidRPr="00B22C43">
        <w:rPr>
          <w:color w:val="E36C0A"/>
          <w:sz w:val="24"/>
          <w:szCs w:val="24"/>
          <w:lang w:eastAsia="pt-BR"/>
        </w:rPr>
        <w:t xml:space="preserve"> – PRINCIPAIS </w:t>
      </w:r>
      <w:bookmarkStart w:id="12" w:name="_MON_1382422875"/>
      <w:bookmarkStart w:id="13" w:name="_MON_1382431300"/>
      <w:bookmarkStart w:id="14" w:name="_MON_1383576796"/>
      <w:bookmarkStart w:id="15" w:name="_MON_1383577284"/>
      <w:bookmarkStart w:id="16" w:name="_MON_1382427891"/>
      <w:bookmarkStart w:id="17" w:name="_MON_1382526987"/>
      <w:bookmarkEnd w:id="9"/>
      <w:bookmarkEnd w:id="12"/>
      <w:bookmarkEnd w:id="13"/>
      <w:bookmarkEnd w:id="14"/>
      <w:bookmarkEnd w:id="15"/>
      <w:bookmarkEnd w:id="16"/>
      <w:bookmarkEnd w:id="17"/>
      <w:r w:rsidR="00511231" w:rsidRPr="00B22C43">
        <w:rPr>
          <w:color w:val="E36C0A"/>
          <w:sz w:val="24"/>
          <w:szCs w:val="24"/>
          <w:lang w:eastAsia="pt-BR"/>
        </w:rPr>
        <w:t>MOTIVAÇÕES DOS AUTOS DE INFRAÇÃO</w:t>
      </w:r>
      <w:bookmarkEnd w:id="10"/>
      <w:bookmarkEnd w:id="11"/>
    </w:p>
    <w:p w:rsidR="008C6CB7" w:rsidRPr="00B22C43" w:rsidRDefault="008C6CB7" w:rsidP="00753901">
      <w:pPr>
        <w:shd w:val="clear" w:color="auto" w:fill="FFFFFF"/>
        <w:spacing w:after="0" w:line="240" w:lineRule="auto"/>
        <w:contextualSpacing/>
      </w:pPr>
    </w:p>
    <w:p w:rsidR="00023A6E" w:rsidRPr="00B22C43" w:rsidRDefault="008C6CB7" w:rsidP="00753901">
      <w:pPr>
        <w:shd w:val="clear" w:color="auto" w:fill="FFFFFF"/>
        <w:spacing w:after="0" w:line="240" w:lineRule="auto"/>
        <w:contextualSpacing/>
        <w:jc w:val="both"/>
        <w:rPr>
          <w:lang w:eastAsia="pt-BR"/>
        </w:rPr>
      </w:pPr>
      <w:r w:rsidRPr="00B22C43">
        <w:t xml:space="preserve">O agente de fiscalização, ao constatar o não atendimento à legislação em vigor, </w:t>
      </w:r>
      <w:r w:rsidR="001A52E6" w:rsidRPr="00B22C43">
        <w:t>verificará a necessidade de</w:t>
      </w:r>
      <w:r w:rsidRPr="00B22C43">
        <w:t>, entre outras medidas, lavrar auto de infração</w:t>
      </w:r>
      <w:r w:rsidR="00CF526A" w:rsidRPr="00B22C43">
        <w:t xml:space="preserve">, </w:t>
      </w:r>
      <w:r w:rsidR="001012BE" w:rsidRPr="00B22C43">
        <w:t>e</w:t>
      </w:r>
      <w:r w:rsidR="009F1326" w:rsidRPr="00B22C43">
        <w:t>m que</w:t>
      </w:r>
      <w:r w:rsidRPr="00B22C43">
        <w:t xml:space="preserve"> deverão constar todas as irregularidades encontradas durante a</w:t>
      </w:r>
      <w:r w:rsidR="00A26DE5" w:rsidRPr="00B22C43">
        <w:t xml:space="preserve"> ação</w:t>
      </w:r>
      <w:r w:rsidRPr="00B22C43">
        <w:t xml:space="preserve"> que</w:t>
      </w:r>
      <w:r w:rsidR="006C451C" w:rsidRPr="00B22C43">
        <w:t xml:space="preserve"> lhe</w:t>
      </w:r>
      <w:r w:rsidRPr="00B22C43">
        <w:t xml:space="preserve"> der</w:t>
      </w:r>
      <w:r w:rsidR="009F1326" w:rsidRPr="00B22C43">
        <w:t>am causa. Dessa forma,</w:t>
      </w:r>
      <w:r w:rsidR="009C3259" w:rsidRPr="00B22C43">
        <w:t xml:space="preserve"> </w:t>
      </w:r>
      <w:r w:rsidR="00D43098" w:rsidRPr="00B22C43">
        <w:t>um</w:t>
      </w:r>
      <w:r w:rsidR="009C3259" w:rsidRPr="00B22C43">
        <w:t xml:space="preserve"> </w:t>
      </w:r>
      <w:r w:rsidRPr="00B22C43">
        <w:t>auto de infração pode</w:t>
      </w:r>
      <w:r w:rsidR="00530AA9" w:rsidRPr="00B22C43">
        <w:t>rá</w:t>
      </w:r>
      <w:r w:rsidRPr="00B22C43">
        <w:t xml:space="preserve"> ser motivado, concomitantemente</w:t>
      </w:r>
      <w:r w:rsidR="00D43098" w:rsidRPr="00B22C43">
        <w:t>,</w:t>
      </w:r>
      <w:r w:rsidRPr="00B22C43">
        <w:t xml:space="preserve"> por </w:t>
      </w:r>
      <w:r w:rsidR="009C3259" w:rsidRPr="00B22C43">
        <w:t xml:space="preserve">várias irregularidades. </w:t>
      </w:r>
      <w:r w:rsidR="002F73E5" w:rsidRPr="00B22C43">
        <w:t xml:space="preserve">O gráfico </w:t>
      </w:r>
      <w:proofErr w:type="gramStart"/>
      <w:r w:rsidR="009F1326" w:rsidRPr="00B22C43">
        <w:t>1</w:t>
      </w:r>
      <w:proofErr w:type="gramEnd"/>
      <w:r w:rsidR="002F73E5" w:rsidRPr="00B22C43">
        <w:t xml:space="preserve"> apresenta </w:t>
      </w:r>
      <w:r w:rsidR="009C3259" w:rsidRPr="00B22C43">
        <w:t xml:space="preserve">as principais motivações, verificadas no </w:t>
      </w:r>
      <w:r w:rsidR="000E62E5" w:rsidRPr="00B22C43">
        <w:t xml:space="preserve">1º semestre </w:t>
      </w:r>
      <w:r w:rsidR="009C3259" w:rsidRPr="00B22C43">
        <w:t>de 201</w:t>
      </w:r>
      <w:bookmarkStart w:id="18" w:name="_MON_1483782051"/>
      <w:bookmarkEnd w:id="18"/>
      <w:r w:rsidR="0073269B">
        <w:t>7</w:t>
      </w:r>
      <w:r w:rsidR="009F1326" w:rsidRPr="00B22C43">
        <w:t>, em termos percentuais.</w:t>
      </w:r>
      <w:r w:rsidR="002F73E5" w:rsidRPr="00B22C43">
        <w:t xml:space="preserve"> As motivações d</w:t>
      </w:r>
      <w:r w:rsidR="009F1326" w:rsidRPr="00B22C43">
        <w:t>as</w:t>
      </w:r>
      <w:r w:rsidR="002F73E5" w:rsidRPr="00B22C43">
        <w:t xml:space="preserve"> infrações por segmento são apresentadas no anexo deste periódico.</w:t>
      </w:r>
    </w:p>
    <w:p w:rsidR="0098706E" w:rsidRPr="00B22C43" w:rsidRDefault="0098706E" w:rsidP="00753901">
      <w:pPr>
        <w:shd w:val="clear" w:color="auto" w:fill="FFFFFF"/>
        <w:spacing w:after="0" w:line="240" w:lineRule="auto"/>
        <w:contextualSpacing/>
        <w:jc w:val="both"/>
        <w:rPr>
          <w:sz w:val="20"/>
          <w:szCs w:val="20"/>
        </w:rPr>
      </w:pPr>
    </w:p>
    <w:p w:rsidR="00F617C4" w:rsidRPr="00B22C43" w:rsidRDefault="00232FD0" w:rsidP="00DD6AA2">
      <w:pPr>
        <w:spacing w:after="0"/>
        <w:contextualSpacing/>
        <w:jc w:val="both"/>
        <w:rPr>
          <w:lang w:eastAsia="pt-BR"/>
        </w:rPr>
      </w:pPr>
      <w:r w:rsidRPr="00B22C43">
        <w:rPr>
          <w:b/>
          <w:lang w:eastAsia="pt-BR"/>
        </w:rPr>
        <w:t xml:space="preserve">GRÁFICO </w:t>
      </w:r>
      <w:r w:rsidR="009F1326" w:rsidRPr="00B22C43">
        <w:rPr>
          <w:b/>
          <w:lang w:eastAsia="pt-BR"/>
        </w:rPr>
        <w:t>1</w:t>
      </w:r>
      <w:r w:rsidRPr="00B22C43">
        <w:rPr>
          <w:lang w:eastAsia="pt-BR"/>
        </w:rPr>
        <w:t xml:space="preserve"> – Principais </w:t>
      </w:r>
      <w:r w:rsidR="009C3259" w:rsidRPr="00B22C43">
        <w:rPr>
          <w:lang w:eastAsia="pt-BR"/>
        </w:rPr>
        <w:t>motivações</w:t>
      </w:r>
      <w:r w:rsidRPr="00B22C43">
        <w:rPr>
          <w:lang w:eastAsia="pt-BR"/>
        </w:rPr>
        <w:t xml:space="preserve"> </w:t>
      </w:r>
      <w:r w:rsidR="009C3259" w:rsidRPr="00B22C43">
        <w:rPr>
          <w:lang w:eastAsia="pt-BR"/>
        </w:rPr>
        <w:t>dos</w:t>
      </w:r>
      <w:r w:rsidR="006073C5" w:rsidRPr="00B22C43">
        <w:rPr>
          <w:lang w:eastAsia="pt-BR"/>
        </w:rPr>
        <w:t xml:space="preserve"> autos de infração</w:t>
      </w:r>
      <w:r w:rsidR="009A153A" w:rsidRPr="00B22C43">
        <w:rPr>
          <w:lang w:eastAsia="pt-BR"/>
        </w:rPr>
        <w:t>, em percentual</w:t>
      </w:r>
      <w:r w:rsidR="000B19C1" w:rsidRPr="00B22C43">
        <w:rPr>
          <w:lang w:eastAsia="pt-BR"/>
        </w:rPr>
        <w:t xml:space="preserve">, </w:t>
      </w:r>
      <w:proofErr w:type="gramStart"/>
      <w:r w:rsidR="000B19C1" w:rsidRPr="00B22C43">
        <w:rPr>
          <w:lang w:eastAsia="pt-BR"/>
        </w:rPr>
        <w:t>Brasil</w:t>
      </w:r>
      <w:proofErr w:type="gramEnd"/>
    </w:p>
    <w:p w:rsidR="006F2E21" w:rsidRPr="00B22C43" w:rsidRDefault="006F2E21" w:rsidP="00612555">
      <w:pPr>
        <w:spacing w:after="0" w:line="240" w:lineRule="auto"/>
        <w:contextualSpacing/>
        <w:jc w:val="both"/>
        <w:rPr>
          <w:sz w:val="10"/>
          <w:szCs w:val="10"/>
          <w:lang w:eastAsia="pt-BR"/>
        </w:rPr>
      </w:pPr>
    </w:p>
    <w:p w:rsidR="00BD692E" w:rsidRPr="00B22C43" w:rsidRDefault="000B1340" w:rsidP="008328DC">
      <w:pPr>
        <w:spacing w:after="0"/>
        <w:ind w:left="-567" w:right="-652"/>
        <w:contextualSpacing/>
        <w:jc w:val="center"/>
        <w:rPr>
          <w:lang w:eastAsia="pt-BR"/>
        </w:rPr>
      </w:pPr>
      <w:r w:rsidRPr="00B22C43">
        <w:rPr>
          <w:noProof/>
          <w:lang w:eastAsia="pt-BR"/>
        </w:rPr>
        <w:drawing>
          <wp:inline distT="0" distB="0" distL="0" distR="0">
            <wp:extent cx="6304113" cy="2915093"/>
            <wp:effectExtent l="19050" t="0" r="1437" b="0"/>
            <wp:docPr id="15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556B5" w:rsidRPr="002060A1" w:rsidRDefault="009556B5" w:rsidP="002060A1">
      <w:pPr>
        <w:spacing w:after="0" w:line="240" w:lineRule="auto"/>
        <w:contextualSpacing/>
        <w:jc w:val="center"/>
        <w:rPr>
          <w:noProof/>
          <w:lang w:eastAsia="pt-BR"/>
        </w:rPr>
      </w:pPr>
      <w:bookmarkStart w:id="19" w:name="_MON_1460968767"/>
      <w:bookmarkStart w:id="20" w:name="_Toc410404572"/>
      <w:bookmarkEnd w:id="19"/>
    </w:p>
    <w:p w:rsidR="0077012E" w:rsidRPr="00B22C43" w:rsidRDefault="0077012E" w:rsidP="00753901">
      <w:pPr>
        <w:spacing w:after="0"/>
        <w:contextualSpacing/>
        <w:jc w:val="center"/>
        <w:rPr>
          <w:noProof/>
          <w:sz w:val="16"/>
          <w:szCs w:val="16"/>
          <w:lang w:eastAsia="pt-BR"/>
        </w:rPr>
      </w:pPr>
      <w:r w:rsidRPr="00B22C43">
        <w:rPr>
          <w:noProof/>
          <w:sz w:val="16"/>
          <w:szCs w:val="16"/>
          <w:lang w:eastAsia="pt-BR"/>
        </w:rPr>
        <w:t xml:space="preserve">Fonte: </w:t>
      </w:r>
      <w:r w:rsidR="006C0B57" w:rsidRPr="00B22C43">
        <w:rPr>
          <w:noProof/>
          <w:sz w:val="16"/>
          <w:szCs w:val="16"/>
          <w:lang w:eastAsia="pt-BR"/>
        </w:rPr>
        <w:t xml:space="preserve">Dados extraídos do </w:t>
      </w:r>
      <w:r w:rsidRPr="00B22C43">
        <w:rPr>
          <w:noProof/>
          <w:sz w:val="16"/>
          <w:szCs w:val="16"/>
          <w:lang w:eastAsia="pt-BR"/>
        </w:rPr>
        <w:t xml:space="preserve">SIGI-WEB em </w:t>
      </w:r>
      <w:r w:rsidR="000B1340" w:rsidRPr="00B22C43">
        <w:rPr>
          <w:noProof/>
          <w:sz w:val="16"/>
          <w:szCs w:val="16"/>
          <w:lang w:eastAsia="pt-BR"/>
        </w:rPr>
        <w:t>19</w:t>
      </w:r>
      <w:r w:rsidRPr="00B22C43">
        <w:rPr>
          <w:noProof/>
          <w:sz w:val="16"/>
          <w:szCs w:val="16"/>
          <w:lang w:eastAsia="pt-BR"/>
        </w:rPr>
        <w:t>/0</w:t>
      </w:r>
      <w:r w:rsidR="003961BE" w:rsidRPr="00B22C43">
        <w:rPr>
          <w:noProof/>
          <w:sz w:val="16"/>
          <w:szCs w:val="16"/>
          <w:lang w:eastAsia="pt-BR"/>
        </w:rPr>
        <w:t>7</w:t>
      </w:r>
      <w:r w:rsidRPr="00B22C43">
        <w:rPr>
          <w:noProof/>
          <w:sz w:val="16"/>
          <w:szCs w:val="16"/>
          <w:lang w:eastAsia="pt-BR"/>
        </w:rPr>
        <w:t>/201</w:t>
      </w:r>
      <w:r w:rsidR="000B1340" w:rsidRPr="00B22C43">
        <w:rPr>
          <w:noProof/>
          <w:sz w:val="16"/>
          <w:szCs w:val="16"/>
          <w:lang w:eastAsia="pt-BR"/>
        </w:rPr>
        <w:t>7</w:t>
      </w:r>
      <w:r w:rsidRPr="00B22C43">
        <w:rPr>
          <w:noProof/>
          <w:sz w:val="16"/>
          <w:szCs w:val="16"/>
          <w:lang w:eastAsia="pt-BR"/>
        </w:rPr>
        <w:t>. Elaboração própria.</w:t>
      </w:r>
      <w:bookmarkStart w:id="21" w:name="_MON_1483947670"/>
      <w:bookmarkStart w:id="22" w:name="_MON_1454425941"/>
      <w:bookmarkStart w:id="23" w:name="_MON_1454330319"/>
      <w:bookmarkStart w:id="24" w:name="_MON_1394610331"/>
      <w:bookmarkStart w:id="25" w:name="_MON_1394610411"/>
      <w:bookmarkStart w:id="26" w:name="_MON_1394610439"/>
      <w:bookmarkStart w:id="27" w:name="_MON_1394612997"/>
      <w:bookmarkStart w:id="28" w:name="_MON_1394030005"/>
      <w:bookmarkStart w:id="29" w:name="_MON_1394029928"/>
      <w:bookmarkStart w:id="30" w:name="_MON_1394538796"/>
      <w:bookmarkStart w:id="31" w:name="_MON_1394538801"/>
      <w:bookmarkStart w:id="32" w:name="_MON_1394539031"/>
      <w:bookmarkStart w:id="33" w:name="_MON_1394539038"/>
      <w:bookmarkStart w:id="34" w:name="_MON_1394539073"/>
      <w:bookmarkStart w:id="35" w:name="_MON_1397564228"/>
      <w:bookmarkStart w:id="36" w:name="_MON_1397564478"/>
      <w:bookmarkStart w:id="37" w:name="_MON_1394541367"/>
      <w:bookmarkStart w:id="38" w:name="_MON_1394541372"/>
      <w:bookmarkStart w:id="39" w:name="_MON_1394541382"/>
      <w:bookmarkStart w:id="40" w:name="_MON_1394544474"/>
      <w:bookmarkStart w:id="41" w:name="_MON_1394544559"/>
      <w:bookmarkStart w:id="42" w:name="_MON_1393230309"/>
      <w:bookmarkStart w:id="43" w:name="_MON_1394544525"/>
      <w:bookmarkStart w:id="44" w:name="_MON_1397564281"/>
      <w:bookmarkStart w:id="45" w:name="_MON_1394544673"/>
      <w:bookmarkStart w:id="46" w:name="_MON_1394613037"/>
      <w:bookmarkStart w:id="47" w:name="_MON_1394613373"/>
      <w:bookmarkStart w:id="48" w:name="_MON_1394031537"/>
      <w:bookmarkStart w:id="49" w:name="_MON_1394541289"/>
      <w:bookmarkStart w:id="50" w:name="_MON_1394541309"/>
      <w:bookmarkStart w:id="51" w:name="_MON_1394541438"/>
      <w:bookmarkStart w:id="52" w:name="_MON_1394544403"/>
      <w:bookmarkStart w:id="53" w:name="_MON_1394544461"/>
      <w:bookmarkStart w:id="54" w:name="_MON_1484142971"/>
      <w:bookmarkStart w:id="55" w:name="_MON_1383577219"/>
      <w:bookmarkStart w:id="56" w:name="_MON_1383577231"/>
      <w:bookmarkStart w:id="57" w:name="_MON_1382429373"/>
      <w:bookmarkStart w:id="58" w:name="_MON_1383568507"/>
      <w:bookmarkStart w:id="59" w:name="_MON_1384002583"/>
      <w:bookmarkStart w:id="60" w:name="_MON_1382431310"/>
      <w:bookmarkStart w:id="61" w:name="_MON_1382429268"/>
      <w:bookmarkStart w:id="62" w:name="_MON_1383575587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:rsidR="00771803" w:rsidRDefault="00771803" w:rsidP="00753901">
      <w:pPr>
        <w:spacing w:after="0"/>
        <w:contextualSpacing/>
        <w:jc w:val="center"/>
        <w:rPr>
          <w:noProof/>
          <w:lang w:eastAsia="pt-BR"/>
        </w:rPr>
      </w:pPr>
    </w:p>
    <w:p w:rsidR="00AB1762" w:rsidRPr="00AB1762" w:rsidRDefault="00AB1762" w:rsidP="00753901">
      <w:pPr>
        <w:spacing w:after="0"/>
        <w:contextualSpacing/>
        <w:jc w:val="center"/>
        <w:rPr>
          <w:noProof/>
          <w:lang w:eastAsia="pt-BR"/>
        </w:rPr>
      </w:pPr>
    </w:p>
    <w:p w:rsidR="00F617C4" w:rsidRPr="00B22C43" w:rsidRDefault="00B22C43" w:rsidP="00B22C43">
      <w:pPr>
        <w:pStyle w:val="Ttulo2"/>
        <w:rPr>
          <w:color w:val="E36C0A" w:themeColor="accent6" w:themeShade="BF"/>
          <w:lang w:eastAsia="pt-BR"/>
        </w:rPr>
      </w:pPr>
      <w:bookmarkStart w:id="63" w:name="_Toc442180846"/>
      <w:bookmarkStart w:id="64" w:name="_Toc490842897"/>
      <w:r>
        <w:rPr>
          <w:color w:val="E36C0A" w:themeColor="accent6" w:themeShade="BF"/>
          <w:lang w:eastAsia="pt-BR"/>
        </w:rPr>
        <w:t xml:space="preserve">4.1 – </w:t>
      </w:r>
      <w:bookmarkEnd w:id="20"/>
      <w:bookmarkEnd w:id="63"/>
      <w:r>
        <w:rPr>
          <w:color w:val="E36C0A" w:themeColor="accent6" w:themeShade="BF"/>
          <w:lang w:eastAsia="pt-BR"/>
        </w:rPr>
        <w:t>Infrações por Qualidade</w:t>
      </w:r>
      <w:bookmarkEnd w:id="64"/>
    </w:p>
    <w:p w:rsidR="0065436D" w:rsidRDefault="0065436D" w:rsidP="00753901">
      <w:pPr>
        <w:spacing w:after="0" w:line="240" w:lineRule="auto"/>
        <w:contextualSpacing/>
        <w:rPr>
          <w:lang w:eastAsia="pt-BR"/>
        </w:rPr>
      </w:pPr>
    </w:p>
    <w:p w:rsidR="00614EC6" w:rsidRDefault="00614EC6" w:rsidP="00614EC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t-BR"/>
        </w:rPr>
      </w:pPr>
      <w:r>
        <w:rPr>
          <w:rFonts w:cs="Calibri"/>
          <w:color w:val="000000"/>
          <w:lang w:eastAsia="pt-BR"/>
        </w:rPr>
        <w:t xml:space="preserve">Como demonstrado no gráfico </w:t>
      </w:r>
      <w:proofErr w:type="gramStart"/>
      <w:r>
        <w:rPr>
          <w:rFonts w:cs="Calibri"/>
          <w:color w:val="000000"/>
          <w:lang w:eastAsia="pt-BR"/>
        </w:rPr>
        <w:t>1</w:t>
      </w:r>
      <w:proofErr w:type="gramEnd"/>
      <w:r>
        <w:rPr>
          <w:rFonts w:cs="Calibri"/>
          <w:color w:val="000000"/>
          <w:lang w:eastAsia="pt-BR"/>
        </w:rPr>
        <w:t xml:space="preserve">, “comercializar ou armazenar produto não conforme com a especificação” figura entre as principais motivações para os autos de infração. Em relação a essa infração, </w:t>
      </w:r>
      <w:r w:rsidR="006B6A65">
        <w:rPr>
          <w:rFonts w:cs="Calibri"/>
          <w:color w:val="000000"/>
          <w:lang w:eastAsia="pt-BR"/>
        </w:rPr>
        <w:t>faz-se necessário mencionar</w:t>
      </w:r>
      <w:r>
        <w:rPr>
          <w:rFonts w:cs="Calibri"/>
          <w:color w:val="000000"/>
          <w:lang w:eastAsia="pt-BR"/>
        </w:rPr>
        <w:t xml:space="preserve"> que </w:t>
      </w:r>
      <w:r w:rsidR="006B6A65">
        <w:rPr>
          <w:rFonts w:cs="Calibri"/>
          <w:color w:val="000000"/>
          <w:lang w:eastAsia="pt-BR"/>
        </w:rPr>
        <w:t>o</w:t>
      </w:r>
      <w:r>
        <w:rPr>
          <w:rFonts w:cs="Calibri"/>
          <w:color w:val="000000"/>
          <w:lang w:eastAsia="pt-BR"/>
        </w:rPr>
        <w:t xml:space="preserve"> percentual de autos de infração </w:t>
      </w:r>
      <w:r w:rsidR="006B6A65">
        <w:rPr>
          <w:rFonts w:cs="Calibri"/>
          <w:color w:val="000000"/>
          <w:lang w:eastAsia="pt-BR"/>
        </w:rPr>
        <w:t xml:space="preserve">motivados por comercialização ou armazenamento de combustível não conforme </w:t>
      </w:r>
      <w:r>
        <w:rPr>
          <w:rFonts w:cs="Calibri"/>
          <w:color w:val="000000"/>
          <w:lang w:eastAsia="pt-BR"/>
        </w:rPr>
        <w:t xml:space="preserve">não </w:t>
      </w:r>
      <w:r w:rsidR="006B6A65">
        <w:rPr>
          <w:rFonts w:cs="Calibri"/>
          <w:color w:val="000000"/>
          <w:lang w:eastAsia="pt-BR"/>
        </w:rPr>
        <w:t>apresenta correspondência</w:t>
      </w:r>
      <w:r>
        <w:rPr>
          <w:rFonts w:cs="Calibri"/>
          <w:color w:val="000000"/>
          <w:lang w:eastAsia="pt-BR"/>
        </w:rPr>
        <w:t xml:space="preserve"> com o “índice de não conformidade de combustíveis” </w:t>
      </w:r>
      <w:r w:rsidR="006B6A65">
        <w:rPr>
          <w:rFonts w:cs="Calibri"/>
          <w:color w:val="000000"/>
          <w:lang w:eastAsia="pt-BR"/>
        </w:rPr>
        <w:t>definido</w:t>
      </w:r>
      <w:r>
        <w:rPr>
          <w:rFonts w:cs="Calibri"/>
          <w:color w:val="000000"/>
          <w:lang w:eastAsia="pt-BR"/>
        </w:rPr>
        <w:t xml:space="preserve"> pelo Programa de Monitoramento da Qualidade dos Combustíveis</w:t>
      </w:r>
      <w:r w:rsidR="00035795">
        <w:rPr>
          <w:rFonts w:cs="Calibri"/>
          <w:color w:val="000000"/>
          <w:lang w:eastAsia="pt-BR"/>
        </w:rPr>
        <w:t xml:space="preserve"> (PMQC)</w:t>
      </w:r>
      <w:r>
        <w:rPr>
          <w:rFonts w:cs="Calibri"/>
          <w:color w:val="000000"/>
          <w:lang w:eastAsia="pt-BR"/>
        </w:rPr>
        <w:t xml:space="preserve">. </w:t>
      </w:r>
    </w:p>
    <w:p w:rsidR="00614EC6" w:rsidRDefault="00614EC6" w:rsidP="00614EC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t-BR"/>
        </w:rPr>
      </w:pPr>
    </w:p>
    <w:p w:rsidR="006B6A65" w:rsidRPr="006B6A65" w:rsidRDefault="00614EC6" w:rsidP="006B6A65">
      <w:pPr>
        <w:spacing w:after="0" w:line="240" w:lineRule="auto"/>
        <w:jc w:val="both"/>
        <w:rPr>
          <w:rFonts w:cs="Calibri"/>
          <w:color w:val="000000"/>
          <w:lang w:eastAsia="pt-BR"/>
        </w:rPr>
      </w:pPr>
      <w:r>
        <w:rPr>
          <w:rFonts w:cs="Calibri"/>
          <w:color w:val="000000"/>
          <w:lang w:eastAsia="pt-BR"/>
        </w:rPr>
        <w:t xml:space="preserve">Isso </w:t>
      </w:r>
      <w:r w:rsidR="006B6A65">
        <w:rPr>
          <w:rFonts w:cs="Calibri"/>
          <w:color w:val="000000"/>
          <w:lang w:eastAsia="pt-BR"/>
        </w:rPr>
        <w:t xml:space="preserve">ocorre pelo fato de </w:t>
      </w:r>
      <w:r>
        <w:rPr>
          <w:rFonts w:cs="Calibri"/>
          <w:color w:val="000000"/>
          <w:lang w:eastAsia="pt-BR"/>
        </w:rPr>
        <w:t xml:space="preserve">o PMQC </w:t>
      </w:r>
      <w:r w:rsidR="006B6A65">
        <w:rPr>
          <w:rFonts w:cs="Calibri"/>
          <w:color w:val="000000"/>
          <w:lang w:eastAsia="pt-BR"/>
        </w:rPr>
        <w:t>selecionar</w:t>
      </w:r>
      <w:r>
        <w:rPr>
          <w:rFonts w:cs="Calibri"/>
          <w:color w:val="000000"/>
          <w:lang w:eastAsia="pt-BR"/>
        </w:rPr>
        <w:t xml:space="preserve"> aleat</w:t>
      </w:r>
      <w:r w:rsidR="006B6A65">
        <w:rPr>
          <w:rFonts w:cs="Calibri"/>
          <w:color w:val="000000"/>
          <w:lang w:eastAsia="pt-BR"/>
        </w:rPr>
        <w:t>o</w:t>
      </w:r>
      <w:r>
        <w:rPr>
          <w:rFonts w:cs="Calibri"/>
          <w:color w:val="000000"/>
          <w:lang w:eastAsia="pt-BR"/>
        </w:rPr>
        <w:t>ria</w:t>
      </w:r>
      <w:r w:rsidR="006B6A65">
        <w:rPr>
          <w:rFonts w:cs="Calibri"/>
          <w:color w:val="000000"/>
          <w:lang w:eastAsia="pt-BR"/>
        </w:rPr>
        <w:t>mente</w:t>
      </w:r>
      <w:r>
        <w:rPr>
          <w:rFonts w:cs="Calibri"/>
          <w:color w:val="000000"/>
          <w:lang w:eastAsia="pt-BR"/>
        </w:rPr>
        <w:t xml:space="preserve"> os postos que terão combustível coletado</w:t>
      </w:r>
      <w:r w:rsidR="006B6A65">
        <w:rPr>
          <w:rFonts w:cs="Calibri"/>
          <w:color w:val="000000"/>
          <w:lang w:eastAsia="pt-BR"/>
        </w:rPr>
        <w:t>, o que</w:t>
      </w:r>
      <w:r>
        <w:rPr>
          <w:rFonts w:cs="Calibri"/>
          <w:color w:val="000000"/>
          <w:lang w:eastAsia="pt-BR"/>
        </w:rPr>
        <w:t xml:space="preserve"> </w:t>
      </w:r>
      <w:r w:rsidR="006B6A65">
        <w:rPr>
          <w:rFonts w:cs="Calibri"/>
          <w:color w:val="000000"/>
          <w:lang w:eastAsia="pt-BR"/>
        </w:rPr>
        <w:t xml:space="preserve">é necessário para </w:t>
      </w:r>
      <w:r>
        <w:rPr>
          <w:rFonts w:cs="Calibri"/>
          <w:color w:val="000000"/>
          <w:lang w:eastAsia="pt-BR"/>
        </w:rPr>
        <w:t xml:space="preserve">garantir a precisão estatística na mensuração da não conformidade. Já as ações de fiscalização </w:t>
      </w:r>
      <w:r w:rsidR="006B6A65">
        <w:rPr>
          <w:rFonts w:cs="Calibri"/>
          <w:color w:val="000000"/>
          <w:lang w:eastAsia="pt-BR"/>
        </w:rPr>
        <w:t>s</w:t>
      </w:r>
      <w:r>
        <w:rPr>
          <w:rFonts w:cs="Calibri"/>
          <w:color w:val="000000"/>
          <w:lang w:eastAsia="pt-BR"/>
        </w:rPr>
        <w:t>e baseia</w:t>
      </w:r>
      <w:r w:rsidR="006B6A65">
        <w:rPr>
          <w:rFonts w:cs="Calibri"/>
          <w:color w:val="000000"/>
          <w:lang w:eastAsia="pt-BR"/>
        </w:rPr>
        <w:t>m</w:t>
      </w:r>
      <w:r>
        <w:rPr>
          <w:rFonts w:cs="Calibri"/>
          <w:color w:val="000000"/>
          <w:lang w:eastAsia="pt-BR"/>
        </w:rPr>
        <w:t xml:space="preserve">, entre outras fontes, </w:t>
      </w:r>
      <w:r w:rsidR="006B6A65">
        <w:rPr>
          <w:rFonts w:cs="Calibri"/>
          <w:color w:val="000000"/>
          <w:lang w:eastAsia="pt-BR"/>
        </w:rPr>
        <w:t>em</w:t>
      </w:r>
      <w:r w:rsidR="006B6A65" w:rsidRPr="006B6A65">
        <w:rPr>
          <w:rFonts w:cs="Calibri"/>
          <w:color w:val="000000"/>
          <w:lang w:eastAsia="pt-BR"/>
        </w:rPr>
        <w:t xml:space="preserve"> estudos de acompanhamento de mercad</w:t>
      </w:r>
      <w:r w:rsidR="006B6A65">
        <w:rPr>
          <w:rFonts w:cs="Calibri"/>
          <w:color w:val="000000"/>
          <w:lang w:eastAsia="pt-BR"/>
        </w:rPr>
        <w:t>o e de movimentação de produtos,</w:t>
      </w:r>
      <w:r w:rsidR="006B6A65" w:rsidRPr="006B6A65">
        <w:rPr>
          <w:rFonts w:cs="Calibri"/>
          <w:color w:val="000000"/>
          <w:lang w:eastAsia="pt-BR"/>
        </w:rPr>
        <w:t xml:space="preserve"> </w:t>
      </w:r>
      <w:r w:rsidR="00035795">
        <w:rPr>
          <w:rFonts w:cs="Calibri"/>
          <w:color w:val="000000"/>
          <w:lang w:eastAsia="pt-BR"/>
        </w:rPr>
        <w:t xml:space="preserve">em </w:t>
      </w:r>
      <w:r w:rsidR="006B6A65" w:rsidRPr="006B6A65">
        <w:rPr>
          <w:rFonts w:cs="Calibri"/>
          <w:color w:val="000000"/>
          <w:lang w:eastAsia="pt-BR"/>
        </w:rPr>
        <w:t xml:space="preserve">informações da área de inteligência da ANP, </w:t>
      </w:r>
      <w:r w:rsidR="00035795">
        <w:rPr>
          <w:rFonts w:cs="Calibri"/>
          <w:color w:val="000000"/>
          <w:lang w:eastAsia="pt-BR"/>
        </w:rPr>
        <w:t xml:space="preserve">no </w:t>
      </w:r>
      <w:r w:rsidR="006B6A65" w:rsidRPr="006B6A65">
        <w:rPr>
          <w:rFonts w:cs="Calibri"/>
          <w:color w:val="000000"/>
          <w:lang w:eastAsia="pt-BR"/>
        </w:rPr>
        <w:t xml:space="preserve">PMQC e </w:t>
      </w:r>
      <w:r w:rsidR="00035795">
        <w:rPr>
          <w:rFonts w:cs="Calibri"/>
          <w:color w:val="000000"/>
          <w:lang w:eastAsia="pt-BR"/>
        </w:rPr>
        <w:t xml:space="preserve">em </w:t>
      </w:r>
      <w:r w:rsidR="006B6A65" w:rsidRPr="006B6A65">
        <w:rPr>
          <w:rFonts w:cs="Calibri"/>
          <w:color w:val="000000"/>
          <w:lang w:eastAsia="pt-BR"/>
        </w:rPr>
        <w:t xml:space="preserve">denúncias </w:t>
      </w:r>
      <w:r w:rsidR="00035795">
        <w:rPr>
          <w:rFonts w:cs="Calibri"/>
          <w:color w:val="000000"/>
          <w:lang w:eastAsia="pt-BR"/>
        </w:rPr>
        <w:t>recebidas. Assim, enquanto no PMQC todos os agentes econômicos têm a mesma probabilidade de serem visitados, no caso da fiscalização, os postos com indício de infração serão aqueles que serão inspecionados.</w:t>
      </w:r>
    </w:p>
    <w:p w:rsidR="006B6A65" w:rsidRDefault="006B6A65" w:rsidP="00614EC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t-BR"/>
        </w:rPr>
      </w:pPr>
    </w:p>
    <w:p w:rsidR="00614EC6" w:rsidRDefault="00614EC6" w:rsidP="00614EC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t-BR"/>
        </w:rPr>
      </w:pPr>
      <w:r>
        <w:rPr>
          <w:rFonts w:cs="Calibri"/>
          <w:color w:val="000000"/>
          <w:lang w:eastAsia="pt-BR"/>
        </w:rPr>
        <w:t xml:space="preserve">Desta forma, a proporção de autos de infração motivados por não conformidade não </w:t>
      </w:r>
      <w:r w:rsidR="00035795">
        <w:rPr>
          <w:rFonts w:cs="Calibri"/>
          <w:color w:val="000000"/>
          <w:lang w:eastAsia="pt-BR"/>
        </w:rPr>
        <w:t xml:space="preserve">pode ser considerado um </w:t>
      </w:r>
      <w:r>
        <w:rPr>
          <w:rFonts w:cs="Calibri"/>
          <w:color w:val="000000"/>
          <w:lang w:eastAsia="pt-BR"/>
        </w:rPr>
        <w:t>indicativo da qualidade dos combustíveis comercializados em determinado estado.</w:t>
      </w:r>
      <w:r w:rsidR="00A30305">
        <w:rPr>
          <w:rFonts w:cs="Calibri"/>
          <w:color w:val="000000"/>
          <w:lang w:eastAsia="pt-BR"/>
        </w:rPr>
        <w:t xml:space="preserve"> </w:t>
      </w:r>
      <w:r>
        <w:rPr>
          <w:rFonts w:cs="Calibri"/>
          <w:color w:val="000000"/>
          <w:lang w:eastAsia="pt-BR"/>
        </w:rPr>
        <w:t xml:space="preserve">O gráfico </w:t>
      </w:r>
      <w:proofErr w:type="gramStart"/>
      <w:r>
        <w:rPr>
          <w:rFonts w:cs="Calibri"/>
          <w:color w:val="000000"/>
          <w:lang w:eastAsia="pt-BR"/>
        </w:rPr>
        <w:t>2</w:t>
      </w:r>
      <w:proofErr w:type="gramEnd"/>
      <w:r>
        <w:rPr>
          <w:rFonts w:cs="Calibri"/>
          <w:color w:val="000000"/>
          <w:lang w:eastAsia="pt-BR"/>
        </w:rPr>
        <w:t xml:space="preserve"> apresenta o percentual de autos de infração com ao menos uma irregularidade por qualidade, seccionando os dados por estado e Brasil.</w:t>
      </w:r>
    </w:p>
    <w:p w:rsidR="00AB1762" w:rsidRDefault="00AB1762" w:rsidP="00AB176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lang w:eastAsia="pt-BR"/>
        </w:rPr>
      </w:pPr>
    </w:p>
    <w:p w:rsidR="009A153A" w:rsidRPr="00B22C43" w:rsidRDefault="006B535D" w:rsidP="00DE4AF6">
      <w:pPr>
        <w:spacing w:after="0" w:line="240" w:lineRule="auto"/>
        <w:contextualSpacing/>
        <w:jc w:val="both"/>
        <w:rPr>
          <w:lang w:eastAsia="pt-BR"/>
        </w:rPr>
      </w:pPr>
      <w:r w:rsidRPr="00B22C43">
        <w:rPr>
          <w:b/>
          <w:lang w:eastAsia="pt-BR"/>
        </w:rPr>
        <w:t xml:space="preserve">GRÁFICO </w:t>
      </w:r>
      <w:r w:rsidR="004B541C" w:rsidRPr="00B22C43">
        <w:rPr>
          <w:b/>
          <w:lang w:eastAsia="pt-BR"/>
        </w:rPr>
        <w:t>2</w:t>
      </w:r>
      <w:r w:rsidR="009A153A" w:rsidRPr="00B22C43">
        <w:rPr>
          <w:lang w:eastAsia="pt-BR"/>
        </w:rPr>
        <w:t xml:space="preserve"> – Percentual dos autos de infração</w:t>
      </w:r>
      <w:r w:rsidR="00530AA9" w:rsidRPr="00B22C43">
        <w:rPr>
          <w:lang w:eastAsia="pt-BR"/>
        </w:rPr>
        <w:t xml:space="preserve"> </w:t>
      </w:r>
      <w:r w:rsidR="009A153A" w:rsidRPr="00B22C43">
        <w:rPr>
          <w:lang w:eastAsia="pt-BR"/>
        </w:rPr>
        <w:t>moti</w:t>
      </w:r>
      <w:r w:rsidR="001A52E6" w:rsidRPr="00B22C43">
        <w:rPr>
          <w:lang w:eastAsia="pt-BR"/>
        </w:rPr>
        <w:t xml:space="preserve">vados </w:t>
      </w:r>
      <w:r w:rsidR="009A153A" w:rsidRPr="00B22C43">
        <w:rPr>
          <w:lang w:eastAsia="pt-BR"/>
        </w:rPr>
        <w:t xml:space="preserve">por </w:t>
      </w:r>
      <w:r w:rsidR="00530AA9" w:rsidRPr="00B22C43">
        <w:rPr>
          <w:lang w:eastAsia="pt-BR"/>
        </w:rPr>
        <w:t>não conformidade de combustíveis</w:t>
      </w:r>
      <w:r w:rsidR="001A52E6" w:rsidRPr="00B22C43">
        <w:rPr>
          <w:lang w:eastAsia="pt-BR"/>
        </w:rPr>
        <w:t xml:space="preserve"> em relação ao tota</w:t>
      </w:r>
      <w:r w:rsidR="006073C5" w:rsidRPr="00B22C43">
        <w:rPr>
          <w:lang w:eastAsia="pt-BR"/>
        </w:rPr>
        <w:t>l de autos de infração lavrados</w:t>
      </w:r>
      <w:r w:rsidR="00DE4AF6" w:rsidRPr="00B22C43">
        <w:rPr>
          <w:lang w:eastAsia="pt-BR"/>
        </w:rPr>
        <w:t xml:space="preserve">, por </w:t>
      </w:r>
      <w:proofErr w:type="gramStart"/>
      <w:r w:rsidR="00DE4AF6" w:rsidRPr="00B22C43">
        <w:rPr>
          <w:lang w:eastAsia="pt-BR"/>
        </w:rPr>
        <w:t>estado</w:t>
      </w:r>
      <w:proofErr w:type="gramEnd"/>
    </w:p>
    <w:p w:rsidR="007A23F2" w:rsidRPr="00B22C43" w:rsidRDefault="00B43068" w:rsidP="007A23F2">
      <w:pPr>
        <w:spacing w:after="0" w:line="240" w:lineRule="auto"/>
        <w:contextualSpacing/>
        <w:jc w:val="center"/>
        <w:rPr>
          <w:lang w:eastAsia="pt-BR"/>
        </w:rPr>
      </w:pPr>
      <w:r>
        <w:rPr>
          <w:noProof/>
          <w:lang w:eastAsia="pt-BR"/>
        </w:rPr>
      </w:r>
      <w:r>
        <w:rPr>
          <w:noProof/>
          <w:lang w:eastAsia="pt-BR"/>
        </w:rPr>
        <w:pict>
          <v:group id="Grupo 8" o:spid="_x0000_s1033" style="width:442.1pt;height:191.5pt;mso-position-horizontal-relative:char;mso-position-vertical-relative:line" coordsize="65990,285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Gráfico 18" o:spid="_x0000_s1034" type="#_x0000_t75" style="position:absolute;width:65990;height:28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DPfrCAAAA2wAAAA8AAABkcnMvZG93bnJldi54bWxET0uLwjAQvgv7H8Is7E3TVZBSjeIKoru4&#10;Bx8Xb2MyttVmUpqs1n9vhAVv8/E9ZzxtbSWu1PjSsYLPXgKCWDtTcq5gv1t0UxA+IBusHJOCO3mY&#10;Tt46Y8yMu/GGrtuQixjCPkMFRQh1JqXXBVn0PVcTR+7kGoshwiaXpsFbDLeV7CfJUFosOTYUWNO8&#10;IH3Z/lkFR0nDn2P44tPvun/4Xp3TZaq1Uh/v7WwEIlAbXuJ/98rE+QN4/hIPkJ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gz36wgAAANsAAAAPAAAAAAAAAAAAAAAAAJ8C&#10;AABkcnMvZG93bnJldi54bWxQSwUGAAAAAAQABAD3AAAAjgMAAAAA&#10;">
              <v:imagedata r:id="rId13" o:title=""/>
              <o:lock v:ext="edit" aspectratio="f"/>
            </v:shape>
            <v:line id="Conector reto 19" o:spid="_x0000_s1028" style="position:absolute;visibility:visible;mso-wrap-style:square" from="4184,18454" to="64593,18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6xz8EAAADbAAAADwAAAGRycy9kb3ducmV2LnhtbERPPW/CMBDdK/U/WFepW3FApUUhBiFQ&#10;EWuhA2yHfSSB+OzGDoR/X1eq1O2e3ucV89424kptqB0rGA4yEMTamZpLBV+7j5cJiBCRDTaOScGd&#10;Asxnjw8F5sbd+JOu21iKFMIhRwVVjD6XMuiKLIaB88SJO7nWYkywLaVp8ZbCbSNHWfYmLdacGir0&#10;tKxIX7adVVCPtafVWb/vj/6+6tz3YT2ajJV6fuoXUxCR+vgv/nNvTJr/Cr+/pAPk7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TrHPwQAAANsAAAAPAAAAAAAAAAAAAAAA&#10;AKECAABkcnMvZG93bnJldi54bWxQSwUGAAAAAAQABAD5AAAAjwMAAAAA&#10;" strokecolor="#c00000" strokeweight="2pt"/>
            <w10:wrap type="none"/>
            <w10:anchorlock/>
          </v:group>
        </w:pict>
      </w:r>
    </w:p>
    <w:p w:rsidR="002060A1" w:rsidRPr="002060A1" w:rsidRDefault="002060A1" w:rsidP="00753901">
      <w:pPr>
        <w:shd w:val="clear" w:color="auto" w:fill="FFFFFF"/>
        <w:spacing w:after="0" w:line="240" w:lineRule="auto"/>
        <w:contextualSpacing/>
        <w:jc w:val="center"/>
        <w:rPr>
          <w:noProof/>
          <w:lang w:eastAsia="pt-BR"/>
        </w:rPr>
      </w:pPr>
    </w:p>
    <w:p w:rsidR="009A153A" w:rsidRPr="00B22C43" w:rsidRDefault="009A153A" w:rsidP="00753901">
      <w:pPr>
        <w:shd w:val="clear" w:color="auto" w:fill="FFFFFF"/>
        <w:spacing w:after="0" w:line="240" w:lineRule="auto"/>
        <w:contextualSpacing/>
        <w:jc w:val="center"/>
        <w:rPr>
          <w:noProof/>
          <w:sz w:val="16"/>
          <w:szCs w:val="16"/>
          <w:lang w:eastAsia="pt-BR"/>
        </w:rPr>
      </w:pPr>
      <w:r w:rsidRPr="00B22C43">
        <w:rPr>
          <w:noProof/>
          <w:sz w:val="16"/>
          <w:szCs w:val="16"/>
          <w:lang w:eastAsia="pt-BR"/>
        </w:rPr>
        <w:t xml:space="preserve">Fonte: </w:t>
      </w:r>
      <w:r w:rsidR="006C0B57" w:rsidRPr="00B22C43">
        <w:rPr>
          <w:noProof/>
          <w:sz w:val="16"/>
          <w:szCs w:val="16"/>
          <w:lang w:eastAsia="pt-BR"/>
        </w:rPr>
        <w:t xml:space="preserve">Dados extraídos do </w:t>
      </w:r>
      <w:r w:rsidRPr="00B22C43">
        <w:rPr>
          <w:noProof/>
          <w:sz w:val="16"/>
          <w:szCs w:val="16"/>
          <w:lang w:eastAsia="pt-BR"/>
        </w:rPr>
        <w:t>SIGI-WEB em 1</w:t>
      </w:r>
      <w:r w:rsidR="005D0810" w:rsidRPr="00B22C43">
        <w:rPr>
          <w:noProof/>
          <w:sz w:val="16"/>
          <w:szCs w:val="16"/>
          <w:lang w:eastAsia="pt-BR"/>
        </w:rPr>
        <w:t>9</w:t>
      </w:r>
      <w:r w:rsidRPr="00B22C43">
        <w:rPr>
          <w:noProof/>
          <w:sz w:val="16"/>
          <w:szCs w:val="16"/>
          <w:lang w:eastAsia="pt-BR"/>
        </w:rPr>
        <w:t>/0</w:t>
      </w:r>
      <w:r w:rsidR="00775BD2" w:rsidRPr="00B22C43">
        <w:rPr>
          <w:noProof/>
          <w:sz w:val="16"/>
          <w:szCs w:val="16"/>
          <w:lang w:eastAsia="pt-BR"/>
        </w:rPr>
        <w:t>7</w:t>
      </w:r>
      <w:r w:rsidRPr="00B22C43">
        <w:rPr>
          <w:noProof/>
          <w:sz w:val="16"/>
          <w:szCs w:val="16"/>
          <w:lang w:eastAsia="pt-BR"/>
        </w:rPr>
        <w:t>/201</w:t>
      </w:r>
      <w:r w:rsidR="005D0810" w:rsidRPr="00B22C43">
        <w:rPr>
          <w:noProof/>
          <w:sz w:val="16"/>
          <w:szCs w:val="16"/>
          <w:lang w:eastAsia="pt-BR"/>
        </w:rPr>
        <w:t>7</w:t>
      </w:r>
      <w:r w:rsidRPr="00B22C43">
        <w:rPr>
          <w:noProof/>
          <w:sz w:val="16"/>
          <w:szCs w:val="16"/>
          <w:lang w:eastAsia="pt-BR"/>
        </w:rPr>
        <w:t>. Elaboração própria.</w:t>
      </w:r>
    </w:p>
    <w:p w:rsidR="00456CC1" w:rsidRDefault="00456CC1" w:rsidP="00753901">
      <w:pPr>
        <w:spacing w:after="0" w:line="240" w:lineRule="auto"/>
        <w:contextualSpacing/>
        <w:jc w:val="both"/>
      </w:pPr>
    </w:p>
    <w:p w:rsidR="00F617C4" w:rsidRPr="00B22C43" w:rsidRDefault="0021053E" w:rsidP="00753901">
      <w:pPr>
        <w:spacing w:after="0" w:line="240" w:lineRule="auto"/>
        <w:contextualSpacing/>
        <w:jc w:val="both"/>
      </w:pPr>
      <w:r w:rsidRPr="00B22C43">
        <w:t xml:space="preserve">Dentre os produtos que tiveram a qualidade avaliada, </w:t>
      </w:r>
      <w:r w:rsidR="002B1B09" w:rsidRPr="00B22C43">
        <w:t>o etanol hidratado combustível</w:t>
      </w:r>
      <w:r w:rsidR="00E7232B" w:rsidRPr="00B22C43">
        <w:t xml:space="preserve"> foi </w:t>
      </w:r>
      <w:r w:rsidRPr="00B22C43">
        <w:t>aquele</w:t>
      </w:r>
      <w:r w:rsidR="001A52E6" w:rsidRPr="00B22C43">
        <w:t xml:space="preserve"> que registrou o maior número de não conformidade</w:t>
      </w:r>
      <w:r w:rsidR="002A51DD" w:rsidRPr="00B22C43">
        <w:t>s</w:t>
      </w:r>
      <w:r w:rsidR="00F7583E">
        <w:t xml:space="preserve">, sendo </w:t>
      </w:r>
      <w:r w:rsidR="00F7583E" w:rsidRPr="00B22C43">
        <w:t>o teor de metanol a principal irregularidade encontrada</w:t>
      </w:r>
      <w:r w:rsidR="00BD5D28" w:rsidRPr="00B22C43">
        <w:t>, conforme apresentado no gráfico</w:t>
      </w:r>
      <w:r w:rsidR="000B19C1" w:rsidRPr="00B22C43">
        <w:t xml:space="preserve"> </w:t>
      </w:r>
      <w:proofErr w:type="gramStart"/>
      <w:r w:rsidR="00CC7D2F" w:rsidRPr="00B22C43">
        <w:t>3</w:t>
      </w:r>
      <w:proofErr w:type="gramEnd"/>
      <w:r w:rsidR="0058770D" w:rsidRPr="00B22C43">
        <w:t>.</w:t>
      </w:r>
    </w:p>
    <w:p w:rsidR="001A52E6" w:rsidRPr="00B22C43" w:rsidRDefault="001A52E6" w:rsidP="00753901">
      <w:pPr>
        <w:spacing w:after="0" w:line="240" w:lineRule="auto"/>
        <w:contextualSpacing/>
        <w:jc w:val="both"/>
      </w:pPr>
    </w:p>
    <w:p w:rsidR="002B1B09" w:rsidRPr="00B22C43" w:rsidRDefault="002B1B09" w:rsidP="002B1B09">
      <w:pPr>
        <w:spacing w:after="0" w:line="240" w:lineRule="auto"/>
        <w:contextualSpacing/>
        <w:jc w:val="both"/>
      </w:pPr>
      <w:r w:rsidRPr="00B22C43">
        <w:rPr>
          <w:b/>
        </w:rPr>
        <w:t>GRÁFICO 3</w:t>
      </w:r>
      <w:r w:rsidRPr="00B22C43">
        <w:t xml:space="preserve"> – Distribuição percentual das irregularidades verificadas nas amostras de etanol hidratado não conformes com a especificação</w:t>
      </w:r>
    </w:p>
    <w:p w:rsidR="002B1B09" w:rsidRPr="00B22C43" w:rsidRDefault="002B1B09" w:rsidP="002B1B09">
      <w:pPr>
        <w:spacing w:after="0" w:line="240" w:lineRule="auto"/>
        <w:contextualSpacing/>
        <w:jc w:val="both"/>
      </w:pPr>
    </w:p>
    <w:p w:rsidR="002B1B09" w:rsidRPr="00B22C43" w:rsidRDefault="002B1B09" w:rsidP="002B1B09">
      <w:pPr>
        <w:spacing w:after="0" w:line="240" w:lineRule="auto"/>
        <w:contextualSpacing/>
        <w:jc w:val="center"/>
      </w:pPr>
      <w:r w:rsidRPr="00B22C43">
        <w:rPr>
          <w:noProof/>
          <w:lang w:eastAsia="pt-BR"/>
        </w:rPr>
        <w:drawing>
          <wp:inline distT="0" distB="0" distL="0" distR="0">
            <wp:extent cx="4823391" cy="2982685"/>
            <wp:effectExtent l="19050" t="0" r="0" b="0"/>
            <wp:docPr id="33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B1B09" w:rsidRDefault="002B1B09" w:rsidP="002B1B09">
      <w:pPr>
        <w:spacing w:after="0" w:line="240" w:lineRule="auto"/>
        <w:contextualSpacing/>
        <w:jc w:val="center"/>
        <w:rPr>
          <w:rFonts w:eastAsia="Times New Roman" w:cs="Calibri"/>
          <w:b/>
          <w:spacing w:val="20"/>
          <w:sz w:val="16"/>
          <w:szCs w:val="16"/>
          <w:lang w:eastAsia="pt-BR"/>
        </w:rPr>
      </w:pPr>
    </w:p>
    <w:p w:rsidR="00F1436B" w:rsidRDefault="00F1436B" w:rsidP="002B1B09">
      <w:pPr>
        <w:spacing w:after="0" w:line="240" w:lineRule="auto"/>
        <w:contextualSpacing/>
        <w:jc w:val="center"/>
        <w:rPr>
          <w:noProof/>
          <w:sz w:val="16"/>
          <w:szCs w:val="16"/>
          <w:lang w:eastAsia="pt-BR"/>
        </w:rPr>
      </w:pPr>
    </w:p>
    <w:p w:rsidR="002B1B09" w:rsidRPr="00B22C43" w:rsidRDefault="002B1B09" w:rsidP="002B1B09">
      <w:pPr>
        <w:spacing w:after="0" w:line="240" w:lineRule="auto"/>
        <w:contextualSpacing/>
        <w:jc w:val="center"/>
        <w:rPr>
          <w:noProof/>
          <w:sz w:val="16"/>
          <w:szCs w:val="16"/>
          <w:lang w:eastAsia="pt-BR"/>
        </w:rPr>
      </w:pPr>
      <w:r w:rsidRPr="00B22C43">
        <w:rPr>
          <w:noProof/>
          <w:sz w:val="16"/>
          <w:szCs w:val="16"/>
          <w:lang w:eastAsia="pt-BR"/>
        </w:rPr>
        <w:t>Fonte: Dados extraídos do SIGI-WEB em 1</w:t>
      </w:r>
      <w:r w:rsidR="00961FE2" w:rsidRPr="00B22C43">
        <w:rPr>
          <w:noProof/>
          <w:sz w:val="16"/>
          <w:szCs w:val="16"/>
          <w:lang w:eastAsia="pt-BR"/>
        </w:rPr>
        <w:t>7</w:t>
      </w:r>
      <w:r w:rsidRPr="00B22C43">
        <w:rPr>
          <w:noProof/>
          <w:sz w:val="16"/>
          <w:szCs w:val="16"/>
          <w:lang w:eastAsia="pt-BR"/>
        </w:rPr>
        <w:t>/0</w:t>
      </w:r>
      <w:r w:rsidR="00961FE2" w:rsidRPr="00B22C43">
        <w:rPr>
          <w:noProof/>
          <w:sz w:val="16"/>
          <w:szCs w:val="16"/>
          <w:lang w:eastAsia="pt-BR"/>
        </w:rPr>
        <w:t>7</w:t>
      </w:r>
      <w:r w:rsidRPr="00B22C43">
        <w:rPr>
          <w:noProof/>
          <w:sz w:val="16"/>
          <w:szCs w:val="16"/>
          <w:lang w:eastAsia="pt-BR"/>
        </w:rPr>
        <w:t>/201</w:t>
      </w:r>
      <w:r w:rsidR="00961FE2" w:rsidRPr="00B22C43">
        <w:rPr>
          <w:noProof/>
          <w:sz w:val="16"/>
          <w:szCs w:val="16"/>
          <w:lang w:eastAsia="pt-BR"/>
        </w:rPr>
        <w:t>7</w:t>
      </w:r>
      <w:r w:rsidRPr="00B22C43">
        <w:rPr>
          <w:noProof/>
          <w:sz w:val="16"/>
          <w:szCs w:val="16"/>
          <w:lang w:eastAsia="pt-BR"/>
        </w:rPr>
        <w:t>. Elaboração própria.</w:t>
      </w:r>
    </w:p>
    <w:p w:rsidR="002B1B09" w:rsidRDefault="002B1B09" w:rsidP="00753901">
      <w:pPr>
        <w:spacing w:after="0" w:line="240" w:lineRule="auto"/>
        <w:contextualSpacing/>
        <w:jc w:val="both"/>
        <w:rPr>
          <w:b/>
        </w:rPr>
      </w:pPr>
    </w:p>
    <w:p w:rsidR="00F1436B" w:rsidRPr="00B22C43" w:rsidRDefault="00F1436B" w:rsidP="00753901">
      <w:pPr>
        <w:spacing w:after="0" w:line="240" w:lineRule="auto"/>
        <w:contextualSpacing/>
        <w:jc w:val="both"/>
        <w:rPr>
          <w:b/>
        </w:rPr>
      </w:pPr>
    </w:p>
    <w:p w:rsidR="002B1B09" w:rsidRPr="00B22C43" w:rsidRDefault="002B1B09" w:rsidP="002B1B09">
      <w:pPr>
        <w:spacing w:after="0" w:line="240" w:lineRule="auto"/>
        <w:contextualSpacing/>
        <w:jc w:val="both"/>
      </w:pPr>
      <w:r w:rsidRPr="00B22C43">
        <w:t xml:space="preserve">Em relação à gasolina, gráfico </w:t>
      </w:r>
      <w:proofErr w:type="gramStart"/>
      <w:r w:rsidRPr="00B22C43">
        <w:t>4</w:t>
      </w:r>
      <w:proofErr w:type="gramEnd"/>
      <w:r w:rsidRPr="00B22C43">
        <w:t xml:space="preserve">, foram detectadas pela fiscalização </w:t>
      </w:r>
      <w:r w:rsidR="00961FE2" w:rsidRPr="00B22C43">
        <w:t>172</w:t>
      </w:r>
      <w:r w:rsidRPr="00B22C43">
        <w:t xml:space="preserve"> irregularidades, com destaque para percentual de etanol e teor de metanol, com 53% e 24%, respectivamente.</w:t>
      </w:r>
    </w:p>
    <w:p w:rsidR="002B1B09" w:rsidRPr="00B22C43" w:rsidRDefault="002B1B09" w:rsidP="00753901">
      <w:pPr>
        <w:spacing w:after="0" w:line="240" w:lineRule="auto"/>
        <w:contextualSpacing/>
        <w:jc w:val="both"/>
        <w:rPr>
          <w:b/>
        </w:rPr>
      </w:pPr>
    </w:p>
    <w:p w:rsidR="00A96943" w:rsidRDefault="00A96943" w:rsidP="00753901">
      <w:pPr>
        <w:spacing w:after="0" w:line="240" w:lineRule="auto"/>
        <w:contextualSpacing/>
        <w:jc w:val="both"/>
        <w:rPr>
          <w:b/>
        </w:rPr>
      </w:pPr>
    </w:p>
    <w:p w:rsidR="00A96943" w:rsidRDefault="00A96943" w:rsidP="00753901">
      <w:pPr>
        <w:spacing w:after="0" w:line="240" w:lineRule="auto"/>
        <w:contextualSpacing/>
        <w:jc w:val="both"/>
        <w:rPr>
          <w:b/>
        </w:rPr>
      </w:pPr>
    </w:p>
    <w:p w:rsidR="00775BD2" w:rsidRPr="00B22C43" w:rsidRDefault="00542C61" w:rsidP="00753901">
      <w:pPr>
        <w:spacing w:after="0" w:line="240" w:lineRule="auto"/>
        <w:contextualSpacing/>
        <w:jc w:val="both"/>
      </w:pPr>
      <w:r w:rsidRPr="00B22C43">
        <w:rPr>
          <w:b/>
        </w:rPr>
        <w:t>GRÁF</w:t>
      </w:r>
      <w:r w:rsidR="002F2C08" w:rsidRPr="00B22C43">
        <w:rPr>
          <w:b/>
        </w:rPr>
        <w:t>I</w:t>
      </w:r>
      <w:r w:rsidRPr="00B22C43">
        <w:rPr>
          <w:b/>
        </w:rPr>
        <w:t xml:space="preserve">CO </w:t>
      </w:r>
      <w:r w:rsidR="004C2C1F" w:rsidRPr="00B22C43">
        <w:rPr>
          <w:b/>
        </w:rPr>
        <w:t>4</w:t>
      </w:r>
      <w:r w:rsidRPr="00B22C43">
        <w:t xml:space="preserve"> – Distribuição percentual das irregularidades verificadas </w:t>
      </w:r>
      <w:r w:rsidR="00F74C51" w:rsidRPr="00B22C43">
        <w:t xml:space="preserve">nas amostras de gasolina </w:t>
      </w:r>
      <w:r w:rsidR="00774082" w:rsidRPr="00B22C43">
        <w:t>não conforme</w:t>
      </w:r>
      <w:r w:rsidR="002065A1" w:rsidRPr="00B22C43">
        <w:t>s</w:t>
      </w:r>
      <w:r w:rsidR="00DE4AF6" w:rsidRPr="00B22C43">
        <w:t xml:space="preserve"> com a especificação</w:t>
      </w:r>
    </w:p>
    <w:p w:rsidR="00775BD2" w:rsidRPr="00B22C43" w:rsidRDefault="002B1B09" w:rsidP="00775BD2">
      <w:pPr>
        <w:spacing w:after="0" w:line="240" w:lineRule="auto"/>
        <w:contextualSpacing/>
        <w:jc w:val="center"/>
      </w:pPr>
      <w:r w:rsidRPr="00B22C43">
        <w:rPr>
          <w:noProof/>
          <w:lang w:eastAsia="pt-BR"/>
        </w:rPr>
        <w:drawing>
          <wp:inline distT="0" distB="0" distL="0" distR="0">
            <wp:extent cx="4803116" cy="2656936"/>
            <wp:effectExtent l="19050" t="0" r="0" b="0"/>
            <wp:docPr id="32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75BD2" w:rsidRPr="00B22C43" w:rsidRDefault="00775BD2" w:rsidP="00753901">
      <w:pPr>
        <w:spacing w:after="0" w:line="240" w:lineRule="auto"/>
        <w:contextualSpacing/>
        <w:jc w:val="both"/>
      </w:pPr>
    </w:p>
    <w:p w:rsidR="00F74C51" w:rsidRPr="00B22C43" w:rsidRDefault="00F74C51" w:rsidP="00753901">
      <w:pPr>
        <w:shd w:val="clear" w:color="auto" w:fill="FFFFFF"/>
        <w:spacing w:after="0" w:line="240" w:lineRule="auto"/>
        <w:contextualSpacing/>
        <w:jc w:val="center"/>
        <w:rPr>
          <w:noProof/>
          <w:sz w:val="16"/>
          <w:szCs w:val="16"/>
          <w:lang w:eastAsia="pt-BR"/>
        </w:rPr>
      </w:pPr>
      <w:r w:rsidRPr="00B22C43">
        <w:rPr>
          <w:noProof/>
          <w:sz w:val="16"/>
          <w:szCs w:val="16"/>
          <w:lang w:eastAsia="pt-BR"/>
        </w:rPr>
        <w:t xml:space="preserve">Fonte: </w:t>
      </w:r>
      <w:r w:rsidR="006C0B57" w:rsidRPr="00B22C43">
        <w:rPr>
          <w:noProof/>
          <w:sz w:val="16"/>
          <w:szCs w:val="16"/>
          <w:lang w:eastAsia="pt-BR"/>
        </w:rPr>
        <w:t xml:space="preserve">Dados extraídos do </w:t>
      </w:r>
      <w:r w:rsidRPr="00B22C43">
        <w:rPr>
          <w:noProof/>
          <w:sz w:val="16"/>
          <w:szCs w:val="16"/>
          <w:lang w:eastAsia="pt-BR"/>
        </w:rPr>
        <w:t>SIGI-WEB em 1</w:t>
      </w:r>
      <w:r w:rsidR="002B1B09" w:rsidRPr="00B22C43">
        <w:rPr>
          <w:noProof/>
          <w:sz w:val="16"/>
          <w:szCs w:val="16"/>
          <w:lang w:eastAsia="pt-BR"/>
        </w:rPr>
        <w:t>7</w:t>
      </w:r>
      <w:r w:rsidRPr="00B22C43">
        <w:rPr>
          <w:noProof/>
          <w:sz w:val="16"/>
          <w:szCs w:val="16"/>
          <w:lang w:eastAsia="pt-BR"/>
        </w:rPr>
        <w:t>/0</w:t>
      </w:r>
      <w:r w:rsidR="00AB13B7" w:rsidRPr="00B22C43">
        <w:rPr>
          <w:noProof/>
          <w:sz w:val="16"/>
          <w:szCs w:val="16"/>
          <w:lang w:eastAsia="pt-BR"/>
        </w:rPr>
        <w:t>7</w:t>
      </w:r>
      <w:r w:rsidRPr="00B22C43">
        <w:rPr>
          <w:noProof/>
          <w:sz w:val="16"/>
          <w:szCs w:val="16"/>
          <w:lang w:eastAsia="pt-BR"/>
        </w:rPr>
        <w:t>/20</w:t>
      </w:r>
      <w:r w:rsidR="002B1B09" w:rsidRPr="00B22C43">
        <w:rPr>
          <w:noProof/>
          <w:sz w:val="16"/>
          <w:szCs w:val="16"/>
          <w:lang w:eastAsia="pt-BR"/>
        </w:rPr>
        <w:t>17</w:t>
      </w:r>
      <w:r w:rsidRPr="00B22C43">
        <w:rPr>
          <w:noProof/>
          <w:sz w:val="16"/>
          <w:szCs w:val="16"/>
          <w:lang w:eastAsia="pt-BR"/>
        </w:rPr>
        <w:t>. Elaboração própria.</w:t>
      </w:r>
    </w:p>
    <w:p w:rsidR="00191066" w:rsidRPr="00B22C43" w:rsidRDefault="00191066" w:rsidP="00753901">
      <w:pPr>
        <w:spacing w:after="0" w:line="240" w:lineRule="auto"/>
        <w:contextualSpacing/>
        <w:jc w:val="both"/>
      </w:pPr>
    </w:p>
    <w:p w:rsidR="00CC6BF1" w:rsidRPr="00B22C43" w:rsidRDefault="00F74C51" w:rsidP="00753901">
      <w:pPr>
        <w:spacing w:after="0" w:line="240" w:lineRule="auto"/>
        <w:contextualSpacing/>
        <w:jc w:val="both"/>
      </w:pPr>
      <w:r w:rsidRPr="00B22C43">
        <w:t>Quanto ao diesel</w:t>
      </w:r>
      <w:r w:rsidR="00F617C4" w:rsidRPr="00B22C43">
        <w:t>,</w:t>
      </w:r>
      <w:r w:rsidR="00A70222" w:rsidRPr="00B22C43">
        <w:t xml:space="preserve"> gráfico </w:t>
      </w:r>
      <w:proofErr w:type="gramStart"/>
      <w:r w:rsidR="00F97F5D" w:rsidRPr="00B22C43">
        <w:t>5</w:t>
      </w:r>
      <w:proofErr w:type="gramEnd"/>
      <w:r w:rsidR="00A70222" w:rsidRPr="00B22C43">
        <w:t xml:space="preserve">, </w:t>
      </w:r>
      <w:r w:rsidR="00C62AD9" w:rsidRPr="00B22C43">
        <w:t>destaca-se a não conformidade no teor biodiesel (</w:t>
      </w:r>
      <w:r w:rsidR="00B57C72" w:rsidRPr="00B22C43">
        <w:t>39</w:t>
      </w:r>
      <w:r w:rsidR="00C62AD9" w:rsidRPr="00B22C43">
        <w:t>%)</w:t>
      </w:r>
      <w:r w:rsidR="009F5804" w:rsidRPr="00B22C43">
        <w:t xml:space="preserve">, em seguida, </w:t>
      </w:r>
      <w:r w:rsidR="00B57C72" w:rsidRPr="00B22C43">
        <w:t>aspecto</w:t>
      </w:r>
      <w:r w:rsidR="009F5804" w:rsidRPr="00B22C43">
        <w:t xml:space="preserve"> (</w:t>
      </w:r>
      <w:r w:rsidR="00B57C72" w:rsidRPr="00B22C43">
        <w:t>18</w:t>
      </w:r>
      <w:r w:rsidR="009F5804" w:rsidRPr="00B22C43">
        <w:t>%)</w:t>
      </w:r>
      <w:r w:rsidR="00B57C72" w:rsidRPr="00B22C43">
        <w:t xml:space="preserve"> em um total de </w:t>
      </w:r>
      <w:r w:rsidR="002B1B09" w:rsidRPr="00B22C43">
        <w:t>45 irregularidades encontradas.</w:t>
      </w:r>
    </w:p>
    <w:p w:rsidR="0087285A" w:rsidRPr="00B22C43" w:rsidRDefault="0087285A" w:rsidP="00DE4AF6">
      <w:pPr>
        <w:spacing w:after="0" w:line="240" w:lineRule="auto"/>
        <w:contextualSpacing/>
        <w:jc w:val="both"/>
      </w:pPr>
    </w:p>
    <w:p w:rsidR="000A3060" w:rsidRDefault="00F74C51" w:rsidP="00DE4AF6">
      <w:pPr>
        <w:spacing w:after="0" w:line="240" w:lineRule="auto"/>
        <w:contextualSpacing/>
        <w:jc w:val="both"/>
      </w:pPr>
      <w:r w:rsidRPr="00B22C43">
        <w:rPr>
          <w:b/>
        </w:rPr>
        <w:t>GRÁF</w:t>
      </w:r>
      <w:r w:rsidR="002F2C08" w:rsidRPr="00B22C43">
        <w:rPr>
          <w:b/>
        </w:rPr>
        <w:t>I</w:t>
      </w:r>
      <w:r w:rsidRPr="00B22C43">
        <w:rPr>
          <w:b/>
        </w:rPr>
        <w:t xml:space="preserve">CO </w:t>
      </w:r>
      <w:r w:rsidR="00F97F5D" w:rsidRPr="00B22C43">
        <w:rPr>
          <w:b/>
        </w:rPr>
        <w:t>5</w:t>
      </w:r>
      <w:r w:rsidRPr="00B22C43">
        <w:t xml:space="preserve"> – Distribuição percentual das irregularidades verificadas nas amostras de </w:t>
      </w:r>
      <w:proofErr w:type="gramStart"/>
      <w:r w:rsidRPr="00B22C43">
        <w:t xml:space="preserve">diesel </w:t>
      </w:r>
      <w:r w:rsidR="00E8566C" w:rsidRPr="00B22C43">
        <w:t>não conforme</w:t>
      </w:r>
      <w:r w:rsidR="00161797" w:rsidRPr="00B22C43">
        <w:t>s</w:t>
      </w:r>
      <w:proofErr w:type="gramEnd"/>
      <w:r w:rsidR="00161797" w:rsidRPr="00B22C43">
        <w:t xml:space="preserve"> com a especificação</w:t>
      </w:r>
    </w:p>
    <w:p w:rsidR="004A5E15" w:rsidRPr="00B22C43" w:rsidRDefault="004A5E15" w:rsidP="00DE4AF6">
      <w:pPr>
        <w:spacing w:after="0" w:line="240" w:lineRule="auto"/>
        <w:contextualSpacing/>
        <w:jc w:val="both"/>
      </w:pPr>
    </w:p>
    <w:p w:rsidR="000A3060" w:rsidRPr="00B22C43" w:rsidRDefault="00B403BF" w:rsidP="000A3060">
      <w:pPr>
        <w:spacing w:after="0" w:line="240" w:lineRule="auto"/>
        <w:contextualSpacing/>
        <w:jc w:val="center"/>
      </w:pPr>
      <w:r w:rsidRPr="00B22C43">
        <w:rPr>
          <w:noProof/>
          <w:lang w:eastAsia="pt-BR"/>
        </w:rPr>
        <w:drawing>
          <wp:inline distT="0" distB="0" distL="0" distR="0">
            <wp:extent cx="4447309" cy="3061855"/>
            <wp:effectExtent l="0" t="0" r="0" b="0"/>
            <wp:docPr id="23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91066" w:rsidRDefault="00191066" w:rsidP="00753901">
      <w:pPr>
        <w:shd w:val="clear" w:color="auto" w:fill="FFFFFF"/>
        <w:spacing w:after="0" w:line="240" w:lineRule="auto"/>
        <w:contextualSpacing/>
        <w:jc w:val="center"/>
        <w:rPr>
          <w:noProof/>
          <w:lang w:eastAsia="pt-BR"/>
        </w:rPr>
      </w:pPr>
    </w:p>
    <w:p w:rsidR="009852CB" w:rsidRPr="004A5E15" w:rsidRDefault="009852CB" w:rsidP="00753901">
      <w:pPr>
        <w:shd w:val="clear" w:color="auto" w:fill="FFFFFF"/>
        <w:spacing w:after="0" w:line="240" w:lineRule="auto"/>
        <w:contextualSpacing/>
        <w:jc w:val="center"/>
        <w:rPr>
          <w:noProof/>
          <w:lang w:eastAsia="pt-BR"/>
        </w:rPr>
      </w:pPr>
    </w:p>
    <w:p w:rsidR="00F74C51" w:rsidRPr="00B22C43" w:rsidRDefault="00F74C51" w:rsidP="00753901">
      <w:pPr>
        <w:shd w:val="clear" w:color="auto" w:fill="FFFFFF"/>
        <w:spacing w:after="0" w:line="240" w:lineRule="auto"/>
        <w:contextualSpacing/>
        <w:jc w:val="center"/>
        <w:rPr>
          <w:noProof/>
          <w:sz w:val="16"/>
          <w:szCs w:val="16"/>
          <w:lang w:eastAsia="pt-BR"/>
        </w:rPr>
      </w:pPr>
      <w:r w:rsidRPr="00B22C43">
        <w:rPr>
          <w:noProof/>
          <w:sz w:val="16"/>
          <w:szCs w:val="16"/>
          <w:lang w:eastAsia="pt-BR"/>
        </w:rPr>
        <w:t xml:space="preserve">Fonte: </w:t>
      </w:r>
      <w:r w:rsidR="006C0B57" w:rsidRPr="00B22C43">
        <w:rPr>
          <w:noProof/>
          <w:sz w:val="16"/>
          <w:szCs w:val="16"/>
          <w:lang w:eastAsia="pt-BR"/>
        </w:rPr>
        <w:t xml:space="preserve">Dados extraídos do </w:t>
      </w:r>
      <w:r w:rsidRPr="00B22C43">
        <w:rPr>
          <w:noProof/>
          <w:sz w:val="16"/>
          <w:szCs w:val="16"/>
          <w:lang w:eastAsia="pt-BR"/>
        </w:rPr>
        <w:t xml:space="preserve">SIGI-WEB em </w:t>
      </w:r>
      <w:r w:rsidR="00B403BF" w:rsidRPr="00B22C43">
        <w:rPr>
          <w:noProof/>
          <w:sz w:val="16"/>
          <w:szCs w:val="16"/>
          <w:lang w:eastAsia="pt-BR"/>
        </w:rPr>
        <w:t>19</w:t>
      </w:r>
      <w:r w:rsidRPr="00B22C43">
        <w:rPr>
          <w:noProof/>
          <w:sz w:val="16"/>
          <w:szCs w:val="16"/>
          <w:lang w:eastAsia="pt-BR"/>
        </w:rPr>
        <w:t>/0</w:t>
      </w:r>
      <w:r w:rsidR="00734371" w:rsidRPr="00B22C43">
        <w:rPr>
          <w:noProof/>
          <w:sz w:val="16"/>
          <w:szCs w:val="16"/>
          <w:lang w:eastAsia="pt-BR"/>
        </w:rPr>
        <w:t>7</w:t>
      </w:r>
      <w:r w:rsidRPr="00B22C43">
        <w:rPr>
          <w:noProof/>
          <w:sz w:val="16"/>
          <w:szCs w:val="16"/>
          <w:lang w:eastAsia="pt-BR"/>
        </w:rPr>
        <w:t>/201</w:t>
      </w:r>
      <w:r w:rsidR="00B403BF" w:rsidRPr="00B22C43">
        <w:rPr>
          <w:noProof/>
          <w:sz w:val="16"/>
          <w:szCs w:val="16"/>
          <w:lang w:eastAsia="pt-BR"/>
        </w:rPr>
        <w:t>7</w:t>
      </w:r>
      <w:r w:rsidRPr="00B22C43">
        <w:rPr>
          <w:noProof/>
          <w:sz w:val="16"/>
          <w:szCs w:val="16"/>
          <w:lang w:eastAsia="pt-BR"/>
        </w:rPr>
        <w:t>. Elaboração própria.</w:t>
      </w:r>
    </w:p>
    <w:p w:rsidR="000A3060" w:rsidRPr="00B22C43" w:rsidRDefault="000A3060" w:rsidP="00DE4AF6">
      <w:pPr>
        <w:spacing w:after="0" w:line="240" w:lineRule="auto"/>
        <w:contextualSpacing/>
        <w:jc w:val="both"/>
      </w:pPr>
    </w:p>
    <w:p w:rsidR="004A5E15" w:rsidRDefault="004A5E15" w:rsidP="00DE4AF6">
      <w:pPr>
        <w:spacing w:after="0" w:line="240" w:lineRule="auto"/>
        <w:contextualSpacing/>
        <w:jc w:val="both"/>
      </w:pPr>
    </w:p>
    <w:p w:rsidR="00EB3D45" w:rsidRPr="00B22C43" w:rsidRDefault="007B65FA" w:rsidP="00DE4AF6">
      <w:pPr>
        <w:spacing w:after="0" w:line="240" w:lineRule="auto"/>
        <w:contextualSpacing/>
        <w:jc w:val="both"/>
      </w:pPr>
      <w:r w:rsidRPr="00B22C43">
        <w:t xml:space="preserve">Para o biodiesel destaca-se o teor de </w:t>
      </w:r>
      <w:r w:rsidR="002963F5" w:rsidRPr="00B22C43">
        <w:t>éster</w:t>
      </w:r>
      <w:r w:rsidRPr="00B22C43">
        <w:t xml:space="preserve"> como a principal </w:t>
      </w:r>
      <w:r w:rsidR="00BA4AAA" w:rsidRPr="00B22C43">
        <w:t>irregularidade</w:t>
      </w:r>
      <w:r w:rsidRPr="00B22C43">
        <w:t xml:space="preserve">, </w:t>
      </w:r>
      <w:r w:rsidR="00BA4AAA" w:rsidRPr="00B22C43">
        <w:t>conforme</w:t>
      </w:r>
      <w:r w:rsidRPr="00B22C43">
        <w:t xml:space="preserve"> apresentado no</w:t>
      </w:r>
      <w:r w:rsidR="00C444D6">
        <w:t xml:space="preserve">                  </w:t>
      </w:r>
      <w:r w:rsidRPr="00B22C43">
        <w:t xml:space="preserve">gráfico </w:t>
      </w:r>
      <w:proofErr w:type="gramStart"/>
      <w:r w:rsidR="00F97F5D" w:rsidRPr="00B22C43">
        <w:t>6</w:t>
      </w:r>
      <w:proofErr w:type="gramEnd"/>
      <w:r w:rsidRPr="00B22C43">
        <w:t>.</w:t>
      </w:r>
    </w:p>
    <w:p w:rsidR="0095246E" w:rsidRDefault="0095246E" w:rsidP="00DE4AF6">
      <w:pPr>
        <w:spacing w:after="0" w:line="240" w:lineRule="auto"/>
        <w:contextualSpacing/>
        <w:jc w:val="both"/>
        <w:rPr>
          <w:b/>
        </w:rPr>
      </w:pPr>
    </w:p>
    <w:p w:rsidR="00161B8F" w:rsidRPr="00B22C43" w:rsidRDefault="00161B8F" w:rsidP="00DE4AF6">
      <w:pPr>
        <w:spacing w:after="0" w:line="240" w:lineRule="auto"/>
        <w:contextualSpacing/>
        <w:jc w:val="both"/>
      </w:pPr>
      <w:r w:rsidRPr="00B22C43">
        <w:rPr>
          <w:b/>
        </w:rPr>
        <w:t>GRÁF</w:t>
      </w:r>
      <w:r w:rsidR="002F2C08" w:rsidRPr="00B22C43">
        <w:rPr>
          <w:b/>
        </w:rPr>
        <w:t>I</w:t>
      </w:r>
      <w:r w:rsidRPr="00B22C43">
        <w:rPr>
          <w:b/>
        </w:rPr>
        <w:t xml:space="preserve">CO </w:t>
      </w:r>
      <w:r w:rsidR="00F97F5D" w:rsidRPr="00B22C43">
        <w:rPr>
          <w:b/>
        </w:rPr>
        <w:t>6</w:t>
      </w:r>
      <w:r w:rsidRPr="00B22C43">
        <w:t xml:space="preserve"> – Distribuição percentual das irregularidades verificadas nas amostras de biodiesel (B100) </w:t>
      </w:r>
      <w:r w:rsidR="00FF0647" w:rsidRPr="00B22C43">
        <w:t>não conforme</w:t>
      </w:r>
      <w:r w:rsidRPr="00B22C43">
        <w:t>s com a especificação</w:t>
      </w:r>
    </w:p>
    <w:p w:rsidR="0095246E" w:rsidRPr="00852E93" w:rsidRDefault="0095246E" w:rsidP="00DE4AF6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7A23F2" w:rsidRPr="00B22C43" w:rsidRDefault="00782493" w:rsidP="007A23F2">
      <w:pPr>
        <w:jc w:val="center"/>
        <w:rPr>
          <w:noProof/>
          <w:sz w:val="16"/>
          <w:szCs w:val="16"/>
          <w:lang w:eastAsia="pt-BR"/>
        </w:rPr>
      </w:pPr>
      <w:r w:rsidRPr="00B22C43">
        <w:rPr>
          <w:noProof/>
          <w:sz w:val="16"/>
          <w:szCs w:val="16"/>
          <w:lang w:eastAsia="pt-BR"/>
        </w:rPr>
        <w:drawing>
          <wp:inline distT="0" distB="0" distL="0" distR="0">
            <wp:extent cx="4322618" cy="2743200"/>
            <wp:effectExtent l="0" t="0" r="0" b="0"/>
            <wp:docPr id="1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64E0D" w:rsidRPr="00B22C43" w:rsidRDefault="00161B8F" w:rsidP="0095246E">
      <w:pPr>
        <w:jc w:val="center"/>
        <w:rPr>
          <w:noProof/>
          <w:sz w:val="20"/>
          <w:szCs w:val="20"/>
          <w:lang w:eastAsia="pt-BR"/>
        </w:rPr>
      </w:pPr>
      <w:r w:rsidRPr="00B22C43">
        <w:rPr>
          <w:noProof/>
          <w:sz w:val="16"/>
          <w:szCs w:val="16"/>
          <w:lang w:eastAsia="pt-BR"/>
        </w:rPr>
        <w:t xml:space="preserve">Fonte: </w:t>
      </w:r>
      <w:r w:rsidR="006C0B57" w:rsidRPr="00B22C43">
        <w:rPr>
          <w:noProof/>
          <w:sz w:val="16"/>
          <w:szCs w:val="16"/>
          <w:lang w:eastAsia="pt-BR"/>
        </w:rPr>
        <w:t xml:space="preserve">Dados extraídos do </w:t>
      </w:r>
      <w:r w:rsidRPr="00B22C43">
        <w:rPr>
          <w:noProof/>
          <w:sz w:val="16"/>
          <w:szCs w:val="16"/>
          <w:lang w:eastAsia="pt-BR"/>
        </w:rPr>
        <w:t xml:space="preserve">SIGI-WEB em </w:t>
      </w:r>
      <w:r w:rsidR="00782493" w:rsidRPr="00B22C43">
        <w:rPr>
          <w:noProof/>
          <w:sz w:val="16"/>
          <w:szCs w:val="16"/>
          <w:lang w:eastAsia="pt-BR"/>
        </w:rPr>
        <w:t>19</w:t>
      </w:r>
      <w:r w:rsidRPr="00B22C43">
        <w:rPr>
          <w:noProof/>
          <w:sz w:val="16"/>
          <w:szCs w:val="16"/>
          <w:lang w:eastAsia="pt-BR"/>
        </w:rPr>
        <w:t>/0</w:t>
      </w:r>
      <w:r w:rsidR="0014679F" w:rsidRPr="00B22C43">
        <w:rPr>
          <w:noProof/>
          <w:sz w:val="16"/>
          <w:szCs w:val="16"/>
          <w:lang w:eastAsia="pt-BR"/>
        </w:rPr>
        <w:t>7</w:t>
      </w:r>
      <w:r w:rsidRPr="00B22C43">
        <w:rPr>
          <w:noProof/>
          <w:sz w:val="16"/>
          <w:szCs w:val="16"/>
          <w:lang w:eastAsia="pt-BR"/>
        </w:rPr>
        <w:t>/201</w:t>
      </w:r>
      <w:r w:rsidR="00782493" w:rsidRPr="00B22C43">
        <w:rPr>
          <w:noProof/>
          <w:sz w:val="16"/>
          <w:szCs w:val="16"/>
          <w:lang w:eastAsia="pt-BR"/>
        </w:rPr>
        <w:t>7</w:t>
      </w:r>
      <w:r w:rsidRPr="00B22C43">
        <w:rPr>
          <w:noProof/>
          <w:sz w:val="16"/>
          <w:szCs w:val="16"/>
          <w:lang w:eastAsia="pt-BR"/>
        </w:rPr>
        <w:t>. Elaboração própria.</w:t>
      </w:r>
    </w:p>
    <w:p w:rsidR="0095246E" w:rsidRPr="00B22C43" w:rsidRDefault="0095246E" w:rsidP="00852E93">
      <w:pPr>
        <w:spacing w:after="0" w:line="240" w:lineRule="auto"/>
        <w:rPr>
          <w:lang w:eastAsia="pt-BR"/>
        </w:rPr>
      </w:pPr>
      <w:bookmarkStart w:id="65" w:name="_Toc410404573"/>
      <w:bookmarkStart w:id="66" w:name="_Toc442180847"/>
    </w:p>
    <w:p w:rsidR="00F617C4" w:rsidRPr="00B22C43" w:rsidRDefault="00B22C43" w:rsidP="00B22C43">
      <w:pPr>
        <w:pStyle w:val="Ttulo2"/>
        <w:rPr>
          <w:color w:val="E36C0A" w:themeColor="accent6" w:themeShade="BF"/>
          <w:lang w:eastAsia="pt-BR"/>
        </w:rPr>
      </w:pPr>
      <w:bookmarkStart w:id="67" w:name="_Toc490842898"/>
      <w:r>
        <w:rPr>
          <w:color w:val="E36C0A" w:themeColor="accent6" w:themeShade="BF"/>
          <w:lang w:eastAsia="pt-BR"/>
        </w:rPr>
        <w:t>4.2</w:t>
      </w:r>
      <w:r w:rsidR="00F617C4" w:rsidRPr="00B22C43">
        <w:rPr>
          <w:color w:val="E36C0A" w:themeColor="accent6" w:themeShade="BF"/>
          <w:lang w:eastAsia="pt-BR"/>
        </w:rPr>
        <w:t xml:space="preserve"> –</w:t>
      </w:r>
      <w:r w:rsidR="007A23F2" w:rsidRPr="00B22C43">
        <w:rPr>
          <w:color w:val="E36C0A" w:themeColor="accent6" w:themeShade="BF"/>
          <w:lang w:eastAsia="pt-BR"/>
        </w:rPr>
        <w:t xml:space="preserve"> </w:t>
      </w:r>
      <w:r w:rsidR="00F617C4" w:rsidRPr="00B22C43">
        <w:rPr>
          <w:color w:val="E36C0A" w:themeColor="accent6" w:themeShade="BF"/>
          <w:lang w:eastAsia="pt-BR"/>
        </w:rPr>
        <w:t>I</w:t>
      </w:r>
      <w:r>
        <w:rPr>
          <w:color w:val="E36C0A" w:themeColor="accent6" w:themeShade="BF"/>
          <w:lang w:eastAsia="pt-BR"/>
        </w:rPr>
        <w:t xml:space="preserve">nfrações por </w:t>
      </w:r>
      <w:bookmarkEnd w:id="65"/>
      <w:bookmarkEnd w:id="66"/>
      <w:r>
        <w:rPr>
          <w:color w:val="E36C0A" w:themeColor="accent6" w:themeShade="BF"/>
          <w:lang w:eastAsia="pt-BR"/>
        </w:rPr>
        <w:t>Aferição Irregular</w:t>
      </w:r>
      <w:bookmarkEnd w:id="67"/>
    </w:p>
    <w:p w:rsidR="006B535D" w:rsidRPr="00B22C43" w:rsidRDefault="006B535D" w:rsidP="00191066">
      <w:pPr>
        <w:spacing w:after="0" w:line="240" w:lineRule="auto"/>
        <w:contextualSpacing/>
      </w:pPr>
    </w:p>
    <w:p w:rsidR="004319F5" w:rsidRDefault="00081F17" w:rsidP="00153E9E">
      <w:pPr>
        <w:rPr>
          <w:rFonts w:cs="Calibri"/>
          <w:color w:val="000000"/>
          <w:lang w:eastAsia="pt-BR"/>
        </w:rPr>
      </w:pPr>
      <w:r>
        <w:rPr>
          <w:rFonts w:cs="Calibri"/>
          <w:color w:val="000000"/>
          <w:lang w:eastAsia="pt-BR"/>
        </w:rPr>
        <w:t xml:space="preserve">No 1º semestre de 2017, dos 2.836 autos de infração lavrados no Brasil, 111 </w:t>
      </w:r>
      <w:proofErr w:type="gramStart"/>
      <w:r>
        <w:rPr>
          <w:rFonts w:cs="Calibri"/>
          <w:color w:val="000000"/>
          <w:lang w:eastAsia="pt-BR"/>
        </w:rPr>
        <w:t>foram</w:t>
      </w:r>
      <w:proofErr w:type="gramEnd"/>
      <w:r>
        <w:rPr>
          <w:rFonts w:cs="Calibri"/>
          <w:color w:val="000000"/>
          <w:lang w:eastAsia="pt-BR"/>
        </w:rPr>
        <w:t xml:space="preserve"> motivados por bomba medidora com vício de quantidade, mais conhecido como "bomba-baixa", o que representa 4% dos autos de infração aplicados. Quando se analisa a relação entre as autuações por bomba-baixa e o número de autos de infração em cada Unidade da Federação, verifica-se que 12 estados apresentaram valores acima da média nacional, sendo Pernambuco e Rondônia os estados com maior representatividade dessa</w:t>
      </w:r>
      <w:r w:rsidR="00A96943">
        <w:rPr>
          <w:rFonts w:cs="Calibri"/>
          <w:color w:val="000000"/>
          <w:lang w:eastAsia="pt-BR"/>
        </w:rPr>
        <w:t xml:space="preserve"> irregularidade (13% em ambos).</w:t>
      </w:r>
    </w:p>
    <w:p w:rsidR="00081F17" w:rsidRPr="00B22C43" w:rsidRDefault="00081F17" w:rsidP="00753901">
      <w:pPr>
        <w:shd w:val="clear" w:color="auto" w:fill="FFFFFF"/>
        <w:spacing w:after="0" w:line="240" w:lineRule="auto"/>
        <w:contextualSpacing/>
        <w:jc w:val="both"/>
      </w:pPr>
    </w:p>
    <w:p w:rsidR="006B535D" w:rsidRDefault="006B535D" w:rsidP="00753901">
      <w:pPr>
        <w:spacing w:after="0"/>
        <w:contextualSpacing/>
        <w:jc w:val="both"/>
        <w:rPr>
          <w:lang w:eastAsia="pt-BR"/>
        </w:rPr>
      </w:pPr>
      <w:r w:rsidRPr="00B22C43">
        <w:rPr>
          <w:b/>
          <w:lang w:eastAsia="pt-BR"/>
        </w:rPr>
        <w:t xml:space="preserve">GRÁFICO </w:t>
      </w:r>
      <w:r w:rsidR="00CE3273" w:rsidRPr="00B22C43">
        <w:rPr>
          <w:b/>
          <w:lang w:eastAsia="pt-BR"/>
        </w:rPr>
        <w:t>7</w:t>
      </w:r>
      <w:r w:rsidRPr="00B22C43">
        <w:rPr>
          <w:lang w:eastAsia="pt-BR"/>
        </w:rPr>
        <w:t xml:space="preserve"> – Percentual dos autos de infração motivado</w:t>
      </w:r>
      <w:r w:rsidR="00447CFB" w:rsidRPr="00B22C43">
        <w:rPr>
          <w:lang w:eastAsia="pt-BR"/>
        </w:rPr>
        <w:t>s</w:t>
      </w:r>
      <w:r w:rsidR="00B834D4" w:rsidRPr="00B22C43">
        <w:rPr>
          <w:lang w:eastAsia="pt-BR"/>
        </w:rPr>
        <w:t xml:space="preserve"> por infração por qua</w:t>
      </w:r>
      <w:r w:rsidR="004861E1" w:rsidRPr="00B22C43">
        <w:rPr>
          <w:lang w:eastAsia="pt-BR"/>
        </w:rPr>
        <w:t>nt</w:t>
      </w:r>
      <w:r w:rsidR="00B834D4" w:rsidRPr="00B22C43">
        <w:rPr>
          <w:lang w:eastAsia="pt-BR"/>
        </w:rPr>
        <w:t>idade</w:t>
      </w:r>
      <w:r w:rsidRPr="00B22C43">
        <w:rPr>
          <w:lang w:eastAsia="pt-BR"/>
        </w:rPr>
        <w:t>, po</w:t>
      </w:r>
      <w:r w:rsidR="005742B6" w:rsidRPr="00B22C43">
        <w:rPr>
          <w:lang w:eastAsia="pt-BR"/>
        </w:rPr>
        <w:t xml:space="preserve">r </w:t>
      </w:r>
      <w:proofErr w:type="gramStart"/>
      <w:r w:rsidR="005742B6" w:rsidRPr="00B22C43">
        <w:rPr>
          <w:lang w:eastAsia="pt-BR"/>
        </w:rPr>
        <w:t>estado</w:t>
      </w:r>
      <w:proofErr w:type="gramEnd"/>
    </w:p>
    <w:p w:rsidR="00852E93" w:rsidRPr="00B22C43" w:rsidRDefault="00852E93" w:rsidP="00753901">
      <w:pPr>
        <w:spacing w:after="0"/>
        <w:contextualSpacing/>
        <w:jc w:val="both"/>
        <w:rPr>
          <w:lang w:eastAsia="pt-BR"/>
        </w:rPr>
      </w:pPr>
    </w:p>
    <w:p w:rsidR="007A23F2" w:rsidRPr="00B22C43" w:rsidRDefault="00B43068" w:rsidP="005D0810">
      <w:pPr>
        <w:spacing w:after="0"/>
        <w:contextualSpacing/>
        <w:jc w:val="center"/>
        <w:rPr>
          <w:lang w:eastAsia="pt-BR"/>
        </w:rPr>
      </w:pPr>
      <w:r>
        <w:rPr>
          <w:noProof/>
          <w:lang w:eastAsia="pt-BR"/>
        </w:rPr>
      </w:r>
      <w:r>
        <w:rPr>
          <w:noProof/>
          <w:lang w:eastAsia="pt-BR"/>
        </w:rPr>
        <w:pict>
          <v:group id="Grupo 15" o:spid="_x0000_s1032" style="width:442.1pt;height:188.15pt;mso-position-horizontal-relative:char;mso-position-vertical-relative:line" coordsize="65897,26937">
            <v:shape id="Gráfico 21" o:spid="_x0000_s1029" type="#_x0000_t75" style="position:absolute;width:65897;height:26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spYC7AAAA2gAAAA8AAABkcnMvZG93bnJldi54bWxET8uKwjAU3Q/4D+EK7sZUEZFqFBFFcSM6&#10;8wHX5PaBzU1pYq1/bwTB5eG8F6vOVqKlxpeOFYyGCQhi7UzJuYL/v93vDIQPyAYrx6TgSR5Wy97P&#10;AlPjHnym9hJyEUPYp6igCKFOpfS6IIt+6GriyGWusRgibHJpGnzEcFvJcZJMpcWSY0OBNW0K0rfL&#10;3cYZrj0hZwdzxUzfTqM96q09KjXod+s5iEBd+Io/7oNRMIH3legHuXwB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LAspYC7AAAA2gAAAA8AAAAAAAAAAAAAAAAAnwIAAGRycy9k&#10;b3ducmV2LnhtbFBLBQYAAAAABAAEAPcAAACHAwAAAAA=&#10;">
              <v:imagedata r:id="rId18" o:title=""/>
              <o:lock v:ext="edit" aspectratio="f"/>
            </v:shape>
            <v:line id="Conector reto 22" o:spid="_x0000_s1030" style="position:absolute;visibility:visible;mso-wrap-style:square" from="4049,17003" to="64552,17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3HFb8AAADaAAAADwAAAGRycy9kb3ducmV2LnhtbERPyW7CMBC9I/UfrEHqDRyQWBQwqCqi&#10;4spyaG+DPSSh8djEBsLf4wMSx6e3z5etrcWNmlA5VjDoZyCItTMVFwoO+3VvCiJEZIO1Y1LwoADL&#10;xUdnjrlxd97SbRcLkUI45KigjNHnUgZdksXQd544cSfXWIwJNoU0Dd5TuK3lMMvG0mLFqaFET98l&#10;6f/d1SqoRtrT6qwnv0f/WF3d5e9nOB0p9dltv2YgIrXxLX65N0ZB2pqupBsgF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73HFb8AAADaAAAADwAAAAAAAAAAAAAAAACh&#10;AgAAZHJzL2Rvd25yZXYueG1sUEsFBgAAAAAEAAQA+QAAAI0DAAAAAA==&#10;" strokecolor="#c00000" strokeweight="2pt"/>
            <v:shape id="CaixaDeTexto 1" o:spid="_x0000_s1031" type="#_x0000_t202" style="position:absolute;left:54254;top:14690;width:10820;height:3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v:textbox>
                <w:txbxContent>
                  <w:p w:rsidR="00035795" w:rsidRDefault="00035795" w:rsidP="00166515">
                    <w:pPr>
                      <w:pStyle w:val="NormalWeb"/>
                      <w:spacing w:before="0" w:beforeAutospacing="0" w:after="0" w:afterAutospacing="0"/>
                      <w:jc w:val="right"/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sz w:val="20"/>
                        <w:szCs w:val="20"/>
                      </w:rPr>
                      <w:t>Total BR 4%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A23F2" w:rsidRPr="004A5E15" w:rsidRDefault="007A23F2" w:rsidP="00753901">
      <w:pPr>
        <w:spacing w:after="0"/>
        <w:contextualSpacing/>
        <w:jc w:val="both"/>
        <w:rPr>
          <w:lang w:eastAsia="pt-BR"/>
        </w:rPr>
      </w:pPr>
    </w:p>
    <w:p w:rsidR="005D6DB8" w:rsidRDefault="006B535D" w:rsidP="00852E93">
      <w:pPr>
        <w:shd w:val="clear" w:color="auto" w:fill="FFFFFF"/>
        <w:spacing w:after="0" w:line="240" w:lineRule="auto"/>
        <w:contextualSpacing/>
        <w:jc w:val="center"/>
        <w:rPr>
          <w:rFonts w:ascii="Cambria" w:eastAsia="Times New Roman" w:hAnsi="Cambria"/>
          <w:b/>
          <w:bCs/>
          <w:color w:val="E36C0A"/>
          <w:sz w:val="24"/>
          <w:szCs w:val="24"/>
          <w:lang w:eastAsia="pt-BR"/>
        </w:rPr>
      </w:pPr>
      <w:r w:rsidRPr="00B22C43">
        <w:rPr>
          <w:noProof/>
          <w:sz w:val="16"/>
          <w:szCs w:val="16"/>
          <w:lang w:eastAsia="pt-BR"/>
        </w:rPr>
        <w:lastRenderedPageBreak/>
        <w:t xml:space="preserve">Fonte: </w:t>
      </w:r>
      <w:r w:rsidR="006C0B57" w:rsidRPr="00B22C43">
        <w:rPr>
          <w:noProof/>
          <w:sz w:val="16"/>
          <w:szCs w:val="16"/>
          <w:lang w:eastAsia="pt-BR"/>
        </w:rPr>
        <w:t xml:space="preserve">Dados extraídos do </w:t>
      </w:r>
      <w:r w:rsidRPr="00B22C43">
        <w:rPr>
          <w:noProof/>
          <w:sz w:val="16"/>
          <w:szCs w:val="16"/>
          <w:lang w:eastAsia="pt-BR"/>
        </w:rPr>
        <w:t xml:space="preserve">SIGI-WEB em </w:t>
      </w:r>
      <w:r w:rsidR="0073269B">
        <w:rPr>
          <w:noProof/>
          <w:sz w:val="16"/>
          <w:szCs w:val="16"/>
          <w:lang w:eastAsia="pt-BR"/>
        </w:rPr>
        <w:t>19</w:t>
      </w:r>
      <w:r w:rsidRPr="00B22C43">
        <w:rPr>
          <w:noProof/>
          <w:sz w:val="16"/>
          <w:szCs w:val="16"/>
          <w:lang w:eastAsia="pt-BR"/>
        </w:rPr>
        <w:t>/</w:t>
      </w:r>
      <w:r w:rsidR="0073269B">
        <w:rPr>
          <w:noProof/>
          <w:sz w:val="16"/>
          <w:szCs w:val="16"/>
          <w:lang w:eastAsia="pt-BR"/>
        </w:rPr>
        <w:t>07</w:t>
      </w:r>
      <w:r w:rsidRPr="00B22C43">
        <w:rPr>
          <w:noProof/>
          <w:sz w:val="16"/>
          <w:szCs w:val="16"/>
          <w:lang w:eastAsia="pt-BR"/>
        </w:rPr>
        <w:t>/201</w:t>
      </w:r>
      <w:r w:rsidR="0073269B">
        <w:rPr>
          <w:noProof/>
          <w:sz w:val="16"/>
          <w:szCs w:val="16"/>
          <w:lang w:eastAsia="pt-BR"/>
        </w:rPr>
        <w:t>7</w:t>
      </w:r>
      <w:r w:rsidRPr="00B22C43">
        <w:rPr>
          <w:noProof/>
          <w:sz w:val="16"/>
          <w:szCs w:val="16"/>
          <w:lang w:eastAsia="pt-BR"/>
        </w:rPr>
        <w:t>. Elaboração própria.</w:t>
      </w:r>
      <w:bookmarkStart w:id="68" w:name="_Toc410404575"/>
      <w:bookmarkStart w:id="69" w:name="_Toc442180848"/>
      <w:r w:rsidR="00191066" w:rsidRPr="00B22C43">
        <w:rPr>
          <w:b/>
          <w:color w:val="E36C0A"/>
          <w:sz w:val="24"/>
          <w:szCs w:val="24"/>
          <w:lang w:eastAsia="pt-BR"/>
        </w:rPr>
        <w:t xml:space="preserve"> </w:t>
      </w:r>
      <w:bookmarkStart w:id="70" w:name="_MON_1383576413"/>
      <w:bookmarkStart w:id="71" w:name="_MON_1382429583"/>
      <w:bookmarkStart w:id="72" w:name="_MON_1394029350"/>
      <w:bookmarkStart w:id="73" w:name="_MON_1394029618"/>
      <w:bookmarkStart w:id="74" w:name="_MON_1394029702"/>
      <w:bookmarkStart w:id="75" w:name="_MON_1394029713"/>
      <w:bookmarkStart w:id="76" w:name="_MON_1394029781"/>
      <w:bookmarkStart w:id="77" w:name="_MON_1394031312"/>
      <w:bookmarkStart w:id="78" w:name="_MON_1397563782"/>
      <w:bookmarkStart w:id="79" w:name="_MON_1397563968"/>
      <w:bookmarkStart w:id="80" w:name="_MON_1397563988"/>
      <w:bookmarkStart w:id="81" w:name="_MON_1397564168"/>
      <w:bookmarkStart w:id="82" w:name="_MON_1397564190"/>
      <w:bookmarkStart w:id="83" w:name="_MON_1393235744"/>
      <w:bookmarkStart w:id="84" w:name="_MON_1394538672"/>
      <w:bookmarkStart w:id="85" w:name="_MON_1394538703"/>
      <w:bookmarkStart w:id="86" w:name="_MON_1394538726"/>
      <w:bookmarkStart w:id="87" w:name="_MON_1394538732"/>
      <w:bookmarkStart w:id="88" w:name="_MON_1394538772"/>
      <w:bookmarkStart w:id="89" w:name="_MON_1394539010"/>
      <w:bookmarkStart w:id="90" w:name="_MON_1394540836"/>
      <w:bookmarkStart w:id="91" w:name="_MON_1394544601"/>
      <w:bookmarkStart w:id="92" w:name="_MON_1394544692"/>
      <w:bookmarkStart w:id="93" w:name="_MON_1394610347"/>
      <w:bookmarkStart w:id="94" w:name="_MON_1394612808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="005D6DB8">
        <w:rPr>
          <w:color w:val="E36C0A"/>
          <w:sz w:val="24"/>
          <w:szCs w:val="24"/>
          <w:lang w:eastAsia="pt-BR"/>
        </w:rPr>
        <w:br w:type="page"/>
      </w:r>
    </w:p>
    <w:p w:rsidR="00191066" w:rsidRPr="00B22C43" w:rsidRDefault="00B22C43" w:rsidP="00191066">
      <w:pPr>
        <w:pStyle w:val="Ttulo1"/>
        <w:spacing w:before="360"/>
        <w:rPr>
          <w:color w:val="E36C0A"/>
          <w:sz w:val="24"/>
          <w:szCs w:val="24"/>
          <w:lang w:eastAsia="pt-BR"/>
        </w:rPr>
      </w:pPr>
      <w:bookmarkStart w:id="95" w:name="_Toc490842899"/>
      <w:r w:rsidRPr="00B22C43">
        <w:rPr>
          <w:color w:val="E36C0A"/>
          <w:sz w:val="24"/>
          <w:szCs w:val="24"/>
          <w:lang w:eastAsia="pt-BR"/>
        </w:rPr>
        <w:lastRenderedPageBreak/>
        <w:t>5</w:t>
      </w:r>
      <w:r w:rsidR="00191066" w:rsidRPr="00B22C43">
        <w:rPr>
          <w:color w:val="E36C0A"/>
          <w:sz w:val="24"/>
          <w:szCs w:val="24"/>
          <w:lang w:eastAsia="pt-BR"/>
        </w:rPr>
        <w:t xml:space="preserve"> – MEDIDAS CAUTELARES</w:t>
      </w:r>
      <w:bookmarkEnd w:id="95"/>
      <w:r w:rsidR="00191066" w:rsidRPr="00B22C43">
        <w:rPr>
          <w:color w:val="E36C0A"/>
          <w:sz w:val="24"/>
          <w:szCs w:val="24"/>
          <w:lang w:eastAsia="pt-BR"/>
        </w:rPr>
        <w:t xml:space="preserve"> </w:t>
      </w:r>
    </w:p>
    <w:p w:rsidR="00191066" w:rsidRPr="00B22C43" w:rsidRDefault="00191066" w:rsidP="00753901">
      <w:pPr>
        <w:spacing w:after="0" w:line="240" w:lineRule="auto"/>
        <w:contextualSpacing/>
        <w:jc w:val="both"/>
      </w:pPr>
    </w:p>
    <w:p w:rsidR="00B914D3" w:rsidRPr="00B22C43" w:rsidRDefault="001A52E6" w:rsidP="00753901">
      <w:pPr>
        <w:spacing w:after="0" w:line="240" w:lineRule="auto"/>
        <w:contextualSpacing/>
        <w:jc w:val="both"/>
      </w:pPr>
      <w:r w:rsidRPr="00B22C43">
        <w:t>Além do auto de infração, o agente de fiscalização</w:t>
      </w:r>
      <w:r w:rsidR="007D6AE1" w:rsidRPr="00B22C43">
        <w:t>,</w:t>
      </w:r>
      <w:r w:rsidRPr="00B22C43">
        <w:t xml:space="preserve"> </w:t>
      </w:r>
      <w:r w:rsidR="007D6AE1" w:rsidRPr="00B22C43">
        <w:t>a</w:t>
      </w:r>
      <w:r w:rsidR="00D64A8A" w:rsidRPr="00B22C43">
        <w:t xml:space="preserve">o constatar o não </w:t>
      </w:r>
      <w:r w:rsidR="00BD649D" w:rsidRPr="00B22C43">
        <w:t>cumprimento d</w:t>
      </w:r>
      <w:r w:rsidR="00CF28F0" w:rsidRPr="00B22C43">
        <w:t>e determinados dispositivos d</w:t>
      </w:r>
      <w:r w:rsidR="00BD649D" w:rsidRPr="00B22C43">
        <w:t>a</w:t>
      </w:r>
      <w:r w:rsidR="00D64A8A" w:rsidRPr="00B22C43">
        <w:t xml:space="preserve"> legislação, poderá </w:t>
      </w:r>
      <w:r w:rsidR="0075501C" w:rsidRPr="00B22C43">
        <w:t>aplicar</w:t>
      </w:r>
      <w:r w:rsidR="00E1148F" w:rsidRPr="00B22C43">
        <w:t>,</w:t>
      </w:r>
      <w:r w:rsidR="0075501C" w:rsidRPr="00B22C43">
        <w:t xml:space="preserve"> </w:t>
      </w:r>
      <w:r w:rsidR="00CF28F0" w:rsidRPr="00B22C43">
        <w:t>cautelarmente</w:t>
      </w:r>
      <w:r w:rsidR="00E1148F" w:rsidRPr="00B22C43">
        <w:t>,</w:t>
      </w:r>
      <w:r w:rsidR="00CF28F0" w:rsidRPr="00B22C43">
        <w:t xml:space="preserve"> </w:t>
      </w:r>
      <w:r w:rsidR="0075501C" w:rsidRPr="00B22C43">
        <w:t xml:space="preserve">interdição </w:t>
      </w:r>
      <w:r w:rsidR="00CF28F0" w:rsidRPr="00B22C43">
        <w:t xml:space="preserve">de equipamentos </w:t>
      </w:r>
      <w:r w:rsidR="0075501C" w:rsidRPr="00B22C43">
        <w:t>e</w:t>
      </w:r>
      <w:r w:rsidR="00CF28F0" w:rsidRPr="00B22C43">
        <w:t xml:space="preserve"> de instalações e</w:t>
      </w:r>
      <w:r w:rsidR="00B11CD0" w:rsidRPr="00B22C43">
        <w:t>/</w:t>
      </w:r>
      <w:r w:rsidR="0075501C" w:rsidRPr="00B22C43">
        <w:t>ou</w:t>
      </w:r>
      <w:r w:rsidR="00D64A8A" w:rsidRPr="00B22C43">
        <w:t xml:space="preserve"> apreen</w:t>
      </w:r>
      <w:r w:rsidR="0075501C" w:rsidRPr="00B22C43">
        <w:t>são</w:t>
      </w:r>
      <w:r w:rsidR="00D64A8A" w:rsidRPr="00B22C43">
        <w:t xml:space="preserve"> </w:t>
      </w:r>
      <w:r w:rsidR="0075501C" w:rsidRPr="00B22C43">
        <w:t xml:space="preserve">de </w:t>
      </w:r>
      <w:r w:rsidR="00D64A8A" w:rsidRPr="00B22C43">
        <w:t>produtos</w:t>
      </w:r>
      <w:r w:rsidR="00CF28F0" w:rsidRPr="00B22C43">
        <w:t>.</w:t>
      </w:r>
      <w:r w:rsidR="007D6AE1" w:rsidRPr="00B22C43">
        <w:t xml:space="preserve"> </w:t>
      </w:r>
      <w:r w:rsidR="00B914D3" w:rsidRPr="00B22C43">
        <w:t>Uma vez adotada a medida cautelar, sua reversão s</w:t>
      </w:r>
      <w:r w:rsidR="00E1148F" w:rsidRPr="00B22C43">
        <w:t>omente</w:t>
      </w:r>
      <w:r w:rsidR="00B914D3" w:rsidRPr="00B22C43">
        <w:t xml:space="preserve"> o</w:t>
      </w:r>
      <w:r w:rsidR="007D6AE1" w:rsidRPr="00B22C43">
        <w:t xml:space="preserve">correrá após cessarem as causas, observados </w:t>
      </w:r>
      <w:r w:rsidR="00447CFB" w:rsidRPr="00B22C43">
        <w:t xml:space="preserve">os </w:t>
      </w:r>
      <w:r w:rsidR="007D6AE1" w:rsidRPr="00B22C43">
        <w:t>prazos legais.</w:t>
      </w:r>
    </w:p>
    <w:p w:rsidR="0098706E" w:rsidRPr="00B22C43" w:rsidRDefault="0098706E" w:rsidP="00753901">
      <w:pPr>
        <w:spacing w:after="0" w:line="240" w:lineRule="auto"/>
        <w:contextualSpacing/>
        <w:jc w:val="both"/>
      </w:pPr>
    </w:p>
    <w:p w:rsidR="005E5A0B" w:rsidRPr="00B22C43" w:rsidRDefault="00121861" w:rsidP="00F617C4">
      <w:pPr>
        <w:spacing w:after="0" w:line="240" w:lineRule="auto"/>
        <w:contextualSpacing/>
        <w:jc w:val="both"/>
      </w:pPr>
      <w:r w:rsidRPr="00B22C43">
        <w:t>E</w:t>
      </w:r>
      <w:r w:rsidR="00DA740F" w:rsidRPr="00B22C43">
        <w:t xml:space="preserve">ntre as principais irregularidades que ensejaram interdições, destacam-se: não atender </w:t>
      </w:r>
      <w:r w:rsidR="00B32D1A" w:rsidRPr="00B22C43">
        <w:t>a</w:t>
      </w:r>
      <w:r w:rsidR="00DA740F" w:rsidRPr="00B22C43">
        <w:t xml:space="preserve"> normas de segurança (</w:t>
      </w:r>
      <w:r w:rsidR="008C1126" w:rsidRPr="00B22C43">
        <w:t>33</w:t>
      </w:r>
      <w:r w:rsidR="00DA740F" w:rsidRPr="00B22C43">
        <w:t xml:space="preserve">%), </w:t>
      </w:r>
      <w:r w:rsidR="0012061A" w:rsidRPr="00B22C43">
        <w:t>comercializar ou armazenar</w:t>
      </w:r>
      <w:r w:rsidR="008C1126" w:rsidRPr="00B22C43">
        <w:t xml:space="preserve"> produto</w:t>
      </w:r>
      <w:r w:rsidR="0012061A" w:rsidRPr="00B22C43">
        <w:t xml:space="preserve"> </w:t>
      </w:r>
      <w:r w:rsidR="00917D7C" w:rsidRPr="00B22C43">
        <w:t>não conforme</w:t>
      </w:r>
      <w:r w:rsidR="0012061A" w:rsidRPr="00B22C43">
        <w:t xml:space="preserve"> com a especificação (</w:t>
      </w:r>
      <w:r w:rsidR="008C1126" w:rsidRPr="00B22C43">
        <w:t>22</w:t>
      </w:r>
      <w:r w:rsidR="0012061A" w:rsidRPr="00B22C43">
        <w:t xml:space="preserve">%), </w:t>
      </w:r>
      <w:r w:rsidR="00DA740F" w:rsidRPr="00B22C43">
        <w:t>comercializar com vício de quantidade (</w:t>
      </w:r>
      <w:r w:rsidR="008C1126" w:rsidRPr="00B22C43">
        <w:t>19</w:t>
      </w:r>
      <w:r w:rsidR="00D07B34" w:rsidRPr="00B22C43">
        <w:t>%)</w:t>
      </w:r>
      <w:r w:rsidR="008C1126" w:rsidRPr="00B22C43">
        <w:t xml:space="preserve"> e exercer atividade regulada sem autorização (20%)</w:t>
      </w:r>
      <w:r w:rsidR="00E1148F" w:rsidRPr="00B22C43">
        <w:t xml:space="preserve">, que, conjuntamente, alcançam </w:t>
      </w:r>
      <w:r w:rsidR="008C1126" w:rsidRPr="00B22C43">
        <w:t>mais</w:t>
      </w:r>
      <w:r w:rsidR="00E1148F" w:rsidRPr="00B22C43">
        <w:t xml:space="preserve"> de 90%</w:t>
      </w:r>
      <w:proofErr w:type="gramStart"/>
      <w:r w:rsidR="00E1148F" w:rsidRPr="00B22C43">
        <w:t>.</w:t>
      </w:r>
      <w:r w:rsidR="008C1126" w:rsidRPr="00B22C43">
        <w:t>,</w:t>
      </w:r>
      <w:proofErr w:type="gramEnd"/>
    </w:p>
    <w:p w:rsidR="00707887" w:rsidRPr="00B22C43" w:rsidRDefault="00707887" w:rsidP="00F617C4">
      <w:pPr>
        <w:spacing w:after="0" w:line="240" w:lineRule="auto"/>
        <w:contextualSpacing/>
        <w:jc w:val="both"/>
      </w:pPr>
    </w:p>
    <w:p w:rsidR="00C47387" w:rsidRPr="00B22C43" w:rsidRDefault="00D719BD" w:rsidP="00FB74B4">
      <w:pPr>
        <w:spacing w:after="0" w:line="240" w:lineRule="auto"/>
        <w:contextualSpacing/>
        <w:jc w:val="both"/>
        <w:rPr>
          <w:lang w:eastAsia="pt-BR"/>
        </w:rPr>
      </w:pPr>
      <w:r w:rsidRPr="00B22C43">
        <w:rPr>
          <w:b/>
        </w:rPr>
        <w:t xml:space="preserve">GRÁFICO </w:t>
      </w:r>
      <w:r w:rsidR="00707887" w:rsidRPr="00B22C43">
        <w:rPr>
          <w:b/>
        </w:rPr>
        <w:t>8</w:t>
      </w:r>
      <w:r w:rsidRPr="00B22C43">
        <w:t xml:space="preserve"> – </w:t>
      </w:r>
      <w:r w:rsidRPr="00B22C43">
        <w:rPr>
          <w:lang w:eastAsia="pt-BR"/>
        </w:rPr>
        <w:t>Principais motivações dos autos de interdição, em percentual</w:t>
      </w:r>
      <w:r w:rsidR="001F69D1" w:rsidRPr="00B22C43">
        <w:rPr>
          <w:lang w:eastAsia="pt-BR"/>
        </w:rPr>
        <w:t xml:space="preserve">, </w:t>
      </w:r>
      <w:proofErr w:type="gramStart"/>
      <w:r w:rsidR="001F69D1" w:rsidRPr="00B22C43">
        <w:rPr>
          <w:lang w:eastAsia="pt-BR"/>
        </w:rPr>
        <w:t>Brasil</w:t>
      </w:r>
      <w:proofErr w:type="gramEnd"/>
    </w:p>
    <w:p w:rsidR="00EC648F" w:rsidRPr="00852E93" w:rsidRDefault="00EC648F" w:rsidP="00FB74B4">
      <w:pPr>
        <w:spacing w:after="0" w:line="240" w:lineRule="auto"/>
        <w:contextualSpacing/>
        <w:jc w:val="both"/>
        <w:rPr>
          <w:sz w:val="16"/>
          <w:szCs w:val="16"/>
          <w:lang w:eastAsia="pt-BR"/>
        </w:rPr>
      </w:pPr>
    </w:p>
    <w:p w:rsidR="00C47387" w:rsidRPr="00B22C43" w:rsidRDefault="008C1126" w:rsidP="008C1126">
      <w:pPr>
        <w:spacing w:after="0" w:line="240" w:lineRule="auto"/>
        <w:ind w:right="-510"/>
        <w:contextualSpacing/>
        <w:jc w:val="center"/>
        <w:rPr>
          <w:lang w:eastAsia="pt-BR"/>
        </w:rPr>
      </w:pPr>
      <w:r w:rsidRPr="00B22C43">
        <w:rPr>
          <w:noProof/>
          <w:lang w:eastAsia="pt-BR"/>
        </w:rPr>
        <w:drawing>
          <wp:inline distT="0" distB="0" distL="0" distR="0">
            <wp:extent cx="6664036" cy="2168236"/>
            <wp:effectExtent l="0" t="0" r="0" b="0"/>
            <wp:docPr id="7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C648F" w:rsidRPr="00194D97" w:rsidRDefault="00EC648F" w:rsidP="00A55F3E">
      <w:pPr>
        <w:spacing w:after="0" w:line="240" w:lineRule="auto"/>
        <w:contextualSpacing/>
        <w:jc w:val="center"/>
        <w:rPr>
          <w:noProof/>
          <w:lang w:eastAsia="pt-BR"/>
        </w:rPr>
      </w:pPr>
    </w:p>
    <w:p w:rsidR="00D719BD" w:rsidRPr="00B22C43" w:rsidRDefault="00D719BD" w:rsidP="00A55F3E">
      <w:pPr>
        <w:spacing w:after="0" w:line="240" w:lineRule="auto"/>
        <w:contextualSpacing/>
        <w:jc w:val="center"/>
        <w:rPr>
          <w:noProof/>
          <w:sz w:val="16"/>
          <w:szCs w:val="16"/>
          <w:lang w:eastAsia="pt-BR"/>
        </w:rPr>
      </w:pPr>
      <w:r w:rsidRPr="00B22C43">
        <w:rPr>
          <w:noProof/>
          <w:sz w:val="16"/>
          <w:szCs w:val="16"/>
          <w:lang w:eastAsia="pt-BR"/>
        </w:rPr>
        <w:t>Fonte</w:t>
      </w:r>
      <w:r w:rsidR="006C0B57" w:rsidRPr="00B22C43">
        <w:rPr>
          <w:noProof/>
          <w:sz w:val="16"/>
          <w:szCs w:val="16"/>
          <w:lang w:eastAsia="pt-BR"/>
        </w:rPr>
        <w:t xml:space="preserve"> Dados extraídos do</w:t>
      </w:r>
      <w:r w:rsidRPr="00B22C43">
        <w:rPr>
          <w:noProof/>
          <w:sz w:val="16"/>
          <w:szCs w:val="16"/>
          <w:lang w:eastAsia="pt-BR"/>
        </w:rPr>
        <w:t xml:space="preserve"> SIGI-WEB em </w:t>
      </w:r>
      <w:r w:rsidR="0073269B">
        <w:rPr>
          <w:noProof/>
          <w:sz w:val="16"/>
          <w:szCs w:val="16"/>
          <w:lang w:eastAsia="pt-BR"/>
        </w:rPr>
        <w:t>19</w:t>
      </w:r>
      <w:r w:rsidRPr="00B22C43">
        <w:rPr>
          <w:noProof/>
          <w:sz w:val="16"/>
          <w:szCs w:val="16"/>
          <w:lang w:eastAsia="pt-BR"/>
        </w:rPr>
        <w:t>/0</w:t>
      </w:r>
      <w:r w:rsidR="00227E7F" w:rsidRPr="00B22C43">
        <w:rPr>
          <w:noProof/>
          <w:sz w:val="16"/>
          <w:szCs w:val="16"/>
          <w:lang w:eastAsia="pt-BR"/>
        </w:rPr>
        <w:t>7</w:t>
      </w:r>
      <w:r w:rsidRPr="00B22C43">
        <w:rPr>
          <w:noProof/>
          <w:sz w:val="16"/>
          <w:szCs w:val="16"/>
          <w:lang w:eastAsia="pt-BR"/>
        </w:rPr>
        <w:t>/201</w:t>
      </w:r>
      <w:r w:rsidR="0073269B">
        <w:rPr>
          <w:noProof/>
          <w:sz w:val="16"/>
          <w:szCs w:val="16"/>
          <w:lang w:eastAsia="pt-BR"/>
        </w:rPr>
        <w:t>7</w:t>
      </w:r>
      <w:r w:rsidRPr="00B22C43">
        <w:rPr>
          <w:noProof/>
          <w:sz w:val="16"/>
          <w:szCs w:val="16"/>
          <w:lang w:eastAsia="pt-BR"/>
        </w:rPr>
        <w:t>. Elaboração própria.</w:t>
      </w:r>
    </w:p>
    <w:p w:rsidR="00766537" w:rsidRPr="00B0761A" w:rsidRDefault="00766537" w:rsidP="005E5A0B">
      <w:pPr>
        <w:pStyle w:val="Ttulo1"/>
        <w:spacing w:before="360"/>
        <w:rPr>
          <w:rFonts w:ascii="Calibri" w:hAnsi="Calibri"/>
          <w:color w:val="E36C0A"/>
          <w:sz w:val="22"/>
          <w:szCs w:val="22"/>
          <w:lang w:eastAsia="pt-BR"/>
        </w:rPr>
      </w:pPr>
      <w:bookmarkStart w:id="96" w:name="_Toc442180850"/>
      <w:bookmarkStart w:id="97" w:name="_Toc410404578"/>
    </w:p>
    <w:p w:rsidR="00511231" w:rsidRPr="00B22C43" w:rsidRDefault="002744EF" w:rsidP="005E5A0B">
      <w:pPr>
        <w:pStyle w:val="Ttulo1"/>
        <w:spacing w:before="360"/>
        <w:rPr>
          <w:color w:val="E36C0A"/>
          <w:sz w:val="24"/>
          <w:szCs w:val="24"/>
          <w:lang w:eastAsia="pt-BR"/>
        </w:rPr>
      </w:pPr>
      <w:bookmarkStart w:id="98" w:name="_Toc490842900"/>
      <w:proofErr w:type="gramStart"/>
      <w:r>
        <w:rPr>
          <w:color w:val="E36C0A"/>
          <w:sz w:val="24"/>
          <w:szCs w:val="24"/>
          <w:lang w:eastAsia="pt-BR"/>
        </w:rPr>
        <w:t>6</w:t>
      </w:r>
      <w:r w:rsidR="002F69C1">
        <w:rPr>
          <w:color w:val="E36C0A"/>
          <w:sz w:val="24"/>
          <w:szCs w:val="24"/>
          <w:lang w:eastAsia="pt-BR"/>
        </w:rPr>
        <w:t xml:space="preserve"> – ATENDIMENTO</w:t>
      </w:r>
      <w:proofErr w:type="gramEnd"/>
      <w:r w:rsidR="002F69C1">
        <w:rPr>
          <w:color w:val="E36C0A"/>
          <w:sz w:val="24"/>
          <w:szCs w:val="24"/>
          <w:lang w:eastAsia="pt-BR"/>
        </w:rPr>
        <w:t xml:space="preserve"> AO </w:t>
      </w:r>
      <w:r w:rsidR="00511231" w:rsidRPr="00B22C43">
        <w:rPr>
          <w:color w:val="E36C0A"/>
          <w:sz w:val="24"/>
          <w:szCs w:val="24"/>
          <w:lang w:eastAsia="pt-BR"/>
        </w:rPr>
        <w:t>CENTRO DE RELAÇÕES COM O CONSUMIDOR – CRC</w:t>
      </w:r>
      <w:bookmarkEnd w:id="96"/>
      <w:bookmarkEnd w:id="98"/>
    </w:p>
    <w:p w:rsidR="006016F9" w:rsidRPr="00B22C43" w:rsidRDefault="006016F9" w:rsidP="00753901">
      <w:pPr>
        <w:shd w:val="clear" w:color="auto" w:fill="FFFFFF"/>
        <w:spacing w:after="0" w:line="240" w:lineRule="auto"/>
        <w:contextualSpacing/>
        <w:rPr>
          <w:rFonts w:cs="Calibri"/>
        </w:rPr>
      </w:pPr>
    </w:p>
    <w:p w:rsidR="00DC6CB1" w:rsidRDefault="00DC6CB1" w:rsidP="00DC6CB1">
      <w:pPr>
        <w:shd w:val="clear" w:color="auto" w:fill="FFFFFF"/>
        <w:spacing w:after="0" w:line="240" w:lineRule="auto"/>
        <w:jc w:val="both"/>
        <w:rPr>
          <w:rFonts w:cs="Calibri"/>
        </w:rPr>
      </w:pPr>
      <w:r w:rsidRPr="00B22C43">
        <w:rPr>
          <w:rFonts w:cs="Calibri"/>
        </w:rPr>
        <w:t xml:space="preserve">No 1º semestre, das </w:t>
      </w:r>
      <w:r>
        <w:rPr>
          <w:rFonts w:cs="Calibri"/>
        </w:rPr>
        <w:t>10.756</w:t>
      </w:r>
      <w:r w:rsidRPr="00B22C43">
        <w:rPr>
          <w:rFonts w:cs="Calibri"/>
        </w:rPr>
        <w:t xml:space="preserve"> denúncias recebidas pela Fiscalização, por meio do CRC, 87% referiram-se à </w:t>
      </w:r>
      <w:r w:rsidRPr="00900547">
        <w:rPr>
          <w:rFonts w:cs="Calibri"/>
        </w:rPr>
        <w:t xml:space="preserve">comercialização de combustíveis líquidos automotivos e 13% de GLP. </w:t>
      </w:r>
      <w:r w:rsidR="00216DD0">
        <w:rPr>
          <w:rFonts w:cs="Calibri"/>
        </w:rPr>
        <w:t xml:space="preserve">Tais informações foram utilizadas como parâmetro no planejamento das ações de fiscalização do semestre. </w:t>
      </w:r>
    </w:p>
    <w:p w:rsidR="00DC6CB1" w:rsidRPr="00B22C43" w:rsidRDefault="00DC6CB1" w:rsidP="00DC6CB1">
      <w:pPr>
        <w:shd w:val="clear" w:color="auto" w:fill="FFFFFF"/>
        <w:spacing w:after="0" w:line="240" w:lineRule="auto"/>
        <w:jc w:val="both"/>
        <w:rPr>
          <w:rFonts w:cs="Calibri"/>
        </w:rPr>
      </w:pPr>
    </w:p>
    <w:p w:rsidR="00271493" w:rsidRPr="006F4951" w:rsidRDefault="00752C63" w:rsidP="00271493">
      <w:pPr>
        <w:shd w:val="clear" w:color="auto" w:fill="FFFFFF"/>
        <w:spacing w:after="0" w:line="240" w:lineRule="auto"/>
        <w:contextualSpacing/>
        <w:jc w:val="both"/>
        <w:rPr>
          <w:rFonts w:cs="Calibri"/>
        </w:rPr>
      </w:pPr>
      <w:r w:rsidRPr="006F4951">
        <w:rPr>
          <w:rFonts w:cs="Calibri"/>
        </w:rPr>
        <w:t xml:space="preserve">Considerando, também, que </w:t>
      </w:r>
      <w:r w:rsidR="00271493" w:rsidRPr="006F4951">
        <w:rPr>
          <w:rFonts w:cs="Calibri"/>
        </w:rPr>
        <w:t xml:space="preserve">é </w:t>
      </w:r>
      <w:r w:rsidRPr="006F4951">
        <w:rPr>
          <w:rFonts w:cs="Calibri"/>
        </w:rPr>
        <w:t xml:space="preserve">atribuição da </w:t>
      </w:r>
      <w:r w:rsidR="00271493" w:rsidRPr="006F4951">
        <w:rPr>
          <w:rFonts w:cs="Calibri"/>
        </w:rPr>
        <w:t>ANP orienta</w:t>
      </w:r>
      <w:r w:rsidRPr="006F4951">
        <w:rPr>
          <w:rFonts w:cs="Calibri"/>
        </w:rPr>
        <w:t xml:space="preserve">r e </w:t>
      </w:r>
      <w:r w:rsidR="00271493" w:rsidRPr="006F4951">
        <w:rPr>
          <w:rFonts w:cs="Calibri"/>
        </w:rPr>
        <w:t>educa</w:t>
      </w:r>
      <w:r w:rsidRPr="006F4951">
        <w:rPr>
          <w:rFonts w:cs="Calibri"/>
        </w:rPr>
        <w:t xml:space="preserve">r </w:t>
      </w:r>
      <w:r w:rsidR="00271493" w:rsidRPr="006F4951">
        <w:rPr>
          <w:rFonts w:cs="Calibri"/>
        </w:rPr>
        <w:t xml:space="preserve">os agentes econômicos regulados, no sentido de atender as necessidades dos consumidores e </w:t>
      </w:r>
      <w:r w:rsidR="00687AFF" w:rsidRPr="006F4951">
        <w:rPr>
          <w:rFonts w:cs="Calibri"/>
        </w:rPr>
        <w:t xml:space="preserve">dos </w:t>
      </w:r>
      <w:r w:rsidR="00271493" w:rsidRPr="006F4951">
        <w:rPr>
          <w:rFonts w:cs="Calibri"/>
        </w:rPr>
        <w:t>usuários do abastecimento de combustíveis, conforme o art. 16 do Decreto n</w:t>
      </w:r>
      <w:r w:rsidR="00687AFF" w:rsidRPr="006F4951">
        <w:rPr>
          <w:rFonts w:cs="Calibri"/>
        </w:rPr>
        <w:t>º</w:t>
      </w:r>
      <w:r w:rsidR="00271493" w:rsidRPr="006F4951">
        <w:rPr>
          <w:rFonts w:cs="Calibri"/>
        </w:rPr>
        <w:t xml:space="preserve"> 2.455/1998, a </w:t>
      </w:r>
      <w:r w:rsidRPr="006F4951">
        <w:rPr>
          <w:rFonts w:cs="Calibri"/>
        </w:rPr>
        <w:t>SFI</w:t>
      </w:r>
      <w:r w:rsidR="00271493" w:rsidRPr="006F4951">
        <w:rPr>
          <w:rFonts w:cs="Calibri"/>
        </w:rPr>
        <w:t xml:space="preserve"> passou a adotar novo procedimento em relação às denúncias do Centro de Relações com o Consumidor.</w:t>
      </w:r>
    </w:p>
    <w:p w:rsidR="00271493" w:rsidRPr="006F4951" w:rsidRDefault="00271493" w:rsidP="00271493">
      <w:pPr>
        <w:shd w:val="clear" w:color="auto" w:fill="FFFFFF"/>
        <w:spacing w:after="0" w:line="240" w:lineRule="auto"/>
        <w:contextualSpacing/>
        <w:jc w:val="both"/>
        <w:rPr>
          <w:rFonts w:cs="Calibri"/>
        </w:rPr>
      </w:pPr>
    </w:p>
    <w:p w:rsidR="00271493" w:rsidRDefault="00271493" w:rsidP="00271493">
      <w:pPr>
        <w:shd w:val="clear" w:color="auto" w:fill="FFFFFF"/>
        <w:spacing w:after="0" w:line="240" w:lineRule="auto"/>
        <w:contextualSpacing/>
        <w:jc w:val="both"/>
        <w:rPr>
          <w:rFonts w:cs="Calibri"/>
        </w:rPr>
      </w:pPr>
      <w:r w:rsidRPr="006F4951">
        <w:rPr>
          <w:rFonts w:cs="Calibri"/>
        </w:rPr>
        <w:t xml:space="preserve">Após a análise dessas denúncias, os agentes que não </w:t>
      </w:r>
      <w:r w:rsidR="00752C63" w:rsidRPr="006F4951">
        <w:rPr>
          <w:rFonts w:cs="Calibri"/>
        </w:rPr>
        <w:t xml:space="preserve">foram fiscalizados </w:t>
      </w:r>
      <w:r w:rsidR="00752C63" w:rsidRPr="006F4951">
        <w:rPr>
          <w:rFonts w:cs="Calibri"/>
          <w:i/>
        </w:rPr>
        <w:t>in loco</w:t>
      </w:r>
      <w:r w:rsidR="00752C63" w:rsidRPr="006F4951">
        <w:rPr>
          <w:rFonts w:cs="Calibri"/>
        </w:rPr>
        <w:t xml:space="preserve"> </w:t>
      </w:r>
      <w:r w:rsidRPr="006F4951">
        <w:rPr>
          <w:rFonts w:cs="Calibri"/>
        </w:rPr>
        <w:t>receber</w:t>
      </w:r>
      <w:r w:rsidR="00752C63" w:rsidRPr="006F4951">
        <w:rPr>
          <w:rFonts w:cs="Calibri"/>
        </w:rPr>
        <w:t xml:space="preserve">am </w:t>
      </w:r>
      <w:r w:rsidRPr="006F4951">
        <w:rPr>
          <w:rFonts w:cs="Calibri"/>
        </w:rPr>
        <w:t>comunicados por email ou</w:t>
      </w:r>
      <w:r w:rsidR="00752C63" w:rsidRPr="006F4951">
        <w:rPr>
          <w:rFonts w:cs="Calibri"/>
        </w:rPr>
        <w:t xml:space="preserve"> por </w:t>
      </w:r>
      <w:r w:rsidRPr="006F4951">
        <w:rPr>
          <w:rFonts w:cs="Calibri"/>
        </w:rPr>
        <w:t xml:space="preserve">Ofício sobre a motivação das denúncias e </w:t>
      </w:r>
      <w:r w:rsidR="00752C63" w:rsidRPr="006F4951">
        <w:rPr>
          <w:rFonts w:cs="Calibri"/>
        </w:rPr>
        <w:t xml:space="preserve">foram </w:t>
      </w:r>
      <w:r w:rsidRPr="006F4951">
        <w:rPr>
          <w:rFonts w:cs="Calibri"/>
        </w:rPr>
        <w:t xml:space="preserve">orientados a tomar </w:t>
      </w:r>
      <w:r w:rsidR="00752C63" w:rsidRPr="006F4951">
        <w:rPr>
          <w:rFonts w:cs="Calibri"/>
        </w:rPr>
        <w:t xml:space="preserve">as </w:t>
      </w:r>
      <w:r w:rsidRPr="006F4951">
        <w:rPr>
          <w:rFonts w:cs="Calibri"/>
        </w:rPr>
        <w:t>providências</w:t>
      </w:r>
      <w:r w:rsidR="00752C63" w:rsidRPr="006F4951">
        <w:rPr>
          <w:rFonts w:cs="Calibri"/>
        </w:rPr>
        <w:t xml:space="preserve"> cabíveis </w:t>
      </w:r>
      <w:r w:rsidRPr="006F4951">
        <w:rPr>
          <w:rFonts w:cs="Calibri"/>
        </w:rPr>
        <w:t xml:space="preserve">para corrigir as irregularidades, </w:t>
      </w:r>
      <w:proofErr w:type="gramStart"/>
      <w:r w:rsidRPr="006F4951">
        <w:rPr>
          <w:rFonts w:cs="Calibri"/>
        </w:rPr>
        <w:t>sob pena</w:t>
      </w:r>
      <w:proofErr w:type="gramEnd"/>
      <w:r w:rsidRPr="006F4951">
        <w:rPr>
          <w:rFonts w:cs="Calibri"/>
        </w:rPr>
        <w:t xml:space="preserve"> de autuação da ANP de acordo com a Lei n. 9.847/1999.</w:t>
      </w:r>
    </w:p>
    <w:p w:rsidR="002F69C1" w:rsidRPr="002E032B" w:rsidRDefault="002F69C1" w:rsidP="00271493">
      <w:pPr>
        <w:shd w:val="clear" w:color="auto" w:fill="FFFFFF"/>
        <w:spacing w:after="0" w:line="240" w:lineRule="auto"/>
        <w:contextualSpacing/>
        <w:jc w:val="both"/>
        <w:rPr>
          <w:rFonts w:cs="Calibri"/>
        </w:rPr>
      </w:pPr>
    </w:p>
    <w:p w:rsidR="00EB3D45" w:rsidRPr="00B22C43" w:rsidRDefault="00EB3D45" w:rsidP="00753901">
      <w:pPr>
        <w:shd w:val="clear" w:color="auto" w:fill="FFFFFF"/>
        <w:spacing w:after="0" w:line="240" w:lineRule="auto"/>
        <w:contextualSpacing/>
        <w:rPr>
          <w:rFonts w:cs="Calibri"/>
        </w:rPr>
      </w:pPr>
    </w:p>
    <w:p w:rsidR="00766537" w:rsidRDefault="00766537" w:rsidP="005742B6">
      <w:pPr>
        <w:shd w:val="clear" w:color="auto" w:fill="FFFFFF"/>
        <w:spacing w:after="0" w:line="240" w:lineRule="auto"/>
        <w:contextualSpacing/>
        <w:rPr>
          <w:rFonts w:cs="Calibri"/>
          <w:b/>
        </w:rPr>
      </w:pPr>
    </w:p>
    <w:p w:rsidR="00766537" w:rsidRDefault="00766537" w:rsidP="005742B6">
      <w:pPr>
        <w:shd w:val="clear" w:color="auto" w:fill="FFFFFF"/>
        <w:spacing w:after="0" w:line="240" w:lineRule="auto"/>
        <w:contextualSpacing/>
        <w:rPr>
          <w:rFonts w:cs="Calibri"/>
          <w:b/>
        </w:rPr>
      </w:pPr>
    </w:p>
    <w:p w:rsidR="00766537" w:rsidRDefault="00766537" w:rsidP="005742B6">
      <w:pPr>
        <w:shd w:val="clear" w:color="auto" w:fill="FFFFFF"/>
        <w:spacing w:after="0" w:line="240" w:lineRule="auto"/>
        <w:contextualSpacing/>
        <w:rPr>
          <w:rFonts w:cs="Calibri"/>
          <w:b/>
        </w:rPr>
      </w:pPr>
    </w:p>
    <w:p w:rsidR="00766537" w:rsidRDefault="00766537" w:rsidP="005742B6">
      <w:pPr>
        <w:shd w:val="clear" w:color="auto" w:fill="FFFFFF"/>
        <w:spacing w:after="0" w:line="240" w:lineRule="auto"/>
        <w:contextualSpacing/>
        <w:rPr>
          <w:rFonts w:cs="Calibri"/>
          <w:b/>
        </w:rPr>
      </w:pPr>
    </w:p>
    <w:p w:rsidR="004B3335" w:rsidRPr="00B22C43" w:rsidRDefault="004B3335" w:rsidP="005742B6">
      <w:pPr>
        <w:shd w:val="clear" w:color="auto" w:fill="FFFFFF"/>
        <w:spacing w:after="0" w:line="240" w:lineRule="auto"/>
        <w:contextualSpacing/>
        <w:rPr>
          <w:rFonts w:cs="Calibri"/>
        </w:rPr>
      </w:pPr>
      <w:r w:rsidRPr="00B22C43">
        <w:rPr>
          <w:rFonts w:cs="Calibri"/>
          <w:b/>
        </w:rPr>
        <w:lastRenderedPageBreak/>
        <w:t xml:space="preserve">GRÁFICO </w:t>
      </w:r>
      <w:r w:rsidR="004546E6">
        <w:rPr>
          <w:rFonts w:cs="Calibri"/>
          <w:b/>
        </w:rPr>
        <w:t>9</w:t>
      </w:r>
      <w:r w:rsidRPr="00B22C43">
        <w:rPr>
          <w:rFonts w:cs="Calibri"/>
        </w:rPr>
        <w:t xml:space="preserve"> – Distribuição percentual das denúncias d</w:t>
      </w:r>
      <w:r w:rsidR="00DE4AF6" w:rsidRPr="00B22C43">
        <w:rPr>
          <w:rFonts w:cs="Calibri"/>
        </w:rPr>
        <w:t>e combustível</w:t>
      </w:r>
      <w:r w:rsidR="00DD4731" w:rsidRPr="00B22C43">
        <w:rPr>
          <w:rFonts w:cs="Calibri"/>
        </w:rPr>
        <w:t>, no 1º semestre de 2017,</w:t>
      </w:r>
      <w:r w:rsidR="00DE4AF6" w:rsidRPr="00B22C43">
        <w:rPr>
          <w:rFonts w:cs="Calibri"/>
        </w:rPr>
        <w:t xml:space="preserve"> por </w:t>
      </w:r>
      <w:proofErr w:type="gramStart"/>
      <w:r w:rsidR="00DE4AF6" w:rsidRPr="00B22C43">
        <w:rPr>
          <w:rFonts w:cs="Calibri"/>
        </w:rPr>
        <w:t>tipo</w:t>
      </w:r>
      <w:proofErr w:type="gramEnd"/>
    </w:p>
    <w:p w:rsidR="001C21D6" w:rsidRDefault="00DD4731" w:rsidP="00DD4731">
      <w:pPr>
        <w:shd w:val="clear" w:color="auto" w:fill="FFFFFF"/>
        <w:spacing w:after="0" w:line="240" w:lineRule="auto"/>
        <w:contextualSpacing/>
        <w:jc w:val="center"/>
        <w:rPr>
          <w:noProof/>
          <w:sz w:val="16"/>
          <w:szCs w:val="16"/>
          <w:lang w:eastAsia="pt-BR"/>
        </w:rPr>
      </w:pPr>
      <w:r w:rsidRPr="00B22C43">
        <w:rPr>
          <w:rFonts w:cs="Calibri"/>
          <w:noProof/>
          <w:lang w:eastAsia="pt-BR"/>
        </w:rPr>
        <w:drawing>
          <wp:inline distT="0" distB="0" distL="0" distR="0">
            <wp:extent cx="5286375" cy="2209800"/>
            <wp:effectExtent l="19050" t="0" r="0" b="0"/>
            <wp:docPr id="11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271493">
        <w:rPr>
          <w:noProof/>
          <w:sz w:val="16"/>
          <w:szCs w:val="16"/>
          <w:lang w:eastAsia="pt-BR"/>
        </w:rPr>
        <w:t xml:space="preserve"> </w:t>
      </w:r>
    </w:p>
    <w:p w:rsidR="003022B9" w:rsidRPr="003022B9" w:rsidRDefault="003022B9" w:rsidP="00DD4731">
      <w:pPr>
        <w:shd w:val="clear" w:color="auto" w:fill="FFFFFF"/>
        <w:spacing w:after="0" w:line="240" w:lineRule="auto"/>
        <w:contextualSpacing/>
        <w:jc w:val="center"/>
        <w:rPr>
          <w:noProof/>
          <w:sz w:val="10"/>
          <w:szCs w:val="10"/>
          <w:lang w:eastAsia="pt-BR"/>
        </w:rPr>
      </w:pPr>
    </w:p>
    <w:p w:rsidR="00DD4731" w:rsidRPr="00B22C43" w:rsidRDefault="00DD4731" w:rsidP="00DD4731">
      <w:pPr>
        <w:shd w:val="clear" w:color="auto" w:fill="FFFFFF"/>
        <w:spacing w:after="0" w:line="240" w:lineRule="auto"/>
        <w:contextualSpacing/>
        <w:jc w:val="center"/>
        <w:rPr>
          <w:noProof/>
          <w:sz w:val="16"/>
          <w:szCs w:val="16"/>
          <w:lang w:eastAsia="pt-BR"/>
        </w:rPr>
      </w:pPr>
      <w:r w:rsidRPr="00B22C43">
        <w:rPr>
          <w:noProof/>
          <w:sz w:val="16"/>
          <w:szCs w:val="16"/>
          <w:lang w:eastAsia="pt-BR"/>
        </w:rPr>
        <w:t>Fonte: Dados extraídos do Sistema Via Call Center/ANP em 27/07/2017. Elaboração própria.</w:t>
      </w:r>
    </w:p>
    <w:p w:rsidR="00DE4AF6" w:rsidRPr="00B22C43" w:rsidRDefault="004B3335" w:rsidP="005742B6">
      <w:pPr>
        <w:shd w:val="clear" w:color="auto" w:fill="FFFFFF"/>
        <w:spacing w:after="0" w:line="240" w:lineRule="auto"/>
        <w:contextualSpacing/>
        <w:rPr>
          <w:rFonts w:cs="Calibri"/>
        </w:rPr>
      </w:pPr>
      <w:r w:rsidRPr="00B22C43">
        <w:rPr>
          <w:rFonts w:cs="Calibri"/>
          <w:b/>
        </w:rPr>
        <w:t xml:space="preserve">GRÁFICO </w:t>
      </w:r>
      <w:r w:rsidR="00707887" w:rsidRPr="00B22C43">
        <w:rPr>
          <w:rFonts w:cs="Calibri"/>
          <w:b/>
        </w:rPr>
        <w:t>1</w:t>
      </w:r>
      <w:r w:rsidR="004546E6">
        <w:rPr>
          <w:rFonts w:cs="Calibri"/>
          <w:b/>
        </w:rPr>
        <w:t>0</w:t>
      </w:r>
      <w:r w:rsidRPr="00B22C43">
        <w:rPr>
          <w:rFonts w:cs="Calibri"/>
        </w:rPr>
        <w:t xml:space="preserve"> – Distribuição percentual das denúncias de GLP</w:t>
      </w:r>
      <w:r w:rsidR="00DD4731" w:rsidRPr="00B22C43">
        <w:rPr>
          <w:rFonts w:cs="Calibri"/>
        </w:rPr>
        <w:t>,</w:t>
      </w:r>
      <w:r w:rsidRPr="00B22C43">
        <w:rPr>
          <w:rFonts w:cs="Calibri"/>
        </w:rPr>
        <w:t xml:space="preserve"> </w:t>
      </w:r>
      <w:r w:rsidR="003630FE" w:rsidRPr="00B22C43">
        <w:rPr>
          <w:rFonts w:cs="Calibri"/>
        </w:rPr>
        <w:t>no 1º semestre de 201</w:t>
      </w:r>
      <w:r w:rsidR="00DD4731" w:rsidRPr="00B22C43">
        <w:rPr>
          <w:rFonts w:cs="Calibri"/>
        </w:rPr>
        <w:t>7</w:t>
      </w:r>
      <w:r w:rsidRPr="00B22C43">
        <w:rPr>
          <w:rFonts w:cs="Calibri"/>
        </w:rPr>
        <w:t xml:space="preserve">, por </w:t>
      </w:r>
      <w:proofErr w:type="gramStart"/>
      <w:r w:rsidRPr="00B22C43">
        <w:rPr>
          <w:rFonts w:cs="Calibri"/>
        </w:rPr>
        <w:t>tipo</w:t>
      </w:r>
      <w:proofErr w:type="gramEnd"/>
    </w:p>
    <w:p w:rsidR="00EB3D45" w:rsidRPr="00B22C43" w:rsidRDefault="00DD4731" w:rsidP="00753901">
      <w:pPr>
        <w:shd w:val="clear" w:color="auto" w:fill="FFFFFF"/>
        <w:spacing w:after="0" w:line="240" w:lineRule="auto"/>
        <w:contextualSpacing/>
        <w:jc w:val="center"/>
        <w:rPr>
          <w:noProof/>
          <w:sz w:val="16"/>
          <w:szCs w:val="16"/>
          <w:lang w:eastAsia="pt-BR"/>
        </w:rPr>
      </w:pPr>
      <w:r w:rsidRPr="00B22C43">
        <w:rPr>
          <w:noProof/>
          <w:sz w:val="16"/>
          <w:szCs w:val="16"/>
          <w:lang w:eastAsia="pt-BR"/>
        </w:rPr>
        <w:drawing>
          <wp:inline distT="0" distB="0" distL="0" distR="0">
            <wp:extent cx="5243063" cy="2389517"/>
            <wp:effectExtent l="19050" t="0" r="0" b="0"/>
            <wp:docPr id="5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D4731" w:rsidRPr="00B22C43" w:rsidRDefault="00DD4731" w:rsidP="00753901">
      <w:pPr>
        <w:shd w:val="clear" w:color="auto" w:fill="FFFFFF"/>
        <w:spacing w:after="0" w:line="240" w:lineRule="auto"/>
        <w:contextualSpacing/>
        <w:jc w:val="center"/>
        <w:rPr>
          <w:noProof/>
          <w:sz w:val="16"/>
          <w:szCs w:val="16"/>
          <w:lang w:eastAsia="pt-BR"/>
        </w:rPr>
      </w:pPr>
    </w:p>
    <w:p w:rsidR="00936834" w:rsidRPr="00B22C43" w:rsidRDefault="00936834" w:rsidP="00753901">
      <w:pPr>
        <w:shd w:val="clear" w:color="auto" w:fill="FFFFFF"/>
        <w:spacing w:after="0" w:line="240" w:lineRule="auto"/>
        <w:contextualSpacing/>
        <w:jc w:val="center"/>
        <w:rPr>
          <w:noProof/>
          <w:sz w:val="16"/>
          <w:szCs w:val="16"/>
          <w:lang w:eastAsia="pt-BR"/>
        </w:rPr>
      </w:pPr>
      <w:r w:rsidRPr="00B22C43">
        <w:rPr>
          <w:noProof/>
          <w:sz w:val="16"/>
          <w:szCs w:val="16"/>
          <w:lang w:eastAsia="pt-BR"/>
        </w:rPr>
        <w:t xml:space="preserve">Fonte: </w:t>
      </w:r>
      <w:r w:rsidR="00A43B12" w:rsidRPr="00B22C43">
        <w:rPr>
          <w:noProof/>
          <w:sz w:val="16"/>
          <w:szCs w:val="16"/>
          <w:lang w:eastAsia="pt-BR"/>
        </w:rPr>
        <w:t xml:space="preserve">Dados extraídos do Sistema Via Call Center/ANP </w:t>
      </w:r>
      <w:r w:rsidR="00901549" w:rsidRPr="00B22C43">
        <w:rPr>
          <w:noProof/>
          <w:sz w:val="16"/>
          <w:szCs w:val="16"/>
          <w:lang w:eastAsia="pt-BR"/>
        </w:rPr>
        <w:t xml:space="preserve">em </w:t>
      </w:r>
      <w:r w:rsidR="00DD4731" w:rsidRPr="00B22C43">
        <w:rPr>
          <w:noProof/>
          <w:sz w:val="16"/>
          <w:szCs w:val="16"/>
          <w:lang w:eastAsia="pt-BR"/>
        </w:rPr>
        <w:t>27</w:t>
      </w:r>
      <w:r w:rsidR="00901549" w:rsidRPr="00B22C43">
        <w:rPr>
          <w:noProof/>
          <w:sz w:val="16"/>
          <w:szCs w:val="16"/>
          <w:lang w:eastAsia="pt-BR"/>
        </w:rPr>
        <w:t>/0</w:t>
      </w:r>
      <w:r w:rsidR="00DD4731" w:rsidRPr="00B22C43">
        <w:rPr>
          <w:noProof/>
          <w:sz w:val="16"/>
          <w:szCs w:val="16"/>
          <w:lang w:eastAsia="pt-BR"/>
        </w:rPr>
        <w:t>7</w:t>
      </w:r>
      <w:r w:rsidR="00901549" w:rsidRPr="00B22C43">
        <w:rPr>
          <w:noProof/>
          <w:sz w:val="16"/>
          <w:szCs w:val="16"/>
          <w:lang w:eastAsia="pt-BR"/>
        </w:rPr>
        <w:t>/201</w:t>
      </w:r>
      <w:r w:rsidR="00DD4731" w:rsidRPr="00B22C43">
        <w:rPr>
          <w:noProof/>
          <w:sz w:val="16"/>
          <w:szCs w:val="16"/>
          <w:lang w:eastAsia="pt-BR"/>
        </w:rPr>
        <w:t>7</w:t>
      </w:r>
      <w:r w:rsidRPr="00B22C43">
        <w:rPr>
          <w:noProof/>
          <w:sz w:val="16"/>
          <w:szCs w:val="16"/>
          <w:lang w:eastAsia="pt-BR"/>
        </w:rPr>
        <w:t>. Elaboração própria.</w:t>
      </w:r>
    </w:p>
    <w:p w:rsidR="00E472FB" w:rsidRPr="00B22C43" w:rsidRDefault="00E472FB" w:rsidP="00753901">
      <w:pPr>
        <w:shd w:val="clear" w:color="auto" w:fill="FFFFFF"/>
        <w:spacing w:after="0" w:line="240" w:lineRule="auto"/>
        <w:contextualSpacing/>
        <w:jc w:val="both"/>
        <w:rPr>
          <w:rFonts w:cs="Calibri"/>
        </w:rPr>
      </w:pPr>
    </w:p>
    <w:p w:rsidR="005D37F3" w:rsidRPr="00B22C43" w:rsidRDefault="00F20BA9" w:rsidP="00753901">
      <w:pPr>
        <w:shd w:val="clear" w:color="auto" w:fill="FFFFFF"/>
        <w:spacing w:after="0" w:line="240" w:lineRule="auto"/>
        <w:contextualSpacing/>
        <w:jc w:val="both"/>
        <w:rPr>
          <w:rFonts w:cs="Calibri"/>
        </w:rPr>
      </w:pPr>
      <w:r w:rsidRPr="009C5871">
        <w:rPr>
          <w:rFonts w:cs="Calibri"/>
        </w:rPr>
        <w:t>Paralelamente,</w:t>
      </w:r>
      <w:r w:rsidR="001E4932" w:rsidRPr="009C5871">
        <w:rPr>
          <w:rFonts w:cs="Calibri"/>
        </w:rPr>
        <w:t xml:space="preserve"> a</w:t>
      </w:r>
      <w:r w:rsidR="005D37F3" w:rsidRPr="009C5871">
        <w:rPr>
          <w:rFonts w:cs="Calibri"/>
        </w:rPr>
        <w:t xml:space="preserve"> SFI respondeu </w:t>
      </w:r>
      <w:r w:rsidR="009C5871" w:rsidRPr="009C5871">
        <w:rPr>
          <w:rFonts w:cs="Calibri"/>
        </w:rPr>
        <w:t>367</w:t>
      </w:r>
      <w:r w:rsidR="005D37F3" w:rsidRPr="009C5871">
        <w:rPr>
          <w:rFonts w:cs="Calibri"/>
        </w:rPr>
        <w:t xml:space="preserve"> solicitações de informação</w:t>
      </w:r>
      <w:r w:rsidRPr="009C5871">
        <w:rPr>
          <w:rFonts w:cs="Calibri"/>
        </w:rPr>
        <w:t>. E</w:t>
      </w:r>
      <w:r w:rsidR="00D7568E" w:rsidRPr="009C5871">
        <w:rPr>
          <w:rFonts w:cs="Calibri"/>
        </w:rPr>
        <w:t xml:space="preserve">ntre as principais, </w:t>
      </w:r>
      <w:r w:rsidR="00ED0644" w:rsidRPr="009C5871">
        <w:rPr>
          <w:rFonts w:cs="Calibri"/>
        </w:rPr>
        <w:t>destacaram-se</w:t>
      </w:r>
      <w:r w:rsidR="005D37F3" w:rsidRPr="009C5871">
        <w:rPr>
          <w:rFonts w:cs="Calibri"/>
        </w:rPr>
        <w:t xml:space="preserve"> </w:t>
      </w:r>
      <w:r w:rsidR="00D7568E" w:rsidRPr="009C5871">
        <w:rPr>
          <w:rFonts w:cs="Calibri"/>
        </w:rPr>
        <w:t>temas relacionados a</w:t>
      </w:r>
      <w:r w:rsidR="005D37F3" w:rsidRPr="009C5871">
        <w:rPr>
          <w:rFonts w:cs="Calibri"/>
        </w:rPr>
        <w:t xml:space="preserve"> processos administrativos (</w:t>
      </w:r>
      <w:r w:rsidR="009C5871" w:rsidRPr="009C5871">
        <w:rPr>
          <w:rFonts w:cs="Calibri"/>
        </w:rPr>
        <w:t>37,9</w:t>
      </w:r>
      <w:r w:rsidR="005D37F3" w:rsidRPr="009C5871">
        <w:rPr>
          <w:rFonts w:cs="Calibri"/>
        </w:rPr>
        <w:t>%), preenchimento de livros contábeis</w:t>
      </w:r>
      <w:r w:rsidR="00BF3D34" w:rsidRPr="009C5871">
        <w:rPr>
          <w:rFonts w:cs="Calibri"/>
        </w:rPr>
        <w:t xml:space="preserve"> (</w:t>
      </w:r>
      <w:r w:rsidR="009C5871" w:rsidRPr="009C5871">
        <w:rPr>
          <w:rFonts w:cs="Calibri"/>
        </w:rPr>
        <w:t>14,2</w:t>
      </w:r>
      <w:r w:rsidR="00BF3D34" w:rsidRPr="009C5871">
        <w:rPr>
          <w:rFonts w:cs="Calibri"/>
        </w:rPr>
        <w:t>%)</w:t>
      </w:r>
      <w:r w:rsidRPr="009C5871">
        <w:rPr>
          <w:rFonts w:cs="Calibri"/>
        </w:rPr>
        <w:t>, a exemplo do</w:t>
      </w:r>
      <w:r w:rsidR="005D37F3" w:rsidRPr="009C5871">
        <w:rPr>
          <w:rFonts w:cs="Calibri"/>
        </w:rPr>
        <w:t xml:space="preserve"> LMC</w:t>
      </w:r>
      <w:r w:rsidRPr="009C5871">
        <w:rPr>
          <w:rFonts w:cs="Calibri"/>
        </w:rPr>
        <w:t>,</w:t>
      </w:r>
      <w:r w:rsidR="005D37F3" w:rsidRPr="009C5871">
        <w:rPr>
          <w:rFonts w:cs="Calibri"/>
        </w:rPr>
        <w:t xml:space="preserve"> e </w:t>
      </w:r>
      <w:r w:rsidR="009C5871" w:rsidRPr="009C5871">
        <w:rPr>
          <w:rFonts w:cs="Calibri"/>
        </w:rPr>
        <w:t>questionamentos sobre a legislação</w:t>
      </w:r>
      <w:r w:rsidR="004751A0" w:rsidRPr="009C5871">
        <w:rPr>
          <w:rFonts w:cs="Calibri"/>
        </w:rPr>
        <w:t xml:space="preserve"> da ANP </w:t>
      </w:r>
      <w:r w:rsidR="005D37F3" w:rsidRPr="009C5871">
        <w:rPr>
          <w:rFonts w:cs="Calibri"/>
        </w:rPr>
        <w:t>(</w:t>
      </w:r>
      <w:r w:rsidR="009C5871" w:rsidRPr="009C5871">
        <w:rPr>
          <w:rFonts w:cs="Calibri"/>
        </w:rPr>
        <w:t>10,4</w:t>
      </w:r>
      <w:r w:rsidR="005D37F3" w:rsidRPr="009C5871">
        <w:rPr>
          <w:rFonts w:cs="Calibri"/>
        </w:rPr>
        <w:t>%).</w:t>
      </w:r>
    </w:p>
    <w:p w:rsidR="00B0761A" w:rsidRPr="00B0761A" w:rsidRDefault="00B0761A" w:rsidP="007A0949">
      <w:pPr>
        <w:pStyle w:val="Ttulo1"/>
        <w:spacing w:before="360"/>
        <w:rPr>
          <w:rFonts w:ascii="Calibri" w:hAnsi="Calibri"/>
          <w:color w:val="E36C0A"/>
          <w:sz w:val="22"/>
          <w:szCs w:val="22"/>
          <w:lang w:eastAsia="pt-BR"/>
        </w:rPr>
      </w:pPr>
      <w:bookmarkStart w:id="99" w:name="_Toc442180851"/>
      <w:bookmarkEnd w:id="97"/>
    </w:p>
    <w:p w:rsidR="00511231" w:rsidRPr="00B22C43" w:rsidRDefault="002744EF" w:rsidP="007A0949">
      <w:pPr>
        <w:pStyle w:val="Ttulo1"/>
        <w:spacing w:before="360"/>
        <w:rPr>
          <w:color w:val="E36C0A"/>
          <w:sz w:val="24"/>
          <w:szCs w:val="24"/>
          <w:lang w:eastAsia="pt-BR"/>
        </w:rPr>
      </w:pPr>
      <w:bookmarkStart w:id="100" w:name="_Toc490842901"/>
      <w:r>
        <w:rPr>
          <w:color w:val="E36C0A"/>
          <w:sz w:val="24"/>
          <w:szCs w:val="24"/>
          <w:lang w:eastAsia="pt-BR"/>
        </w:rPr>
        <w:t>7</w:t>
      </w:r>
      <w:r w:rsidR="00511231" w:rsidRPr="00B22C43">
        <w:rPr>
          <w:color w:val="E36C0A"/>
          <w:sz w:val="24"/>
          <w:szCs w:val="24"/>
          <w:lang w:eastAsia="pt-BR"/>
        </w:rPr>
        <w:t xml:space="preserve"> – CONVÊNIOS </w:t>
      </w:r>
      <w:r w:rsidR="003B2BDD" w:rsidRPr="00B22C43">
        <w:rPr>
          <w:color w:val="E36C0A"/>
          <w:sz w:val="24"/>
          <w:szCs w:val="24"/>
          <w:lang w:eastAsia="pt-BR"/>
        </w:rPr>
        <w:t xml:space="preserve">E ACORDOS </w:t>
      </w:r>
      <w:r w:rsidR="00511231" w:rsidRPr="00B22C43">
        <w:rPr>
          <w:color w:val="E36C0A"/>
          <w:sz w:val="24"/>
          <w:szCs w:val="24"/>
          <w:lang w:eastAsia="pt-BR"/>
        </w:rPr>
        <w:t>COM ÓRGÃOS PÚBLICOS</w:t>
      </w:r>
      <w:bookmarkEnd w:id="99"/>
      <w:bookmarkEnd w:id="100"/>
    </w:p>
    <w:p w:rsidR="00511231" w:rsidRPr="00B22C43" w:rsidRDefault="00511231" w:rsidP="00753901">
      <w:pPr>
        <w:spacing w:after="0" w:line="240" w:lineRule="auto"/>
        <w:contextualSpacing/>
        <w:jc w:val="both"/>
      </w:pPr>
    </w:p>
    <w:p w:rsidR="00491031" w:rsidRPr="00B22C43" w:rsidRDefault="00511231" w:rsidP="00491031">
      <w:pPr>
        <w:spacing w:after="0" w:line="240" w:lineRule="auto"/>
        <w:contextualSpacing/>
        <w:jc w:val="both"/>
      </w:pPr>
      <w:r w:rsidRPr="00B22C43">
        <w:t xml:space="preserve">A ANP </w:t>
      </w:r>
      <w:r w:rsidR="00804C43" w:rsidRPr="00B22C43">
        <w:t>mantém parcerias</w:t>
      </w:r>
      <w:r w:rsidR="00577714" w:rsidRPr="00B22C43">
        <w:t xml:space="preserve"> com órgãos públicos</w:t>
      </w:r>
      <w:r w:rsidRPr="00B22C43">
        <w:t xml:space="preserve"> </w:t>
      </w:r>
      <w:r w:rsidR="00011C0B" w:rsidRPr="00B22C43">
        <w:t xml:space="preserve">com objetivo de </w:t>
      </w:r>
      <w:r w:rsidR="006C5DEB" w:rsidRPr="00B22C43">
        <w:t xml:space="preserve">ampliar </w:t>
      </w:r>
      <w:r w:rsidR="00804C43" w:rsidRPr="00B22C43">
        <w:t>o combate a</w:t>
      </w:r>
      <w:r w:rsidRPr="00B22C43">
        <w:t xml:space="preserve"> irregularidades do mercado</w:t>
      </w:r>
      <w:r w:rsidR="000114F9" w:rsidRPr="00B22C43">
        <w:t>.</w:t>
      </w:r>
      <w:r w:rsidR="00491031" w:rsidRPr="00B22C43">
        <w:t xml:space="preserve"> </w:t>
      </w:r>
    </w:p>
    <w:p w:rsidR="00491031" w:rsidRPr="00B22C43" w:rsidRDefault="00491031" w:rsidP="00753901">
      <w:pPr>
        <w:spacing w:after="0" w:line="240" w:lineRule="auto"/>
        <w:contextualSpacing/>
        <w:jc w:val="both"/>
      </w:pPr>
    </w:p>
    <w:p w:rsidR="00577714" w:rsidRPr="00B22C43" w:rsidRDefault="00491031" w:rsidP="00753901">
      <w:pPr>
        <w:spacing w:after="0" w:line="240" w:lineRule="auto"/>
        <w:contextualSpacing/>
        <w:jc w:val="both"/>
      </w:pPr>
      <w:r w:rsidRPr="00B22C43">
        <w:t>As</w:t>
      </w:r>
      <w:r w:rsidR="00511231" w:rsidRPr="00B22C43">
        <w:t xml:space="preserve"> parcerias </w:t>
      </w:r>
      <w:r w:rsidRPr="00B22C43">
        <w:t>são amparadas por</w:t>
      </w:r>
      <w:r w:rsidR="005E5A0B" w:rsidRPr="00B22C43">
        <w:t xml:space="preserve"> convênio</w:t>
      </w:r>
      <w:r w:rsidR="00577714" w:rsidRPr="00B22C43">
        <w:t>s (</w:t>
      </w:r>
      <w:r w:rsidR="005E5A0B" w:rsidRPr="00B22C43">
        <w:t>que envolvem transferências de recursos financeiros</w:t>
      </w:r>
      <w:r w:rsidR="00577714" w:rsidRPr="00B22C43">
        <w:t>)</w:t>
      </w:r>
      <w:r w:rsidR="005E5A0B" w:rsidRPr="00B22C43">
        <w:t xml:space="preserve"> e </w:t>
      </w:r>
      <w:r w:rsidRPr="00B22C43">
        <w:t>por</w:t>
      </w:r>
      <w:r w:rsidR="005E5A0B" w:rsidRPr="00B22C43">
        <w:t xml:space="preserve"> acordos de cooperação técnica e operacional. </w:t>
      </w:r>
    </w:p>
    <w:p w:rsidR="00577714" w:rsidRPr="00B22C43" w:rsidRDefault="00577714" w:rsidP="00753901">
      <w:pPr>
        <w:spacing w:after="0" w:line="240" w:lineRule="auto"/>
        <w:contextualSpacing/>
        <w:jc w:val="both"/>
      </w:pPr>
    </w:p>
    <w:p w:rsidR="00577714" w:rsidRPr="00B22C43" w:rsidRDefault="00F559F2" w:rsidP="00753901">
      <w:pPr>
        <w:spacing w:after="0" w:line="240" w:lineRule="auto"/>
        <w:contextualSpacing/>
        <w:jc w:val="both"/>
      </w:pPr>
      <w:r w:rsidRPr="00B22C43">
        <w:t>No 1º semestre</w:t>
      </w:r>
      <w:r w:rsidR="005B446D" w:rsidRPr="00B22C43">
        <w:t>,</w:t>
      </w:r>
      <w:r w:rsidRPr="00B22C43">
        <w:t xml:space="preserve"> </w:t>
      </w:r>
      <w:r w:rsidR="003B2BDD" w:rsidRPr="00B22C43">
        <w:t>o</w:t>
      </w:r>
      <w:r w:rsidR="00577714" w:rsidRPr="00B22C43">
        <w:t xml:space="preserve"> número de ações realizadas </w:t>
      </w:r>
      <w:r w:rsidR="003B2BDD" w:rsidRPr="00B22C43">
        <w:t>a partir de parcerias</w:t>
      </w:r>
      <w:r w:rsidR="00577714" w:rsidRPr="00B22C43">
        <w:t xml:space="preserve"> corresponde</w:t>
      </w:r>
      <w:r w:rsidR="00491031" w:rsidRPr="00B22C43">
        <w:t>u</w:t>
      </w:r>
      <w:r w:rsidR="00577714" w:rsidRPr="00B22C43">
        <w:t xml:space="preserve"> a</w:t>
      </w:r>
      <w:r w:rsidR="00511231" w:rsidRPr="00B22C43">
        <w:t xml:space="preserve"> </w:t>
      </w:r>
      <w:r w:rsidR="00F2408E" w:rsidRPr="00B22C43">
        <w:t>9,2</w:t>
      </w:r>
      <w:r w:rsidR="00511231" w:rsidRPr="00B22C43">
        <w:t>%</w:t>
      </w:r>
      <w:r w:rsidR="00577714" w:rsidRPr="00B22C43">
        <w:t xml:space="preserve"> do</w:t>
      </w:r>
      <w:r w:rsidR="0087672B" w:rsidRPr="00B22C43">
        <w:t xml:space="preserve"> total de ações de fiscalização</w:t>
      </w:r>
      <w:r w:rsidR="00511231" w:rsidRPr="00B22C43">
        <w:t xml:space="preserve">, </w:t>
      </w:r>
      <w:r w:rsidR="00577714" w:rsidRPr="00B22C43">
        <w:t xml:space="preserve">cabendo destaque às </w:t>
      </w:r>
      <w:r w:rsidR="00491031" w:rsidRPr="00B22C43">
        <w:t xml:space="preserve">resultantes </w:t>
      </w:r>
      <w:r w:rsidR="00577714" w:rsidRPr="00B22C43">
        <w:t>d</w:t>
      </w:r>
      <w:r w:rsidR="00F2408E" w:rsidRPr="00B22C43">
        <w:t>o</w:t>
      </w:r>
      <w:r w:rsidR="00577714" w:rsidRPr="00B22C43">
        <w:t xml:space="preserve"> convênio com </w:t>
      </w:r>
      <w:r w:rsidR="00F2408E" w:rsidRPr="00B22C43">
        <w:t xml:space="preserve">o </w:t>
      </w:r>
      <w:r w:rsidR="00577714" w:rsidRPr="00B22C43">
        <w:t>Corpo de Bombeiro</w:t>
      </w:r>
      <w:r w:rsidR="00F2408E" w:rsidRPr="00B22C43">
        <w:t xml:space="preserve"> Militar de Goiás</w:t>
      </w:r>
      <w:r w:rsidR="00577714" w:rsidRPr="00B22C43">
        <w:t>, que alcanç</w:t>
      </w:r>
      <w:r w:rsidR="00F2408E" w:rsidRPr="00B22C43">
        <w:t>ou</w:t>
      </w:r>
      <w:r w:rsidR="00577714" w:rsidRPr="00B22C43">
        <w:t xml:space="preserve"> </w:t>
      </w:r>
      <w:r w:rsidR="00F2408E" w:rsidRPr="00B22C43">
        <w:t>7,6</w:t>
      </w:r>
      <w:r w:rsidR="00577714" w:rsidRPr="00B22C43">
        <w:t xml:space="preserve"> % do total.</w:t>
      </w:r>
      <w:bookmarkStart w:id="101" w:name="_MON_1483784806"/>
      <w:bookmarkStart w:id="102" w:name="_MON_1394545110"/>
      <w:bookmarkStart w:id="103" w:name="_MON_1394545120"/>
      <w:bookmarkStart w:id="104" w:name="_MON_1394545231"/>
      <w:bookmarkStart w:id="105" w:name="_MON_1394545262"/>
      <w:bookmarkStart w:id="106" w:name="_MON_1394545268"/>
      <w:bookmarkStart w:id="107" w:name="_MON_1394545280"/>
      <w:bookmarkStart w:id="108" w:name="_MON_1394545786"/>
      <w:bookmarkStart w:id="109" w:name="_MON_1394545790"/>
      <w:bookmarkStart w:id="110" w:name="_MON_1394559196"/>
      <w:bookmarkStart w:id="111" w:name="_MON_1383740754"/>
      <w:bookmarkStart w:id="112" w:name="_MON_1383739735"/>
      <w:bookmarkStart w:id="113" w:name="_MON_1383740156"/>
      <w:bookmarkStart w:id="114" w:name="_MON_1393245571"/>
      <w:bookmarkStart w:id="115" w:name="_MON_1393245607"/>
      <w:bookmarkStart w:id="116" w:name="_MON_1394266992"/>
      <w:bookmarkStart w:id="117" w:name="_MON_1397564756"/>
      <w:bookmarkStart w:id="118" w:name="_MON_1394539287"/>
      <w:bookmarkStart w:id="119" w:name="_MON_1394539334"/>
      <w:bookmarkStart w:id="120" w:name="_MON_1394539360"/>
      <w:bookmarkStart w:id="121" w:name="_MON_1394539383"/>
      <w:bookmarkStart w:id="122" w:name="_MON_1394539472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:rsidR="00B5374D" w:rsidRDefault="00B5374D" w:rsidP="00753901">
      <w:pPr>
        <w:spacing w:after="0" w:line="240" w:lineRule="auto"/>
        <w:contextualSpacing/>
        <w:jc w:val="both"/>
      </w:pPr>
    </w:p>
    <w:p w:rsidR="002A00DB" w:rsidRDefault="002A00DB" w:rsidP="00753901">
      <w:pPr>
        <w:spacing w:after="0" w:line="240" w:lineRule="auto"/>
        <w:contextualSpacing/>
        <w:jc w:val="both"/>
      </w:pPr>
    </w:p>
    <w:p w:rsidR="00EA70C2" w:rsidRPr="00B22C43" w:rsidRDefault="00EA70C2" w:rsidP="00EA70C2">
      <w:pPr>
        <w:spacing w:after="0" w:line="240" w:lineRule="auto"/>
        <w:contextualSpacing/>
        <w:jc w:val="both"/>
      </w:pPr>
      <w:r w:rsidRPr="00B22C43">
        <w:rPr>
          <w:b/>
        </w:rPr>
        <w:lastRenderedPageBreak/>
        <w:t>TABELA 8</w:t>
      </w:r>
      <w:r w:rsidRPr="00B22C43">
        <w:t xml:space="preserve"> – Distribuição das ações de fiscalização</w:t>
      </w:r>
    </w:p>
    <w:p w:rsidR="00B5374D" w:rsidRPr="0066503B" w:rsidRDefault="00B5374D" w:rsidP="00EA70C2">
      <w:pPr>
        <w:spacing w:after="0" w:line="240" w:lineRule="auto"/>
        <w:contextualSpacing/>
        <w:jc w:val="both"/>
        <w:rPr>
          <w:sz w:val="16"/>
          <w:szCs w:val="16"/>
        </w:rPr>
      </w:pPr>
    </w:p>
    <w:tbl>
      <w:tblPr>
        <w:tblStyle w:val="SombreamentoClaro-nfase6"/>
        <w:tblW w:w="8222" w:type="dxa"/>
        <w:jc w:val="center"/>
        <w:tblLayout w:type="fixed"/>
        <w:tblLook w:val="04A0"/>
      </w:tblPr>
      <w:tblGrid>
        <w:gridCol w:w="3828"/>
        <w:gridCol w:w="2409"/>
        <w:gridCol w:w="1985"/>
      </w:tblGrid>
      <w:tr w:rsidR="00EE2F4D" w:rsidRPr="00B22C43" w:rsidTr="00F21810">
        <w:trPr>
          <w:cnfStyle w:val="100000000000"/>
          <w:trHeight w:val="615"/>
          <w:jc w:val="center"/>
        </w:trPr>
        <w:tc>
          <w:tcPr>
            <w:cnfStyle w:val="001000000000"/>
            <w:tcW w:w="3828" w:type="dxa"/>
            <w:noWrap/>
            <w:vAlign w:val="center"/>
            <w:hideMark/>
          </w:tcPr>
          <w:p w:rsidR="00EE2F4D" w:rsidRPr="00B22C43" w:rsidRDefault="00EE2F4D" w:rsidP="00F21810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Agente fiscalizador</w:t>
            </w:r>
          </w:p>
        </w:tc>
        <w:tc>
          <w:tcPr>
            <w:tcW w:w="2409" w:type="dxa"/>
            <w:vAlign w:val="center"/>
            <w:hideMark/>
          </w:tcPr>
          <w:p w:rsidR="00EE2F4D" w:rsidRPr="00B22C43" w:rsidRDefault="00EE2F4D" w:rsidP="00F21810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Ações de fiscalização</w:t>
            </w:r>
          </w:p>
        </w:tc>
        <w:tc>
          <w:tcPr>
            <w:tcW w:w="1985" w:type="dxa"/>
            <w:vAlign w:val="center"/>
            <w:hideMark/>
          </w:tcPr>
          <w:p w:rsidR="00EE2F4D" w:rsidRPr="00B22C43" w:rsidRDefault="00EE2F4D" w:rsidP="00F21810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%</w:t>
            </w:r>
          </w:p>
        </w:tc>
      </w:tr>
      <w:tr w:rsidR="00EE2F4D" w:rsidRPr="00B22C43" w:rsidTr="00F21810">
        <w:trPr>
          <w:cnfStyle w:val="000000100000"/>
          <w:trHeight w:val="315"/>
          <w:jc w:val="center"/>
        </w:trPr>
        <w:tc>
          <w:tcPr>
            <w:cnfStyle w:val="001000000000"/>
            <w:tcW w:w="3828" w:type="dxa"/>
            <w:noWrap/>
            <w:hideMark/>
          </w:tcPr>
          <w:p w:rsidR="00EE2F4D" w:rsidRPr="00B22C43" w:rsidRDefault="00EE2F4D" w:rsidP="00EE2F4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 xml:space="preserve">Convênios </w:t>
            </w:r>
          </w:p>
        </w:tc>
        <w:tc>
          <w:tcPr>
            <w:tcW w:w="2409" w:type="dxa"/>
            <w:noWrap/>
            <w:hideMark/>
          </w:tcPr>
          <w:p w:rsidR="00EE2F4D" w:rsidRPr="00B22C43" w:rsidRDefault="00EE2F4D" w:rsidP="00EE2F4D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741</w:t>
            </w:r>
          </w:p>
        </w:tc>
        <w:tc>
          <w:tcPr>
            <w:tcW w:w="1985" w:type="dxa"/>
            <w:noWrap/>
            <w:hideMark/>
          </w:tcPr>
          <w:p w:rsidR="00EE2F4D" w:rsidRPr="00B22C43" w:rsidRDefault="00EE2F4D" w:rsidP="00EE2F4D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7,6</w:t>
            </w:r>
          </w:p>
        </w:tc>
      </w:tr>
      <w:tr w:rsidR="00EE2F4D" w:rsidRPr="00B22C43" w:rsidTr="00F21810">
        <w:trPr>
          <w:trHeight w:val="300"/>
          <w:jc w:val="center"/>
        </w:trPr>
        <w:tc>
          <w:tcPr>
            <w:cnfStyle w:val="001000000000"/>
            <w:tcW w:w="3828" w:type="dxa"/>
            <w:noWrap/>
            <w:hideMark/>
          </w:tcPr>
          <w:p w:rsidR="00EE2F4D" w:rsidRPr="00B22C43" w:rsidRDefault="00EE2F4D" w:rsidP="00EE2F4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Acordos de Cooperação</w:t>
            </w:r>
          </w:p>
        </w:tc>
        <w:tc>
          <w:tcPr>
            <w:tcW w:w="2409" w:type="dxa"/>
            <w:noWrap/>
            <w:hideMark/>
          </w:tcPr>
          <w:p w:rsidR="00EE2F4D" w:rsidRPr="00B22C43" w:rsidRDefault="00EE2F4D" w:rsidP="00EE2F4D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159</w:t>
            </w:r>
          </w:p>
        </w:tc>
        <w:tc>
          <w:tcPr>
            <w:tcW w:w="1985" w:type="dxa"/>
            <w:noWrap/>
            <w:hideMark/>
          </w:tcPr>
          <w:p w:rsidR="00EE2F4D" w:rsidRPr="00B22C43" w:rsidRDefault="00EE2F4D" w:rsidP="00EE2F4D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1,6</w:t>
            </w:r>
          </w:p>
        </w:tc>
      </w:tr>
      <w:tr w:rsidR="00EE2F4D" w:rsidRPr="00B22C43" w:rsidTr="00F21810">
        <w:trPr>
          <w:cnfStyle w:val="000000100000"/>
          <w:trHeight w:val="315"/>
          <w:jc w:val="center"/>
        </w:trPr>
        <w:tc>
          <w:tcPr>
            <w:cnfStyle w:val="001000000000"/>
            <w:tcW w:w="3828" w:type="dxa"/>
            <w:noWrap/>
            <w:hideMark/>
          </w:tcPr>
          <w:p w:rsidR="00EE2F4D" w:rsidRPr="00B22C43" w:rsidRDefault="00EE2F4D" w:rsidP="00EE2F4D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Fiscalização ANP</w:t>
            </w:r>
          </w:p>
        </w:tc>
        <w:tc>
          <w:tcPr>
            <w:tcW w:w="2409" w:type="dxa"/>
            <w:noWrap/>
            <w:hideMark/>
          </w:tcPr>
          <w:p w:rsidR="00EE2F4D" w:rsidRPr="00B22C43" w:rsidRDefault="00EE2F4D" w:rsidP="00EE2F4D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8.893</w:t>
            </w:r>
          </w:p>
        </w:tc>
        <w:tc>
          <w:tcPr>
            <w:tcW w:w="1985" w:type="dxa"/>
            <w:noWrap/>
            <w:hideMark/>
          </w:tcPr>
          <w:p w:rsidR="00EE2F4D" w:rsidRPr="00B22C43" w:rsidRDefault="00EE2F4D" w:rsidP="00EE2F4D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90,8</w:t>
            </w:r>
          </w:p>
        </w:tc>
      </w:tr>
      <w:tr w:rsidR="00EE2F4D" w:rsidRPr="00B22C43" w:rsidTr="00F21810">
        <w:trPr>
          <w:trHeight w:val="300"/>
          <w:jc w:val="center"/>
        </w:trPr>
        <w:tc>
          <w:tcPr>
            <w:cnfStyle w:val="001000000000"/>
            <w:tcW w:w="3828" w:type="dxa"/>
            <w:noWrap/>
            <w:hideMark/>
          </w:tcPr>
          <w:p w:rsidR="00EE2F4D" w:rsidRPr="00B22C43" w:rsidRDefault="00EE2F4D" w:rsidP="00EE2F4D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lang w:eastAsia="pt-BR"/>
              </w:rPr>
            </w:pPr>
            <w:r w:rsidRPr="00B22C43">
              <w:rPr>
                <w:rFonts w:eastAsia="Times New Roman"/>
                <w:color w:val="000000"/>
                <w:lang w:eastAsia="pt-BR"/>
              </w:rPr>
              <w:t>Total de Ações de Fiscalização</w:t>
            </w:r>
          </w:p>
        </w:tc>
        <w:tc>
          <w:tcPr>
            <w:tcW w:w="2409" w:type="dxa"/>
            <w:noWrap/>
            <w:hideMark/>
          </w:tcPr>
          <w:p w:rsidR="00EE2F4D" w:rsidRPr="00B22C43" w:rsidRDefault="00EE2F4D" w:rsidP="00EE2F4D">
            <w:pPr>
              <w:spacing w:after="0" w:line="240" w:lineRule="auto"/>
              <w:jc w:val="center"/>
              <w:cnfStyle w:val="0000000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9.793</w:t>
            </w:r>
          </w:p>
        </w:tc>
        <w:tc>
          <w:tcPr>
            <w:tcW w:w="1985" w:type="dxa"/>
            <w:noWrap/>
            <w:hideMark/>
          </w:tcPr>
          <w:p w:rsidR="00EE2F4D" w:rsidRPr="00B22C43" w:rsidRDefault="00EE2F4D" w:rsidP="00EE2F4D">
            <w:pPr>
              <w:spacing w:after="0" w:line="240" w:lineRule="auto"/>
              <w:jc w:val="center"/>
              <w:cnfStyle w:val="000000000000"/>
              <w:rPr>
                <w:rFonts w:eastAsia="Times New Roman"/>
                <w:b/>
                <w:bCs/>
                <w:color w:val="00000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lang w:eastAsia="pt-BR"/>
              </w:rPr>
              <w:t>100,0</w:t>
            </w:r>
          </w:p>
        </w:tc>
      </w:tr>
    </w:tbl>
    <w:p w:rsidR="00EA70C2" w:rsidRPr="0066503B" w:rsidRDefault="00EA70C2" w:rsidP="00753901">
      <w:pPr>
        <w:spacing w:after="0" w:line="240" w:lineRule="auto"/>
        <w:contextualSpacing/>
        <w:jc w:val="both"/>
      </w:pPr>
    </w:p>
    <w:p w:rsidR="00EA70C2" w:rsidRPr="00B22C43" w:rsidRDefault="00EA70C2" w:rsidP="00B5374D">
      <w:pPr>
        <w:spacing w:after="0" w:line="240" w:lineRule="auto"/>
        <w:contextualSpacing/>
        <w:jc w:val="center"/>
        <w:rPr>
          <w:noProof/>
          <w:sz w:val="16"/>
          <w:szCs w:val="16"/>
          <w:lang w:eastAsia="pt-BR"/>
        </w:rPr>
      </w:pPr>
      <w:r w:rsidRPr="00B22C43">
        <w:rPr>
          <w:noProof/>
          <w:sz w:val="16"/>
          <w:szCs w:val="16"/>
          <w:lang w:eastAsia="pt-BR"/>
        </w:rPr>
        <w:t xml:space="preserve">Fonte: SIGI-WEB em </w:t>
      </w:r>
      <w:r w:rsidR="00F2408E" w:rsidRPr="00B22C43">
        <w:rPr>
          <w:noProof/>
          <w:sz w:val="16"/>
          <w:szCs w:val="16"/>
          <w:lang w:eastAsia="pt-BR"/>
        </w:rPr>
        <w:t>19</w:t>
      </w:r>
      <w:r w:rsidRPr="00B22C43">
        <w:rPr>
          <w:noProof/>
          <w:sz w:val="16"/>
          <w:szCs w:val="16"/>
          <w:lang w:eastAsia="pt-BR"/>
        </w:rPr>
        <w:t>/0</w:t>
      </w:r>
      <w:r w:rsidR="00F2408E" w:rsidRPr="00B22C43">
        <w:rPr>
          <w:noProof/>
          <w:sz w:val="16"/>
          <w:szCs w:val="16"/>
          <w:lang w:eastAsia="pt-BR"/>
        </w:rPr>
        <w:t>7</w:t>
      </w:r>
      <w:r w:rsidRPr="00B22C43">
        <w:rPr>
          <w:noProof/>
          <w:sz w:val="16"/>
          <w:szCs w:val="16"/>
          <w:lang w:eastAsia="pt-BR"/>
        </w:rPr>
        <w:t>/201</w:t>
      </w:r>
      <w:r w:rsidR="00F2408E" w:rsidRPr="00B22C43">
        <w:rPr>
          <w:noProof/>
          <w:sz w:val="16"/>
          <w:szCs w:val="16"/>
          <w:lang w:eastAsia="pt-BR"/>
        </w:rPr>
        <w:t>7</w:t>
      </w:r>
      <w:r w:rsidRPr="00B22C43">
        <w:rPr>
          <w:noProof/>
          <w:sz w:val="16"/>
          <w:szCs w:val="16"/>
          <w:lang w:eastAsia="pt-BR"/>
        </w:rPr>
        <w:t>. Elaboração própria.</w:t>
      </w:r>
    </w:p>
    <w:p w:rsidR="00EC6148" w:rsidRDefault="00EC6148" w:rsidP="00DE4AF6">
      <w:pPr>
        <w:tabs>
          <w:tab w:val="left" w:pos="1926"/>
        </w:tabs>
        <w:spacing w:after="0" w:line="240" w:lineRule="auto"/>
        <w:contextualSpacing/>
        <w:jc w:val="both"/>
        <w:rPr>
          <w:b/>
        </w:rPr>
      </w:pPr>
      <w:bookmarkStart w:id="123" w:name="_Toc410404582"/>
    </w:p>
    <w:p w:rsidR="0048090C" w:rsidRPr="00B22C43" w:rsidRDefault="0048090C" w:rsidP="00DE4AF6">
      <w:pPr>
        <w:tabs>
          <w:tab w:val="left" w:pos="1926"/>
        </w:tabs>
        <w:spacing w:after="0" w:line="240" w:lineRule="auto"/>
        <w:contextualSpacing/>
        <w:jc w:val="both"/>
      </w:pPr>
      <w:r w:rsidRPr="00B22C43">
        <w:rPr>
          <w:b/>
        </w:rPr>
        <w:t>QUADRO 1</w:t>
      </w:r>
      <w:r w:rsidRPr="00B22C43">
        <w:t xml:space="preserve"> – </w:t>
      </w:r>
      <w:r w:rsidR="007262FB" w:rsidRPr="00B22C43">
        <w:t>Instituições com</w:t>
      </w:r>
      <w:r w:rsidRPr="00B22C43">
        <w:t xml:space="preserve"> </w:t>
      </w:r>
      <w:r w:rsidR="00577714" w:rsidRPr="00B22C43">
        <w:t xml:space="preserve">parceria </w:t>
      </w:r>
      <w:r w:rsidRPr="00B22C43">
        <w:t>com a ANP</w:t>
      </w:r>
      <w:r w:rsidR="00AE241F" w:rsidRPr="00B22C43">
        <w:t>,</w:t>
      </w:r>
      <w:r w:rsidRPr="00B22C43">
        <w:t xml:space="preserve"> </w:t>
      </w:r>
      <w:r w:rsidR="003343FA" w:rsidRPr="00B22C43">
        <w:t xml:space="preserve">no 1º semestre de </w:t>
      </w:r>
      <w:proofErr w:type="gramStart"/>
      <w:r w:rsidR="003343FA" w:rsidRPr="00B22C43">
        <w:t>201</w:t>
      </w:r>
      <w:r w:rsidR="0073269B">
        <w:t>7</w:t>
      </w:r>
      <w:proofErr w:type="gramEnd"/>
    </w:p>
    <w:p w:rsidR="007262FB" w:rsidRPr="00B22C43" w:rsidRDefault="007262FB" w:rsidP="00753901">
      <w:pPr>
        <w:shd w:val="clear" w:color="auto" w:fill="FFFFFF"/>
        <w:spacing w:after="0" w:line="240" w:lineRule="auto"/>
        <w:contextualSpacing/>
        <w:jc w:val="center"/>
        <w:rPr>
          <w:rFonts w:eastAsia="Times New Roman" w:cs="Calibri"/>
          <w:b/>
          <w:color w:val="D2A000"/>
          <w:spacing w:val="20"/>
          <w:sz w:val="16"/>
          <w:szCs w:val="16"/>
          <w:lang w:eastAsia="pt-BR"/>
        </w:rPr>
      </w:pPr>
    </w:p>
    <w:tbl>
      <w:tblPr>
        <w:tblW w:w="10120" w:type="dxa"/>
        <w:jc w:val="center"/>
        <w:tblCellMar>
          <w:left w:w="70" w:type="dxa"/>
          <w:right w:w="70" w:type="dxa"/>
        </w:tblCellMar>
        <w:tblLook w:val="04A0"/>
      </w:tblPr>
      <w:tblGrid>
        <w:gridCol w:w="3118"/>
        <w:gridCol w:w="181"/>
        <w:gridCol w:w="1660"/>
        <w:gridCol w:w="1660"/>
        <w:gridCol w:w="181"/>
        <w:gridCol w:w="1660"/>
        <w:gridCol w:w="1660"/>
      </w:tblGrid>
      <w:tr w:rsidR="007262FB" w:rsidRPr="00B22C43" w:rsidTr="00FB34D5">
        <w:trPr>
          <w:trHeight w:val="54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E4BC"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B22C43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Secretaria de Estado da Fazenda/Receita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  <w:r w:rsidRPr="00B22C43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B22C43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Prefeitura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  <w:r w:rsidRPr="00B22C43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B22C43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Proteção e Defesa do Consumidor - PROCON</w:t>
            </w:r>
          </w:p>
        </w:tc>
      </w:tr>
      <w:tr w:rsidR="007262FB" w:rsidRPr="00B22C43" w:rsidTr="007262FB">
        <w:trPr>
          <w:trHeight w:val="54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2FB" w:rsidRPr="00E5054A" w:rsidRDefault="007262FB" w:rsidP="007262FB">
            <w:pPr>
              <w:spacing w:after="0" w:line="240" w:lineRule="auto"/>
              <w:rPr>
                <w:rFonts w:eastAsia="Times New Roman"/>
                <w:bCs/>
                <w:sz w:val="20"/>
                <w:szCs w:val="18"/>
                <w:lang w:eastAsia="pt-BR"/>
              </w:rPr>
            </w:pPr>
            <w:r w:rsidRPr="00E5054A">
              <w:rPr>
                <w:rFonts w:eastAsia="Times New Roman"/>
                <w:bCs/>
                <w:sz w:val="20"/>
                <w:szCs w:val="18"/>
                <w:lang w:eastAsia="pt-BR"/>
              </w:rPr>
              <w:t>Secretaria de Estado da Fazenda de Alagoas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  <w:r w:rsidRPr="00B22C43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2FB" w:rsidRPr="0073269B" w:rsidRDefault="007262FB" w:rsidP="007262FB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pt-BR"/>
              </w:rPr>
            </w:pPr>
            <w:r w:rsidRPr="00E5054A">
              <w:rPr>
                <w:rFonts w:eastAsia="Times New Roman"/>
                <w:bCs/>
                <w:sz w:val="20"/>
                <w:szCs w:val="18"/>
                <w:lang w:eastAsia="pt-BR"/>
              </w:rPr>
              <w:t>Prefeitura de Paulínia/SP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  <w:r w:rsidRPr="00B22C43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2FB" w:rsidRPr="00E5054A" w:rsidRDefault="007262FB" w:rsidP="007262FB">
            <w:pPr>
              <w:spacing w:after="0" w:line="240" w:lineRule="auto"/>
              <w:rPr>
                <w:rFonts w:eastAsia="Times New Roman"/>
                <w:bCs/>
                <w:sz w:val="20"/>
                <w:szCs w:val="18"/>
                <w:lang w:eastAsia="pt-BR"/>
              </w:rPr>
            </w:pPr>
            <w:r w:rsidRPr="00E5054A">
              <w:rPr>
                <w:rFonts w:eastAsia="Times New Roman"/>
                <w:bCs/>
                <w:sz w:val="20"/>
                <w:szCs w:val="18"/>
                <w:lang w:eastAsia="pt-BR"/>
              </w:rPr>
              <w:t>Instituto Estadual de Proteção e Defesa do consumidor do Espírito Santo</w:t>
            </w:r>
          </w:p>
        </w:tc>
      </w:tr>
      <w:tr w:rsidR="007262FB" w:rsidRPr="00B22C43" w:rsidTr="007262FB">
        <w:trPr>
          <w:trHeight w:val="54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2FB" w:rsidRPr="00E5054A" w:rsidRDefault="007262FB" w:rsidP="007262FB">
            <w:pPr>
              <w:spacing w:after="0" w:line="240" w:lineRule="auto"/>
              <w:rPr>
                <w:rFonts w:eastAsia="Times New Roman"/>
                <w:bCs/>
                <w:sz w:val="20"/>
                <w:szCs w:val="18"/>
                <w:lang w:eastAsia="pt-BR"/>
              </w:rPr>
            </w:pPr>
            <w:r w:rsidRPr="00E5054A">
              <w:rPr>
                <w:rFonts w:eastAsia="Times New Roman"/>
                <w:bCs/>
                <w:sz w:val="20"/>
                <w:szCs w:val="18"/>
                <w:lang w:eastAsia="pt-BR"/>
              </w:rPr>
              <w:t>Secretária de Estado da Fazenda de Goiás‎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  <w:r w:rsidRPr="00B22C43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  <w:r w:rsidRPr="00B22C43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2FB" w:rsidRPr="00E5054A" w:rsidRDefault="007262FB" w:rsidP="007262FB">
            <w:pPr>
              <w:spacing w:after="0" w:line="240" w:lineRule="auto"/>
              <w:rPr>
                <w:rFonts w:eastAsia="Times New Roman"/>
                <w:bCs/>
                <w:sz w:val="20"/>
                <w:szCs w:val="18"/>
                <w:lang w:eastAsia="pt-BR"/>
              </w:rPr>
            </w:pPr>
            <w:r w:rsidRPr="00E5054A">
              <w:rPr>
                <w:rFonts w:eastAsia="Times New Roman"/>
                <w:bCs/>
                <w:sz w:val="20"/>
                <w:szCs w:val="18"/>
                <w:lang w:eastAsia="pt-BR"/>
              </w:rPr>
              <w:t>Superintendência de Proteção aos Diretos dos Consumidores do Estado de Goiás</w:t>
            </w:r>
          </w:p>
        </w:tc>
      </w:tr>
      <w:tr w:rsidR="007262FB" w:rsidRPr="00B22C43" w:rsidTr="00FB34D5">
        <w:trPr>
          <w:trHeight w:val="54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2FB" w:rsidRPr="00E5054A" w:rsidRDefault="007262FB" w:rsidP="007262FB">
            <w:pPr>
              <w:spacing w:after="0" w:line="240" w:lineRule="auto"/>
              <w:rPr>
                <w:rFonts w:eastAsia="Times New Roman"/>
                <w:bCs/>
                <w:sz w:val="20"/>
                <w:szCs w:val="18"/>
                <w:lang w:eastAsia="pt-BR"/>
              </w:rPr>
            </w:pPr>
            <w:r w:rsidRPr="00E5054A">
              <w:rPr>
                <w:rFonts w:eastAsia="Times New Roman"/>
                <w:bCs/>
                <w:sz w:val="20"/>
                <w:szCs w:val="18"/>
                <w:lang w:eastAsia="pt-BR"/>
              </w:rPr>
              <w:t>Secretaria de Estado da Fazenda do Maranhão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  <w:r w:rsidRPr="00B22C43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C0D9" w:themeFill="accent4" w:themeFillTint="66"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  <w:r w:rsidRPr="00FB34D5"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  <w:t>Ministério Público Estadual - MPE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  <w:r w:rsidRPr="00B22C43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2FB" w:rsidRPr="00E5054A" w:rsidRDefault="007262FB" w:rsidP="007262FB">
            <w:pPr>
              <w:spacing w:after="0" w:line="240" w:lineRule="auto"/>
              <w:rPr>
                <w:rFonts w:eastAsia="Times New Roman"/>
                <w:bCs/>
                <w:sz w:val="20"/>
                <w:szCs w:val="18"/>
                <w:lang w:eastAsia="pt-BR"/>
              </w:rPr>
            </w:pPr>
            <w:r w:rsidRPr="00E5054A">
              <w:rPr>
                <w:rFonts w:eastAsia="Times New Roman"/>
                <w:bCs/>
                <w:sz w:val="20"/>
                <w:szCs w:val="18"/>
                <w:lang w:eastAsia="pt-BR"/>
              </w:rPr>
              <w:t>Gerência de Proteção e Defesa do Consumidor do Estado do Maranhão</w:t>
            </w:r>
          </w:p>
        </w:tc>
      </w:tr>
      <w:tr w:rsidR="007262FB" w:rsidRPr="00B22C43" w:rsidTr="007262FB">
        <w:trPr>
          <w:trHeight w:val="54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2FB" w:rsidRPr="00E5054A" w:rsidRDefault="007262FB" w:rsidP="007262FB">
            <w:pPr>
              <w:spacing w:after="0" w:line="240" w:lineRule="auto"/>
              <w:rPr>
                <w:rFonts w:eastAsia="Times New Roman"/>
                <w:bCs/>
                <w:sz w:val="20"/>
                <w:szCs w:val="18"/>
                <w:lang w:eastAsia="pt-BR"/>
              </w:rPr>
            </w:pPr>
            <w:r w:rsidRPr="00E5054A">
              <w:rPr>
                <w:rFonts w:eastAsia="Times New Roman"/>
                <w:bCs/>
                <w:sz w:val="20"/>
                <w:szCs w:val="18"/>
                <w:lang w:eastAsia="pt-BR"/>
              </w:rPr>
              <w:t>Secretaria de Estado da Fazenda do Pará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  <w:r w:rsidRPr="00B22C43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2FB" w:rsidRPr="0073269B" w:rsidRDefault="007262FB" w:rsidP="007262FB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pt-BR"/>
              </w:rPr>
            </w:pPr>
            <w:r w:rsidRPr="00E5054A">
              <w:rPr>
                <w:rFonts w:eastAsia="Times New Roman"/>
                <w:bCs/>
                <w:sz w:val="20"/>
                <w:szCs w:val="18"/>
                <w:lang w:eastAsia="pt-BR"/>
              </w:rPr>
              <w:t>Todos os Estados e o Distrito Federal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  <w:r w:rsidRPr="00B22C43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2FB" w:rsidRPr="00E5054A" w:rsidRDefault="007262FB" w:rsidP="007262FB">
            <w:pPr>
              <w:spacing w:after="0" w:line="240" w:lineRule="auto"/>
              <w:rPr>
                <w:rFonts w:eastAsia="Times New Roman"/>
                <w:bCs/>
                <w:sz w:val="20"/>
                <w:szCs w:val="18"/>
                <w:lang w:eastAsia="pt-BR"/>
              </w:rPr>
            </w:pPr>
            <w:r w:rsidRPr="00E5054A">
              <w:rPr>
                <w:rFonts w:eastAsia="Times New Roman"/>
                <w:bCs/>
                <w:sz w:val="20"/>
                <w:szCs w:val="18"/>
                <w:lang w:eastAsia="pt-BR"/>
              </w:rPr>
              <w:t>Programa Estadual de Proteção e Defesa do Consumidor do Estado de Minas Gerais</w:t>
            </w:r>
          </w:p>
        </w:tc>
      </w:tr>
      <w:tr w:rsidR="007262FB" w:rsidRPr="00B22C43" w:rsidTr="007262FB">
        <w:trPr>
          <w:trHeight w:val="54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2FB" w:rsidRPr="00E5054A" w:rsidRDefault="007262FB" w:rsidP="007262FB">
            <w:pPr>
              <w:spacing w:after="0" w:line="240" w:lineRule="auto"/>
              <w:rPr>
                <w:rFonts w:eastAsia="Times New Roman"/>
                <w:bCs/>
                <w:sz w:val="20"/>
                <w:szCs w:val="18"/>
                <w:lang w:eastAsia="pt-BR"/>
              </w:rPr>
            </w:pPr>
            <w:r w:rsidRPr="00E5054A">
              <w:rPr>
                <w:rFonts w:eastAsia="Times New Roman"/>
                <w:bCs/>
                <w:sz w:val="20"/>
                <w:szCs w:val="18"/>
                <w:lang w:eastAsia="pt-BR"/>
              </w:rPr>
              <w:t>Secretaria de Estado da Receita da Paraíba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  <w:r w:rsidRPr="00B22C43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  <w:r w:rsidRPr="00B22C43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2FB" w:rsidRPr="00E5054A" w:rsidRDefault="007262FB" w:rsidP="007262FB">
            <w:pPr>
              <w:spacing w:after="0" w:line="240" w:lineRule="auto"/>
              <w:rPr>
                <w:rFonts w:eastAsia="Times New Roman"/>
                <w:bCs/>
                <w:sz w:val="20"/>
                <w:szCs w:val="18"/>
                <w:lang w:eastAsia="pt-BR"/>
              </w:rPr>
            </w:pPr>
            <w:r w:rsidRPr="00E5054A">
              <w:rPr>
                <w:rFonts w:eastAsia="Times New Roman"/>
                <w:bCs/>
                <w:sz w:val="20"/>
                <w:szCs w:val="18"/>
                <w:lang w:eastAsia="pt-BR"/>
              </w:rPr>
              <w:t>Coordenadoria Municipal de Proteção e Defesa do Consumidor de Rio Verde/GO</w:t>
            </w:r>
          </w:p>
        </w:tc>
      </w:tr>
      <w:tr w:rsidR="007262FB" w:rsidRPr="00B22C43" w:rsidTr="007262FB">
        <w:trPr>
          <w:trHeight w:val="54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2FB" w:rsidRPr="00E5054A" w:rsidRDefault="007262FB" w:rsidP="007262FB">
            <w:pPr>
              <w:spacing w:after="0" w:line="240" w:lineRule="auto"/>
              <w:rPr>
                <w:rFonts w:eastAsia="Times New Roman"/>
                <w:bCs/>
                <w:sz w:val="20"/>
                <w:szCs w:val="18"/>
                <w:lang w:eastAsia="pt-BR"/>
              </w:rPr>
            </w:pPr>
            <w:r w:rsidRPr="00E5054A">
              <w:rPr>
                <w:rFonts w:eastAsia="Times New Roman"/>
                <w:bCs/>
                <w:sz w:val="20"/>
                <w:szCs w:val="18"/>
                <w:lang w:eastAsia="pt-BR"/>
              </w:rPr>
              <w:t>Secretaria de Estado da Fazenda de Pernambuco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  <w:r w:rsidRPr="00B22C43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  <w:r w:rsidRPr="00B22C43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7262FB" w:rsidRPr="00B22C43" w:rsidTr="007262FB">
        <w:trPr>
          <w:trHeight w:val="540"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62FB" w:rsidRPr="00E5054A" w:rsidRDefault="007262FB" w:rsidP="007262FB">
            <w:pPr>
              <w:spacing w:after="0" w:line="240" w:lineRule="auto"/>
              <w:rPr>
                <w:rFonts w:eastAsia="Times New Roman"/>
                <w:bCs/>
                <w:sz w:val="20"/>
                <w:szCs w:val="18"/>
                <w:lang w:eastAsia="pt-BR"/>
              </w:rPr>
            </w:pPr>
            <w:r w:rsidRPr="00E5054A">
              <w:rPr>
                <w:rFonts w:eastAsia="Times New Roman"/>
                <w:bCs/>
                <w:sz w:val="20"/>
                <w:szCs w:val="18"/>
                <w:lang w:eastAsia="pt-BR"/>
              </w:rPr>
              <w:t>Secretaria de Estado de Fazenda do Rio de Janeiro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  <w:r w:rsidRPr="00B22C43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pt-BR"/>
              </w:rPr>
            </w:pPr>
            <w:r w:rsidRPr="00B22C43">
              <w:rPr>
                <w:rFonts w:eastAsia="Times New Roman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62FB" w:rsidRPr="00B22C43" w:rsidRDefault="007262FB" w:rsidP="00726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6C13BC" w:rsidRPr="00C54A4F" w:rsidRDefault="006C13BC" w:rsidP="00753901">
      <w:pPr>
        <w:shd w:val="clear" w:color="auto" w:fill="FFFFFF"/>
        <w:spacing w:after="0" w:line="240" w:lineRule="auto"/>
        <w:contextualSpacing/>
        <w:jc w:val="center"/>
        <w:rPr>
          <w:rFonts w:eastAsia="Times New Roman" w:cs="Calibri"/>
          <w:b/>
          <w:color w:val="D2A000"/>
          <w:spacing w:val="20"/>
          <w:lang w:eastAsia="pt-BR"/>
        </w:rPr>
      </w:pPr>
    </w:p>
    <w:p w:rsidR="00C35FF6" w:rsidRPr="00B22C43" w:rsidRDefault="001368F9" w:rsidP="00C35FF6">
      <w:pPr>
        <w:spacing w:after="0" w:line="240" w:lineRule="auto"/>
        <w:contextualSpacing/>
        <w:jc w:val="center"/>
        <w:rPr>
          <w:noProof/>
          <w:sz w:val="16"/>
          <w:szCs w:val="16"/>
          <w:lang w:eastAsia="pt-BR"/>
        </w:rPr>
      </w:pPr>
      <w:r w:rsidRPr="00B22C43">
        <w:rPr>
          <w:noProof/>
          <w:sz w:val="16"/>
          <w:szCs w:val="16"/>
          <w:lang w:eastAsia="pt-BR"/>
        </w:rPr>
        <w:t xml:space="preserve">Fonte: </w:t>
      </w:r>
      <w:r w:rsidR="00C35FF6" w:rsidRPr="00B22C43">
        <w:rPr>
          <w:noProof/>
          <w:sz w:val="16"/>
          <w:szCs w:val="16"/>
          <w:lang w:eastAsia="pt-BR"/>
        </w:rPr>
        <w:t>Dados extraídos de planilha de controle de Convênios</w:t>
      </w:r>
      <w:r w:rsidR="00FF2BF7" w:rsidRPr="00B22C43">
        <w:rPr>
          <w:noProof/>
          <w:sz w:val="16"/>
          <w:szCs w:val="16"/>
          <w:lang w:eastAsia="pt-BR"/>
        </w:rPr>
        <w:t xml:space="preserve"> em </w:t>
      </w:r>
      <w:r w:rsidR="00DD4731" w:rsidRPr="00B22C43">
        <w:rPr>
          <w:noProof/>
          <w:sz w:val="16"/>
          <w:szCs w:val="16"/>
          <w:lang w:eastAsia="pt-BR"/>
        </w:rPr>
        <w:t>26</w:t>
      </w:r>
      <w:r w:rsidR="00FF2BF7" w:rsidRPr="00B22C43">
        <w:rPr>
          <w:noProof/>
          <w:sz w:val="16"/>
          <w:szCs w:val="16"/>
          <w:lang w:eastAsia="pt-BR"/>
        </w:rPr>
        <w:t>/0</w:t>
      </w:r>
      <w:r w:rsidR="00DD4731" w:rsidRPr="00B22C43">
        <w:rPr>
          <w:noProof/>
          <w:sz w:val="16"/>
          <w:szCs w:val="16"/>
          <w:lang w:eastAsia="pt-BR"/>
        </w:rPr>
        <w:t>7</w:t>
      </w:r>
      <w:r w:rsidR="00FF2BF7" w:rsidRPr="00B22C43">
        <w:rPr>
          <w:noProof/>
          <w:sz w:val="16"/>
          <w:szCs w:val="16"/>
          <w:lang w:eastAsia="pt-BR"/>
        </w:rPr>
        <w:t>/1</w:t>
      </w:r>
      <w:r w:rsidR="00DD4731" w:rsidRPr="00B22C43">
        <w:rPr>
          <w:noProof/>
          <w:sz w:val="16"/>
          <w:szCs w:val="16"/>
          <w:lang w:eastAsia="pt-BR"/>
        </w:rPr>
        <w:t>7</w:t>
      </w:r>
      <w:r w:rsidR="00C35FF6" w:rsidRPr="00B22C43">
        <w:rPr>
          <w:noProof/>
          <w:sz w:val="16"/>
          <w:szCs w:val="16"/>
          <w:lang w:eastAsia="pt-BR"/>
        </w:rPr>
        <w:t xml:space="preserve">. Elaboração própria. </w:t>
      </w:r>
    </w:p>
    <w:p w:rsidR="00EC648F" w:rsidRPr="00B22C43" w:rsidRDefault="00EC648F" w:rsidP="001C45F2">
      <w:pPr>
        <w:spacing w:after="0"/>
        <w:contextualSpacing/>
        <w:jc w:val="center"/>
        <w:rPr>
          <w:noProof/>
          <w:szCs w:val="16"/>
          <w:lang w:eastAsia="pt-BR"/>
        </w:rPr>
      </w:pPr>
    </w:p>
    <w:p w:rsidR="00E705E7" w:rsidRPr="00B22C43" w:rsidRDefault="002744EF" w:rsidP="00577714">
      <w:pPr>
        <w:pStyle w:val="Ttulo1"/>
        <w:spacing w:before="360"/>
        <w:rPr>
          <w:color w:val="E36C0A"/>
          <w:sz w:val="24"/>
          <w:szCs w:val="24"/>
          <w:lang w:eastAsia="pt-BR"/>
        </w:rPr>
      </w:pPr>
      <w:bookmarkStart w:id="124" w:name="_Toc442180852"/>
      <w:bookmarkStart w:id="125" w:name="_Toc490842902"/>
      <w:r>
        <w:rPr>
          <w:color w:val="E36C0A"/>
          <w:sz w:val="24"/>
          <w:szCs w:val="24"/>
          <w:lang w:eastAsia="pt-BR"/>
        </w:rPr>
        <w:t>8</w:t>
      </w:r>
      <w:r w:rsidR="00E705E7" w:rsidRPr="00B22C43">
        <w:rPr>
          <w:color w:val="E36C0A"/>
          <w:sz w:val="24"/>
          <w:szCs w:val="24"/>
          <w:lang w:eastAsia="pt-BR"/>
        </w:rPr>
        <w:t xml:space="preserve"> – FORÇAS-TAREFA</w:t>
      </w:r>
      <w:bookmarkEnd w:id="124"/>
      <w:bookmarkEnd w:id="125"/>
    </w:p>
    <w:p w:rsidR="007C1EE0" w:rsidRPr="00B22C43" w:rsidRDefault="007C1EE0" w:rsidP="007C1EE0">
      <w:pPr>
        <w:spacing w:after="0" w:line="240" w:lineRule="auto"/>
        <w:contextualSpacing/>
        <w:jc w:val="both"/>
        <w:rPr>
          <w:sz w:val="18"/>
          <w:szCs w:val="18"/>
        </w:rPr>
      </w:pPr>
      <w:r w:rsidRPr="00B22C43">
        <w:t xml:space="preserve">  </w:t>
      </w:r>
    </w:p>
    <w:p w:rsidR="008F2503" w:rsidRPr="00B22C43" w:rsidRDefault="007C6608" w:rsidP="00753901">
      <w:pPr>
        <w:spacing w:after="0" w:line="240" w:lineRule="auto"/>
        <w:contextualSpacing/>
        <w:jc w:val="both"/>
        <w:rPr>
          <w:rFonts w:cs="Helv"/>
          <w:color w:val="000000"/>
          <w:lang w:eastAsia="pt-BR"/>
        </w:rPr>
      </w:pPr>
      <w:r w:rsidRPr="00B22C43">
        <w:rPr>
          <w:rFonts w:cs="Calibri"/>
        </w:rPr>
        <w:t>No 1º semestre de</w:t>
      </w:r>
      <w:r w:rsidR="008F2503" w:rsidRPr="00B22C43">
        <w:rPr>
          <w:rFonts w:cs="Calibri"/>
        </w:rPr>
        <w:t xml:space="preserve"> 201</w:t>
      </w:r>
      <w:r w:rsidR="0045623A" w:rsidRPr="00B22C43">
        <w:rPr>
          <w:rFonts w:cs="Calibri"/>
        </w:rPr>
        <w:t>7</w:t>
      </w:r>
      <w:r w:rsidR="008F2503" w:rsidRPr="00B22C43">
        <w:rPr>
          <w:rFonts w:cs="Calibri"/>
        </w:rPr>
        <w:t xml:space="preserve">, foram realizadas </w:t>
      </w:r>
      <w:r w:rsidR="00A37D2D" w:rsidRPr="00B22C43">
        <w:rPr>
          <w:rFonts w:cs="Calibri"/>
        </w:rPr>
        <w:t>33</w:t>
      </w:r>
      <w:r w:rsidR="00E705E7" w:rsidRPr="00B22C43">
        <w:rPr>
          <w:rFonts w:cs="Calibri"/>
        </w:rPr>
        <w:t xml:space="preserve"> forças-tarefa, abrangendo </w:t>
      </w:r>
      <w:r w:rsidR="00A37D2D" w:rsidRPr="00B22C43">
        <w:rPr>
          <w:rFonts w:cs="Calibri"/>
        </w:rPr>
        <w:t xml:space="preserve">mais de </w:t>
      </w:r>
      <w:r w:rsidR="00DF054F" w:rsidRPr="00B22C43">
        <w:rPr>
          <w:rFonts w:cs="Calibri"/>
        </w:rPr>
        <w:t>45</w:t>
      </w:r>
      <w:r w:rsidR="00E705E7" w:rsidRPr="00B22C43">
        <w:rPr>
          <w:rFonts w:cs="Calibri"/>
        </w:rPr>
        <w:t xml:space="preserve"> municípios em </w:t>
      </w:r>
      <w:r w:rsidR="001E19A4" w:rsidRPr="00B22C43">
        <w:rPr>
          <w:rFonts w:cs="Calibri"/>
        </w:rPr>
        <w:t>1</w:t>
      </w:r>
      <w:r w:rsidR="00A37D2D" w:rsidRPr="00B22C43">
        <w:rPr>
          <w:rFonts w:cs="Calibri"/>
        </w:rPr>
        <w:t>5</w:t>
      </w:r>
      <w:r w:rsidR="00DC3262" w:rsidRPr="00B22C43">
        <w:rPr>
          <w:rFonts w:cs="Calibri"/>
        </w:rPr>
        <w:t xml:space="preserve"> estados</w:t>
      </w:r>
      <w:r w:rsidR="00E705E7" w:rsidRPr="00B22C43">
        <w:rPr>
          <w:rFonts w:cs="Helv"/>
          <w:color w:val="000000"/>
          <w:lang w:eastAsia="pt-BR"/>
        </w:rPr>
        <w:t xml:space="preserve">. </w:t>
      </w:r>
      <w:r w:rsidR="008F2503" w:rsidRPr="00B22C43">
        <w:rPr>
          <w:rFonts w:cs="Helv"/>
          <w:color w:val="000000"/>
          <w:lang w:eastAsia="pt-BR"/>
        </w:rPr>
        <w:t xml:space="preserve"> </w:t>
      </w:r>
      <w:r w:rsidR="00E705E7" w:rsidRPr="00B22C43">
        <w:rPr>
          <w:rFonts w:cs="Helv"/>
          <w:color w:val="000000"/>
          <w:lang w:eastAsia="pt-BR"/>
        </w:rPr>
        <w:t xml:space="preserve">As ações </w:t>
      </w:r>
      <w:r w:rsidR="004B2AD2" w:rsidRPr="00B22C43">
        <w:rPr>
          <w:rFonts w:cs="Helv"/>
          <w:color w:val="000000"/>
          <w:lang w:eastAsia="pt-BR"/>
        </w:rPr>
        <w:t>ocorreram</w:t>
      </w:r>
      <w:r w:rsidR="00A37CA1" w:rsidRPr="00B22C43">
        <w:rPr>
          <w:rFonts w:cs="Helv"/>
          <w:color w:val="000000"/>
          <w:lang w:eastAsia="pt-BR"/>
        </w:rPr>
        <w:t xml:space="preserve"> em diversos segmentos</w:t>
      </w:r>
      <w:r w:rsidR="00CB2828" w:rsidRPr="00B22C43">
        <w:rPr>
          <w:rFonts w:cs="Helv"/>
          <w:color w:val="000000"/>
          <w:lang w:eastAsia="pt-BR"/>
        </w:rPr>
        <w:t>,</w:t>
      </w:r>
      <w:r w:rsidR="00DC3262" w:rsidRPr="00B22C43">
        <w:rPr>
          <w:rFonts w:cs="Helv"/>
          <w:color w:val="000000"/>
          <w:lang w:eastAsia="pt-BR"/>
        </w:rPr>
        <w:t xml:space="preserve"> </w:t>
      </w:r>
      <w:r w:rsidR="00E705E7" w:rsidRPr="00B22C43">
        <w:rPr>
          <w:rFonts w:cs="Helv"/>
          <w:color w:val="000000"/>
          <w:lang w:eastAsia="pt-BR"/>
        </w:rPr>
        <w:t>além das revendas vare</w:t>
      </w:r>
      <w:r w:rsidR="00EC2A00" w:rsidRPr="00B22C43">
        <w:rPr>
          <w:rFonts w:cs="Helv"/>
          <w:color w:val="000000"/>
          <w:lang w:eastAsia="pt-BR"/>
        </w:rPr>
        <w:t>jistas de combustíveis e de GLP</w:t>
      </w:r>
      <w:r w:rsidR="00E705E7" w:rsidRPr="00B22C43">
        <w:rPr>
          <w:rFonts w:cs="Helv"/>
          <w:color w:val="000000"/>
          <w:lang w:eastAsia="pt-BR"/>
        </w:rPr>
        <w:t>. Como resultado desse esforço</w:t>
      </w:r>
      <w:r w:rsidR="007C1EE0" w:rsidRPr="00B22C43">
        <w:rPr>
          <w:rFonts w:cs="Helv"/>
          <w:color w:val="000000"/>
          <w:lang w:eastAsia="pt-BR"/>
        </w:rPr>
        <w:t xml:space="preserve">, </w:t>
      </w:r>
      <w:r w:rsidR="00773A59" w:rsidRPr="00B22C43">
        <w:rPr>
          <w:rFonts w:cs="Helv"/>
          <w:color w:val="000000"/>
          <w:lang w:eastAsia="pt-BR"/>
        </w:rPr>
        <w:t xml:space="preserve">foi possível </w:t>
      </w:r>
      <w:r w:rsidR="00E705E7" w:rsidRPr="00B22C43">
        <w:rPr>
          <w:rFonts w:cs="Helv"/>
          <w:color w:val="000000"/>
          <w:lang w:eastAsia="pt-BR"/>
        </w:rPr>
        <w:t>fiscaliza</w:t>
      </w:r>
      <w:r w:rsidR="007C1EE0" w:rsidRPr="00B22C43">
        <w:rPr>
          <w:rFonts w:cs="Helv"/>
          <w:color w:val="000000"/>
          <w:lang w:eastAsia="pt-BR"/>
        </w:rPr>
        <w:t>r</w:t>
      </w:r>
      <w:r w:rsidR="00E705E7" w:rsidRPr="00B22C43">
        <w:rPr>
          <w:rFonts w:cs="Helv"/>
          <w:color w:val="000000"/>
          <w:lang w:eastAsia="pt-BR"/>
        </w:rPr>
        <w:t xml:space="preserve"> cerca de </w:t>
      </w:r>
      <w:r w:rsidR="000E6C65" w:rsidRPr="00B22C43">
        <w:rPr>
          <w:rFonts w:cs="Helv"/>
          <w:color w:val="000000"/>
          <w:lang w:eastAsia="pt-BR"/>
        </w:rPr>
        <w:t>700</w:t>
      </w:r>
      <w:r w:rsidR="00E705E7" w:rsidRPr="00B22C43">
        <w:rPr>
          <w:rFonts w:cs="Helv"/>
          <w:color w:val="000000"/>
          <w:lang w:eastAsia="pt-BR"/>
        </w:rPr>
        <w:t xml:space="preserve"> agentes</w:t>
      </w:r>
      <w:r w:rsidR="005E2452" w:rsidRPr="00B22C43">
        <w:rPr>
          <w:rFonts w:cs="Helv"/>
          <w:color w:val="000000"/>
          <w:lang w:eastAsia="pt-BR"/>
        </w:rPr>
        <w:t xml:space="preserve"> econômicos</w:t>
      </w:r>
      <w:r w:rsidR="00E705E7" w:rsidRPr="00B22C43">
        <w:rPr>
          <w:rFonts w:cs="Helv"/>
          <w:color w:val="000000"/>
          <w:lang w:eastAsia="pt-BR"/>
        </w:rPr>
        <w:t xml:space="preserve">, gerando </w:t>
      </w:r>
      <w:r w:rsidR="000E6C65" w:rsidRPr="00B22C43">
        <w:rPr>
          <w:rFonts w:cs="Helv"/>
          <w:color w:val="000000"/>
          <w:lang w:eastAsia="pt-BR"/>
        </w:rPr>
        <w:t>344</w:t>
      </w:r>
      <w:r w:rsidR="00E705E7" w:rsidRPr="00B22C43">
        <w:rPr>
          <w:rFonts w:cs="Helv"/>
          <w:color w:val="000000"/>
          <w:lang w:eastAsia="pt-BR"/>
        </w:rPr>
        <w:t xml:space="preserve"> atuações e </w:t>
      </w:r>
      <w:r w:rsidR="000E6C65" w:rsidRPr="00B22C43">
        <w:rPr>
          <w:rFonts w:cs="Helv"/>
          <w:color w:val="000000"/>
          <w:lang w:eastAsia="pt-BR"/>
        </w:rPr>
        <w:t>125</w:t>
      </w:r>
      <w:r w:rsidR="00E705E7" w:rsidRPr="00B22C43">
        <w:rPr>
          <w:rFonts w:cs="Helv"/>
          <w:color w:val="000000"/>
          <w:lang w:eastAsia="pt-BR"/>
        </w:rPr>
        <w:t xml:space="preserve"> interdições. </w:t>
      </w:r>
    </w:p>
    <w:p w:rsidR="008F2503" w:rsidRPr="00B22C43" w:rsidRDefault="008F2503" w:rsidP="00753901">
      <w:pPr>
        <w:spacing w:after="0" w:line="240" w:lineRule="auto"/>
        <w:contextualSpacing/>
        <w:jc w:val="both"/>
        <w:rPr>
          <w:rFonts w:cs="Helv"/>
          <w:color w:val="000000"/>
          <w:sz w:val="18"/>
          <w:szCs w:val="18"/>
          <w:lang w:eastAsia="pt-BR"/>
        </w:rPr>
      </w:pPr>
    </w:p>
    <w:p w:rsidR="00E705E7" w:rsidRPr="00B22C43" w:rsidRDefault="00E705E7" w:rsidP="0082770F">
      <w:pPr>
        <w:spacing w:after="0" w:line="240" w:lineRule="auto"/>
        <w:contextualSpacing/>
        <w:jc w:val="both"/>
        <w:rPr>
          <w:rFonts w:cs="Helv"/>
          <w:color w:val="000000"/>
          <w:lang w:eastAsia="pt-BR"/>
        </w:rPr>
      </w:pPr>
      <w:r w:rsidRPr="00B22C43">
        <w:rPr>
          <w:rFonts w:cs="Helv"/>
          <w:color w:val="000000"/>
          <w:lang w:eastAsia="pt-BR"/>
        </w:rPr>
        <w:t xml:space="preserve">Na área de competência da ANP, as principais irregularidades encontradas foram: </w:t>
      </w:r>
      <w:r w:rsidR="004C2C1F" w:rsidRPr="00B22C43">
        <w:rPr>
          <w:rFonts w:cs="Helv"/>
          <w:color w:val="000000"/>
          <w:lang w:eastAsia="pt-BR"/>
        </w:rPr>
        <w:t>painel de preços ausente ou em desacordo com a legislação, bandeira branca exibindo marca comercial de distribuidor</w:t>
      </w:r>
      <w:r w:rsidR="0082770F" w:rsidRPr="00B22C43">
        <w:rPr>
          <w:rFonts w:cs="Helv"/>
          <w:color w:val="000000"/>
          <w:lang w:eastAsia="pt-BR"/>
        </w:rPr>
        <w:t xml:space="preserve">; </w:t>
      </w:r>
      <w:r w:rsidR="004C2C1F" w:rsidRPr="00B22C43">
        <w:rPr>
          <w:rFonts w:cs="Helv"/>
          <w:color w:val="000000"/>
          <w:lang w:eastAsia="pt-BR"/>
        </w:rPr>
        <w:t>não possuir autorização para exercer atividade</w:t>
      </w:r>
      <w:r w:rsidR="00496172" w:rsidRPr="00B22C43">
        <w:rPr>
          <w:rFonts w:cs="Helv"/>
          <w:color w:val="000000"/>
          <w:lang w:eastAsia="pt-BR"/>
        </w:rPr>
        <w:t>;</w:t>
      </w:r>
      <w:r w:rsidR="004C2C1F" w:rsidRPr="00B22C43">
        <w:rPr>
          <w:rFonts w:cs="Helv"/>
          <w:color w:val="000000"/>
          <w:lang w:eastAsia="pt-BR"/>
        </w:rPr>
        <w:t xml:space="preserve"> bomba medidora com aferição irregular;</w:t>
      </w:r>
      <w:r w:rsidR="00892925" w:rsidRPr="00B22C43">
        <w:rPr>
          <w:rFonts w:cs="Helv"/>
          <w:color w:val="000000"/>
          <w:lang w:eastAsia="pt-BR"/>
        </w:rPr>
        <w:t xml:space="preserve"> </w:t>
      </w:r>
      <w:r w:rsidR="0082770F" w:rsidRPr="00B22C43">
        <w:rPr>
          <w:rFonts w:cs="Helv"/>
          <w:color w:val="000000"/>
          <w:lang w:eastAsia="pt-BR"/>
        </w:rPr>
        <w:t>não atender</w:t>
      </w:r>
      <w:r w:rsidR="005B446D" w:rsidRPr="00B22C43">
        <w:rPr>
          <w:rFonts w:cs="Helv"/>
          <w:color w:val="000000"/>
          <w:lang w:eastAsia="pt-BR"/>
        </w:rPr>
        <w:t xml:space="preserve"> a</w:t>
      </w:r>
      <w:r w:rsidR="0082770F" w:rsidRPr="00B22C43">
        <w:rPr>
          <w:rFonts w:cs="Helv"/>
          <w:color w:val="000000"/>
          <w:lang w:eastAsia="pt-BR"/>
        </w:rPr>
        <w:t xml:space="preserve"> normas de segurança</w:t>
      </w:r>
      <w:r w:rsidR="00496172" w:rsidRPr="00B22C43">
        <w:rPr>
          <w:rFonts w:cs="Helv"/>
          <w:color w:val="000000"/>
          <w:lang w:eastAsia="pt-BR"/>
        </w:rPr>
        <w:t>;</w:t>
      </w:r>
      <w:r w:rsidR="0082770F" w:rsidRPr="00B22C43">
        <w:rPr>
          <w:rFonts w:cs="Helv"/>
          <w:color w:val="000000"/>
          <w:lang w:eastAsia="pt-BR"/>
        </w:rPr>
        <w:t xml:space="preserve"> e não atualizar dados cadastrais na ANP.</w:t>
      </w:r>
      <w:r w:rsidRPr="00B22C43">
        <w:rPr>
          <w:rFonts w:cs="Helv"/>
          <w:color w:val="000000"/>
          <w:lang w:eastAsia="pt-BR"/>
        </w:rPr>
        <w:t xml:space="preserve"> </w:t>
      </w:r>
    </w:p>
    <w:p w:rsidR="00EE7F6E" w:rsidRPr="00B22C43" w:rsidRDefault="00EE7F6E" w:rsidP="00753901">
      <w:pPr>
        <w:spacing w:after="0" w:line="240" w:lineRule="auto"/>
        <w:contextualSpacing/>
        <w:jc w:val="both"/>
        <w:rPr>
          <w:rFonts w:cs="Helv"/>
          <w:color w:val="000000"/>
          <w:lang w:eastAsia="pt-BR"/>
        </w:rPr>
      </w:pPr>
    </w:p>
    <w:p w:rsidR="002A00DB" w:rsidRDefault="002A00DB" w:rsidP="0058370F">
      <w:pPr>
        <w:spacing w:after="0" w:line="240" w:lineRule="auto"/>
        <w:contextualSpacing/>
        <w:jc w:val="both"/>
        <w:rPr>
          <w:rFonts w:cs="Helv"/>
          <w:b/>
          <w:color w:val="000000"/>
          <w:lang w:eastAsia="pt-BR"/>
        </w:rPr>
      </w:pPr>
    </w:p>
    <w:p w:rsidR="002A00DB" w:rsidRDefault="002A00DB" w:rsidP="0058370F">
      <w:pPr>
        <w:spacing w:after="0" w:line="240" w:lineRule="auto"/>
        <w:contextualSpacing/>
        <w:jc w:val="both"/>
        <w:rPr>
          <w:rFonts w:cs="Helv"/>
          <w:b/>
          <w:color w:val="000000"/>
          <w:lang w:eastAsia="pt-BR"/>
        </w:rPr>
      </w:pPr>
    </w:p>
    <w:p w:rsidR="002A00DB" w:rsidRDefault="002A00DB" w:rsidP="0058370F">
      <w:pPr>
        <w:spacing w:after="0" w:line="240" w:lineRule="auto"/>
        <w:contextualSpacing/>
        <w:jc w:val="both"/>
        <w:rPr>
          <w:rFonts w:cs="Helv"/>
          <w:b/>
          <w:color w:val="000000"/>
          <w:lang w:eastAsia="pt-BR"/>
        </w:rPr>
      </w:pPr>
    </w:p>
    <w:p w:rsidR="002A00DB" w:rsidRDefault="002A00DB" w:rsidP="0058370F">
      <w:pPr>
        <w:spacing w:after="0" w:line="240" w:lineRule="auto"/>
        <w:contextualSpacing/>
        <w:jc w:val="both"/>
        <w:rPr>
          <w:rFonts w:cs="Helv"/>
          <w:b/>
          <w:color w:val="000000"/>
          <w:lang w:eastAsia="pt-BR"/>
        </w:rPr>
      </w:pPr>
    </w:p>
    <w:p w:rsidR="00411EFE" w:rsidRPr="00B22C43" w:rsidRDefault="002744EF" w:rsidP="0058370F">
      <w:pPr>
        <w:spacing w:after="0" w:line="240" w:lineRule="auto"/>
        <w:contextualSpacing/>
        <w:jc w:val="both"/>
        <w:rPr>
          <w:rFonts w:cs="Helv"/>
          <w:color w:val="000000"/>
          <w:lang w:eastAsia="pt-BR"/>
        </w:rPr>
      </w:pPr>
      <w:r>
        <w:rPr>
          <w:rFonts w:cs="Helv"/>
          <w:b/>
          <w:color w:val="000000"/>
          <w:lang w:eastAsia="pt-BR"/>
        </w:rPr>
        <w:lastRenderedPageBreak/>
        <w:t>QUADRO</w:t>
      </w:r>
      <w:r w:rsidR="007423DA" w:rsidRPr="00B22C43">
        <w:rPr>
          <w:rFonts w:cs="Helv"/>
          <w:b/>
          <w:color w:val="000000"/>
          <w:lang w:eastAsia="pt-BR"/>
        </w:rPr>
        <w:t xml:space="preserve"> 2</w:t>
      </w:r>
      <w:r w:rsidR="00411EFE" w:rsidRPr="00B22C43">
        <w:rPr>
          <w:rFonts w:cs="Helv"/>
          <w:color w:val="000000"/>
          <w:lang w:eastAsia="pt-BR"/>
        </w:rPr>
        <w:t xml:space="preserve"> – </w:t>
      </w:r>
      <w:r w:rsidR="00DF054F" w:rsidRPr="00B22C43">
        <w:rPr>
          <w:rFonts w:cs="Helv"/>
          <w:color w:val="000000"/>
          <w:lang w:eastAsia="pt-BR"/>
        </w:rPr>
        <w:t>Municípios e órgãos participantes das</w:t>
      </w:r>
      <w:r w:rsidR="00411EFE" w:rsidRPr="00B22C43">
        <w:rPr>
          <w:rFonts w:cs="Helv"/>
          <w:color w:val="000000"/>
          <w:lang w:eastAsia="pt-BR"/>
        </w:rPr>
        <w:t xml:space="preserve"> forças-tarefa</w:t>
      </w:r>
      <w:r w:rsidR="00B55673" w:rsidRPr="00B22C43">
        <w:t>, no 1º semestre de 201</w:t>
      </w:r>
      <w:r w:rsidR="0045623A" w:rsidRPr="00B22C43">
        <w:t>7</w:t>
      </w:r>
      <w:r w:rsidR="00411EFE" w:rsidRPr="00B22C43">
        <w:rPr>
          <w:rFonts w:cs="Helv"/>
          <w:color w:val="000000"/>
          <w:lang w:eastAsia="pt-BR"/>
        </w:rPr>
        <w:t xml:space="preserve">, por </w:t>
      </w:r>
      <w:proofErr w:type="gramStart"/>
      <w:r w:rsidR="00411EFE" w:rsidRPr="00B22C43">
        <w:rPr>
          <w:rFonts w:cs="Helv"/>
          <w:color w:val="000000"/>
          <w:lang w:eastAsia="pt-BR"/>
        </w:rPr>
        <w:t>estado</w:t>
      </w:r>
      <w:proofErr w:type="gramEnd"/>
    </w:p>
    <w:p w:rsidR="00B663D6" w:rsidRPr="00B22C43" w:rsidRDefault="00B663D6" w:rsidP="00FD07F5">
      <w:pPr>
        <w:spacing w:after="0" w:line="240" w:lineRule="auto"/>
        <w:ind w:left="-284"/>
        <w:contextualSpacing/>
        <w:jc w:val="both"/>
        <w:rPr>
          <w:rFonts w:cs="Helv"/>
          <w:color w:val="000000"/>
          <w:lang w:eastAsia="pt-BR"/>
        </w:rPr>
      </w:pPr>
    </w:p>
    <w:tbl>
      <w:tblPr>
        <w:tblStyle w:val="GradeClara-nfase6"/>
        <w:tblW w:w="0" w:type="auto"/>
        <w:tblLook w:val="04A0"/>
      </w:tblPr>
      <w:tblGrid>
        <w:gridCol w:w="512"/>
        <w:gridCol w:w="1772"/>
        <w:gridCol w:w="7684"/>
      </w:tblGrid>
      <w:tr w:rsidR="00DF054F" w:rsidRPr="00E5054A" w:rsidTr="00F21810">
        <w:trPr>
          <w:cnfStyle w:val="100000000000"/>
          <w:trHeight w:val="20"/>
        </w:trPr>
        <w:tc>
          <w:tcPr>
            <w:cnfStyle w:val="001000000000"/>
            <w:tcW w:w="440" w:type="dxa"/>
            <w:noWrap/>
            <w:hideMark/>
          </w:tcPr>
          <w:p w:rsidR="00DF054F" w:rsidRPr="00E5054A" w:rsidRDefault="00DF054F" w:rsidP="00E5054A">
            <w:pPr>
              <w:spacing w:before="120" w:after="120"/>
              <w:jc w:val="center"/>
              <w:rPr>
                <w:rFonts w:asciiTheme="minorHAnsi" w:hAnsiTheme="minorHAnsi"/>
                <w:b w:val="0"/>
                <w:bCs w:val="0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UF</w:t>
            </w:r>
          </w:p>
        </w:tc>
        <w:tc>
          <w:tcPr>
            <w:tcW w:w="1772" w:type="dxa"/>
            <w:noWrap/>
            <w:hideMark/>
          </w:tcPr>
          <w:p w:rsidR="00DF054F" w:rsidRPr="00E5054A" w:rsidRDefault="00DF054F" w:rsidP="00E5054A">
            <w:pPr>
              <w:spacing w:before="120" w:after="120"/>
              <w:jc w:val="center"/>
              <w:cnfStyle w:val="100000000000"/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color w:val="000000"/>
                <w:sz w:val="20"/>
                <w:szCs w:val="18"/>
              </w:rPr>
              <w:t>Municípios</w:t>
            </w:r>
          </w:p>
        </w:tc>
        <w:tc>
          <w:tcPr>
            <w:tcW w:w="0" w:type="auto"/>
            <w:noWrap/>
            <w:hideMark/>
          </w:tcPr>
          <w:p w:rsidR="00DF054F" w:rsidRPr="00E5054A" w:rsidRDefault="00DF054F" w:rsidP="00E5054A">
            <w:pPr>
              <w:spacing w:before="120" w:after="120"/>
              <w:jc w:val="center"/>
              <w:cnfStyle w:val="100000000000"/>
              <w:rPr>
                <w:rFonts w:asciiTheme="minorHAnsi" w:hAnsiTheme="minorHAnsi"/>
                <w:b w:val="0"/>
                <w:bCs w:val="0"/>
                <w:color w:val="000000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color w:val="000000"/>
                <w:sz w:val="20"/>
                <w:szCs w:val="18"/>
              </w:rPr>
              <w:t>Órgãos Participantes em conjunto com a ANP</w:t>
            </w:r>
          </w:p>
        </w:tc>
      </w:tr>
      <w:tr w:rsidR="00DF054F" w:rsidRPr="00E5054A" w:rsidTr="00F21810">
        <w:trPr>
          <w:cnfStyle w:val="000000100000"/>
          <w:trHeight w:val="394"/>
        </w:trPr>
        <w:tc>
          <w:tcPr>
            <w:cnfStyle w:val="001000000000"/>
            <w:tcW w:w="440" w:type="dxa"/>
            <w:hideMark/>
          </w:tcPr>
          <w:p w:rsidR="00DF054F" w:rsidRPr="00E5054A" w:rsidRDefault="00DF054F" w:rsidP="00DF054F">
            <w:pPr>
              <w:spacing w:after="0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AC</w:t>
            </w:r>
          </w:p>
        </w:tc>
        <w:tc>
          <w:tcPr>
            <w:tcW w:w="1772" w:type="dxa"/>
            <w:hideMark/>
          </w:tcPr>
          <w:p w:rsidR="00DF054F" w:rsidRPr="00E5054A" w:rsidRDefault="00DF054F" w:rsidP="00DF054F">
            <w:pPr>
              <w:spacing w:after="0"/>
              <w:cnfStyle w:val="00000010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Rio Branco</w:t>
            </w:r>
          </w:p>
        </w:tc>
        <w:tc>
          <w:tcPr>
            <w:tcW w:w="0" w:type="auto"/>
            <w:hideMark/>
          </w:tcPr>
          <w:p w:rsidR="00DF054F" w:rsidRPr="00E5054A" w:rsidRDefault="00DF054F" w:rsidP="00DF054F">
            <w:pPr>
              <w:spacing w:after="0"/>
              <w:cnfStyle w:val="00000010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Diretoria de Proteção e Defesa do Consumidor do Acre (PROCON)</w:t>
            </w:r>
          </w:p>
        </w:tc>
      </w:tr>
      <w:tr w:rsidR="00DF054F" w:rsidRPr="00E5054A" w:rsidTr="00F21810">
        <w:trPr>
          <w:cnfStyle w:val="000000010000"/>
          <w:trHeight w:val="20"/>
        </w:trPr>
        <w:tc>
          <w:tcPr>
            <w:cnfStyle w:val="001000000000"/>
            <w:tcW w:w="440" w:type="dxa"/>
            <w:hideMark/>
          </w:tcPr>
          <w:p w:rsidR="00DF054F" w:rsidRPr="00E5054A" w:rsidRDefault="00DF054F" w:rsidP="00DF054F">
            <w:pPr>
              <w:spacing w:after="0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AM</w:t>
            </w:r>
          </w:p>
        </w:tc>
        <w:tc>
          <w:tcPr>
            <w:tcW w:w="1772" w:type="dxa"/>
            <w:hideMark/>
          </w:tcPr>
          <w:p w:rsidR="00DF054F" w:rsidRPr="00E5054A" w:rsidRDefault="00DF054F" w:rsidP="00DF054F">
            <w:pPr>
              <w:spacing w:after="0"/>
              <w:cnfStyle w:val="00000001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Manaus e região</w:t>
            </w:r>
          </w:p>
        </w:tc>
        <w:tc>
          <w:tcPr>
            <w:tcW w:w="0" w:type="auto"/>
            <w:hideMark/>
          </w:tcPr>
          <w:p w:rsidR="00DF054F" w:rsidRPr="00E5054A" w:rsidRDefault="00DF054F" w:rsidP="00DF054F">
            <w:pPr>
              <w:spacing w:after="0"/>
              <w:cnfStyle w:val="00000001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Delegacia de Policia Fluvial (</w:t>
            </w:r>
            <w:proofErr w:type="spellStart"/>
            <w:proofErr w:type="gramStart"/>
            <w:r w:rsidRPr="00E5054A">
              <w:rPr>
                <w:rFonts w:asciiTheme="minorHAnsi" w:hAnsiTheme="minorHAnsi"/>
                <w:sz w:val="20"/>
                <w:szCs w:val="18"/>
              </w:rPr>
              <w:t>DPFlu</w:t>
            </w:r>
            <w:proofErr w:type="spellEnd"/>
            <w:proofErr w:type="gramEnd"/>
            <w:r w:rsidRPr="00E5054A">
              <w:rPr>
                <w:rFonts w:asciiTheme="minorHAnsi" w:hAnsiTheme="minorHAnsi"/>
                <w:sz w:val="20"/>
                <w:szCs w:val="18"/>
              </w:rPr>
              <w:t xml:space="preserve">), </w:t>
            </w:r>
            <w:r w:rsidR="00CB6EF0" w:rsidRPr="00E5054A">
              <w:rPr>
                <w:rFonts w:asciiTheme="minorHAnsi" w:hAnsiTheme="minorHAnsi"/>
                <w:sz w:val="20"/>
                <w:szCs w:val="18"/>
              </w:rPr>
              <w:t>Departamento</w:t>
            </w:r>
            <w:r w:rsidRPr="00E5054A">
              <w:rPr>
                <w:rFonts w:asciiTheme="minorHAnsi" w:hAnsiTheme="minorHAnsi"/>
                <w:sz w:val="20"/>
                <w:szCs w:val="18"/>
              </w:rPr>
              <w:t xml:space="preserve"> de Polícia Metropolitana (DPM), Instituto de Pesos e Medidas do Amazonas (IPEM) e Programa Estadual de Proteção e Orientação ao Consumidor do Amazonas (PROCON)</w:t>
            </w:r>
          </w:p>
        </w:tc>
      </w:tr>
      <w:tr w:rsidR="00DF054F" w:rsidRPr="00E5054A" w:rsidTr="00F21810">
        <w:trPr>
          <w:cnfStyle w:val="000000100000"/>
          <w:trHeight w:val="20"/>
        </w:trPr>
        <w:tc>
          <w:tcPr>
            <w:cnfStyle w:val="001000000000"/>
            <w:tcW w:w="440" w:type="dxa"/>
            <w:hideMark/>
          </w:tcPr>
          <w:p w:rsidR="00DF054F" w:rsidRPr="00E5054A" w:rsidRDefault="00DF054F" w:rsidP="00DF054F">
            <w:pPr>
              <w:spacing w:after="0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AP</w:t>
            </w:r>
          </w:p>
        </w:tc>
        <w:tc>
          <w:tcPr>
            <w:tcW w:w="1772" w:type="dxa"/>
            <w:hideMark/>
          </w:tcPr>
          <w:p w:rsidR="00DF054F" w:rsidRPr="00E5054A" w:rsidRDefault="00DF054F" w:rsidP="00DF054F">
            <w:pPr>
              <w:spacing w:after="0"/>
              <w:cnfStyle w:val="00000010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Macapá e Santana</w:t>
            </w:r>
          </w:p>
        </w:tc>
        <w:tc>
          <w:tcPr>
            <w:tcW w:w="0" w:type="auto"/>
            <w:hideMark/>
          </w:tcPr>
          <w:p w:rsidR="00C54A4F" w:rsidRDefault="00CB6EF0" w:rsidP="00DF054F">
            <w:pPr>
              <w:spacing w:after="0"/>
              <w:cnfStyle w:val="00000010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 xml:space="preserve">Instituto de Defesa do Consumidor do Estado do Amapá - (PROCON), Instituto de Pesos e Medidas do Estado do Amapá (IPEM), Ordem dos Advogados do Brasil (OAB), Polícia </w:t>
            </w:r>
            <w:proofErr w:type="gramStart"/>
            <w:r w:rsidRPr="00E5054A">
              <w:rPr>
                <w:rFonts w:asciiTheme="minorHAnsi" w:hAnsiTheme="minorHAnsi"/>
                <w:sz w:val="20"/>
                <w:szCs w:val="18"/>
              </w:rPr>
              <w:t>Civil</w:t>
            </w:r>
            <w:proofErr w:type="gramEnd"/>
          </w:p>
          <w:p w:rsidR="00DF054F" w:rsidRPr="00E5054A" w:rsidRDefault="00DF054F" w:rsidP="00DF054F">
            <w:pPr>
              <w:spacing w:after="0"/>
              <w:cnfStyle w:val="00000010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 xml:space="preserve"> (PC) e Secretário de Estado da Fazenda (SEFAZ)</w:t>
            </w:r>
          </w:p>
        </w:tc>
      </w:tr>
      <w:tr w:rsidR="00DF054F" w:rsidRPr="00E5054A" w:rsidTr="00F21810">
        <w:trPr>
          <w:cnfStyle w:val="000000010000"/>
          <w:trHeight w:val="20"/>
        </w:trPr>
        <w:tc>
          <w:tcPr>
            <w:cnfStyle w:val="001000000000"/>
            <w:tcW w:w="440" w:type="dxa"/>
            <w:hideMark/>
          </w:tcPr>
          <w:p w:rsidR="00DF054F" w:rsidRPr="00E5054A" w:rsidRDefault="00DF054F" w:rsidP="00DF054F">
            <w:pPr>
              <w:spacing w:after="0"/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color w:val="000000"/>
                <w:sz w:val="20"/>
                <w:szCs w:val="18"/>
              </w:rPr>
              <w:t>BA</w:t>
            </w:r>
          </w:p>
        </w:tc>
        <w:tc>
          <w:tcPr>
            <w:tcW w:w="1772" w:type="dxa"/>
            <w:hideMark/>
          </w:tcPr>
          <w:p w:rsidR="00DF054F" w:rsidRPr="00E5054A" w:rsidRDefault="00DF054F" w:rsidP="00DF054F">
            <w:pPr>
              <w:spacing w:after="0"/>
              <w:cnfStyle w:val="000000010000"/>
              <w:rPr>
                <w:rFonts w:asciiTheme="minorHAnsi" w:hAnsiTheme="minorHAnsi"/>
                <w:sz w:val="20"/>
                <w:szCs w:val="18"/>
              </w:rPr>
            </w:pPr>
            <w:proofErr w:type="spellStart"/>
            <w:r w:rsidRPr="00E5054A">
              <w:rPr>
                <w:rFonts w:asciiTheme="minorHAnsi" w:hAnsiTheme="minorHAnsi"/>
                <w:sz w:val="20"/>
                <w:szCs w:val="18"/>
              </w:rPr>
              <w:t>Abaré</w:t>
            </w:r>
            <w:proofErr w:type="spellEnd"/>
            <w:r w:rsidRPr="00E5054A">
              <w:rPr>
                <w:rFonts w:asciiTheme="minorHAnsi" w:hAnsiTheme="minorHAnsi"/>
                <w:sz w:val="20"/>
                <w:szCs w:val="18"/>
              </w:rPr>
              <w:t xml:space="preserve">, Canudos, Casa Nova, Curaçá, Ilhéus, </w:t>
            </w:r>
            <w:proofErr w:type="spellStart"/>
            <w:r w:rsidRPr="00E5054A">
              <w:rPr>
                <w:rFonts w:asciiTheme="minorHAnsi" w:hAnsiTheme="minorHAnsi"/>
                <w:sz w:val="20"/>
                <w:szCs w:val="18"/>
              </w:rPr>
              <w:t>Jaguarari</w:t>
            </w:r>
            <w:proofErr w:type="spellEnd"/>
            <w:r w:rsidRPr="00E5054A">
              <w:rPr>
                <w:rFonts w:asciiTheme="minorHAnsi" w:hAnsiTheme="minorHAnsi"/>
                <w:sz w:val="20"/>
                <w:szCs w:val="18"/>
              </w:rPr>
              <w:t xml:space="preserve">, Juazeiro, Senhor do </w:t>
            </w:r>
            <w:proofErr w:type="spellStart"/>
            <w:r w:rsidRPr="00E5054A">
              <w:rPr>
                <w:rFonts w:asciiTheme="minorHAnsi" w:hAnsiTheme="minorHAnsi"/>
                <w:sz w:val="20"/>
                <w:szCs w:val="18"/>
              </w:rPr>
              <w:t>Bomfim</w:t>
            </w:r>
            <w:proofErr w:type="spellEnd"/>
            <w:r w:rsidRPr="00E5054A">
              <w:rPr>
                <w:rFonts w:asciiTheme="minorHAnsi" w:hAnsiTheme="minorHAnsi"/>
                <w:sz w:val="20"/>
                <w:szCs w:val="18"/>
              </w:rPr>
              <w:t xml:space="preserve">, Sobradinho e </w:t>
            </w:r>
            <w:proofErr w:type="gramStart"/>
            <w:r w:rsidRPr="00E5054A">
              <w:rPr>
                <w:rFonts w:asciiTheme="minorHAnsi" w:hAnsiTheme="minorHAnsi"/>
                <w:sz w:val="20"/>
                <w:szCs w:val="18"/>
              </w:rPr>
              <w:t>Uauá</w:t>
            </w:r>
            <w:proofErr w:type="gramEnd"/>
          </w:p>
        </w:tc>
        <w:tc>
          <w:tcPr>
            <w:tcW w:w="0" w:type="auto"/>
            <w:hideMark/>
          </w:tcPr>
          <w:p w:rsidR="00DF054F" w:rsidRPr="00E5054A" w:rsidRDefault="00DF054F" w:rsidP="00DF054F">
            <w:pPr>
              <w:spacing w:after="0"/>
              <w:cnfStyle w:val="00000001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Instituto Baiano de Metrologia e Qualidade (IBAMETRO), Secretaria da Fazenda do Estado da Bahia (SEFAZ) e Secretaria do Meio Ambiente (SEMA</w:t>
            </w:r>
            <w:proofErr w:type="gramStart"/>
            <w:r w:rsidRPr="00E5054A">
              <w:rPr>
                <w:rFonts w:asciiTheme="minorHAnsi" w:hAnsiTheme="minorHAnsi"/>
                <w:sz w:val="20"/>
                <w:szCs w:val="18"/>
              </w:rPr>
              <w:t>)</w:t>
            </w:r>
            <w:proofErr w:type="gramEnd"/>
          </w:p>
        </w:tc>
      </w:tr>
      <w:tr w:rsidR="00DF054F" w:rsidRPr="00E5054A" w:rsidTr="00F21810">
        <w:trPr>
          <w:cnfStyle w:val="000000100000"/>
          <w:trHeight w:val="20"/>
        </w:trPr>
        <w:tc>
          <w:tcPr>
            <w:cnfStyle w:val="001000000000"/>
            <w:tcW w:w="440" w:type="dxa"/>
            <w:hideMark/>
          </w:tcPr>
          <w:p w:rsidR="00DF054F" w:rsidRPr="00E5054A" w:rsidRDefault="00DF054F" w:rsidP="00DF054F">
            <w:pPr>
              <w:spacing w:after="0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GO</w:t>
            </w:r>
          </w:p>
        </w:tc>
        <w:tc>
          <w:tcPr>
            <w:tcW w:w="1772" w:type="dxa"/>
            <w:hideMark/>
          </w:tcPr>
          <w:p w:rsidR="00DF054F" w:rsidRPr="00E5054A" w:rsidRDefault="00DF054F" w:rsidP="00DF054F">
            <w:pPr>
              <w:spacing w:after="0"/>
              <w:cnfStyle w:val="00000010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 xml:space="preserve">Anápolis, Mineiros e Senador </w:t>
            </w:r>
            <w:proofErr w:type="spellStart"/>
            <w:proofErr w:type="gramStart"/>
            <w:r w:rsidRPr="00E5054A">
              <w:rPr>
                <w:rFonts w:asciiTheme="minorHAnsi" w:hAnsiTheme="minorHAnsi"/>
                <w:sz w:val="20"/>
                <w:szCs w:val="18"/>
              </w:rPr>
              <w:t>Canedo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DF054F" w:rsidRPr="00E5054A" w:rsidRDefault="00DF054F" w:rsidP="00DF054F">
            <w:pPr>
              <w:spacing w:after="0"/>
              <w:cnfStyle w:val="00000010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Ministério Público (MP), Polícia Civil (PC) e Superintendência de Proteção aos Direitos dos Consumidores (PROCON</w:t>
            </w:r>
            <w:proofErr w:type="gramStart"/>
            <w:r w:rsidRPr="00E5054A">
              <w:rPr>
                <w:rFonts w:asciiTheme="minorHAnsi" w:hAnsiTheme="minorHAnsi"/>
                <w:sz w:val="20"/>
                <w:szCs w:val="18"/>
              </w:rPr>
              <w:t>)</w:t>
            </w:r>
            <w:proofErr w:type="gramEnd"/>
          </w:p>
        </w:tc>
      </w:tr>
      <w:tr w:rsidR="00DF054F" w:rsidRPr="00E5054A" w:rsidTr="00F21810">
        <w:trPr>
          <w:cnfStyle w:val="000000010000"/>
          <w:trHeight w:val="20"/>
        </w:trPr>
        <w:tc>
          <w:tcPr>
            <w:cnfStyle w:val="001000000000"/>
            <w:tcW w:w="440" w:type="dxa"/>
            <w:hideMark/>
          </w:tcPr>
          <w:p w:rsidR="00DF054F" w:rsidRPr="00E5054A" w:rsidRDefault="00DF054F" w:rsidP="00DF054F">
            <w:pPr>
              <w:spacing w:after="0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MS</w:t>
            </w:r>
          </w:p>
        </w:tc>
        <w:tc>
          <w:tcPr>
            <w:tcW w:w="1772" w:type="dxa"/>
            <w:hideMark/>
          </w:tcPr>
          <w:p w:rsidR="00DF054F" w:rsidRPr="00E5054A" w:rsidRDefault="00DF054F" w:rsidP="00DF054F">
            <w:pPr>
              <w:spacing w:after="0"/>
              <w:cnfStyle w:val="00000001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 xml:space="preserve">Campo Grande, </w:t>
            </w:r>
            <w:proofErr w:type="gramStart"/>
            <w:r w:rsidRPr="00E5054A">
              <w:rPr>
                <w:rFonts w:asciiTheme="minorHAnsi" w:hAnsiTheme="minorHAnsi"/>
                <w:sz w:val="20"/>
                <w:szCs w:val="18"/>
              </w:rPr>
              <w:t>Dourados</w:t>
            </w:r>
            <w:proofErr w:type="gramEnd"/>
          </w:p>
        </w:tc>
        <w:tc>
          <w:tcPr>
            <w:tcW w:w="0" w:type="auto"/>
            <w:hideMark/>
          </w:tcPr>
          <w:p w:rsidR="00DF054F" w:rsidRPr="00E5054A" w:rsidRDefault="00DF054F" w:rsidP="00DF054F">
            <w:pPr>
              <w:spacing w:after="0"/>
              <w:cnfStyle w:val="00000001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Delegacia de Defesa do Consumidor (DECON), Ministério Público (MP), Polícia Civil (PC), Secretaria de Estado de Fazenda de Mato Grosso do Sul e Superintendência para Orientação e Defesa do Consumidor (PROCON</w:t>
            </w:r>
            <w:proofErr w:type="gramStart"/>
            <w:r w:rsidRPr="00E5054A">
              <w:rPr>
                <w:rFonts w:asciiTheme="minorHAnsi" w:hAnsiTheme="minorHAnsi"/>
                <w:sz w:val="20"/>
                <w:szCs w:val="18"/>
              </w:rPr>
              <w:t>)</w:t>
            </w:r>
            <w:proofErr w:type="gramEnd"/>
          </w:p>
        </w:tc>
      </w:tr>
      <w:tr w:rsidR="00DF054F" w:rsidRPr="00E5054A" w:rsidTr="00F21810">
        <w:trPr>
          <w:cnfStyle w:val="000000100000"/>
          <w:trHeight w:val="20"/>
        </w:trPr>
        <w:tc>
          <w:tcPr>
            <w:cnfStyle w:val="001000000000"/>
            <w:tcW w:w="440" w:type="dxa"/>
            <w:hideMark/>
          </w:tcPr>
          <w:p w:rsidR="00DF054F" w:rsidRPr="00E5054A" w:rsidRDefault="00DF054F" w:rsidP="00DF054F">
            <w:pPr>
              <w:spacing w:after="0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MT</w:t>
            </w:r>
          </w:p>
        </w:tc>
        <w:tc>
          <w:tcPr>
            <w:tcW w:w="1772" w:type="dxa"/>
            <w:hideMark/>
          </w:tcPr>
          <w:p w:rsidR="00DF054F" w:rsidRPr="00E5054A" w:rsidRDefault="00DF054F" w:rsidP="00DF054F">
            <w:pPr>
              <w:spacing w:after="0"/>
              <w:cnfStyle w:val="00000010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Cuiabá</w:t>
            </w:r>
          </w:p>
        </w:tc>
        <w:tc>
          <w:tcPr>
            <w:tcW w:w="0" w:type="auto"/>
            <w:hideMark/>
          </w:tcPr>
          <w:p w:rsidR="00DF054F" w:rsidRPr="00E5054A" w:rsidRDefault="00DF054F" w:rsidP="00DF054F">
            <w:pPr>
              <w:spacing w:after="0"/>
              <w:cnfStyle w:val="00000010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Delegacia do Consumidor (DECON), Instituto de Pesos e Medidas de Mato Grosso (IPEM), Secretaria de Estado de Fazenda (SEFAZ) e Superintendência de Defesa do Consumidor (PROCON</w:t>
            </w:r>
            <w:proofErr w:type="gramStart"/>
            <w:r w:rsidRPr="00E5054A">
              <w:rPr>
                <w:rFonts w:asciiTheme="minorHAnsi" w:hAnsiTheme="minorHAnsi"/>
                <w:sz w:val="20"/>
                <w:szCs w:val="18"/>
              </w:rPr>
              <w:t>)</w:t>
            </w:r>
            <w:proofErr w:type="gramEnd"/>
          </w:p>
        </w:tc>
      </w:tr>
      <w:tr w:rsidR="00DF054F" w:rsidRPr="00E5054A" w:rsidTr="00F21810">
        <w:trPr>
          <w:cnfStyle w:val="000000010000"/>
          <w:trHeight w:val="20"/>
        </w:trPr>
        <w:tc>
          <w:tcPr>
            <w:cnfStyle w:val="001000000000"/>
            <w:tcW w:w="440" w:type="dxa"/>
            <w:hideMark/>
          </w:tcPr>
          <w:p w:rsidR="00DF054F" w:rsidRPr="00E5054A" w:rsidRDefault="00DF054F" w:rsidP="00DF054F">
            <w:pPr>
              <w:spacing w:after="0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PA</w:t>
            </w:r>
          </w:p>
        </w:tc>
        <w:tc>
          <w:tcPr>
            <w:tcW w:w="1772" w:type="dxa"/>
            <w:hideMark/>
          </w:tcPr>
          <w:p w:rsidR="00DF054F" w:rsidRPr="00E5054A" w:rsidRDefault="00DF054F" w:rsidP="00DF054F">
            <w:pPr>
              <w:spacing w:after="0"/>
              <w:cnfStyle w:val="00000001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 xml:space="preserve">Ananindeua, Belém, Castanhal e </w:t>
            </w:r>
            <w:proofErr w:type="gramStart"/>
            <w:r w:rsidRPr="00E5054A">
              <w:rPr>
                <w:rFonts w:asciiTheme="minorHAnsi" w:hAnsiTheme="minorHAnsi"/>
                <w:sz w:val="20"/>
                <w:szCs w:val="18"/>
              </w:rPr>
              <w:t>Santarém</w:t>
            </w:r>
            <w:proofErr w:type="gramEnd"/>
          </w:p>
        </w:tc>
        <w:tc>
          <w:tcPr>
            <w:tcW w:w="0" w:type="auto"/>
            <w:hideMark/>
          </w:tcPr>
          <w:p w:rsidR="00DF054F" w:rsidRPr="00E5054A" w:rsidRDefault="00DF054F" w:rsidP="00DF054F">
            <w:pPr>
              <w:spacing w:after="0"/>
              <w:cnfStyle w:val="00000001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Diretoria de Proteção e Defesa do Consumidor (PROCON</w:t>
            </w:r>
            <w:proofErr w:type="gramStart"/>
            <w:r w:rsidRPr="00E5054A">
              <w:rPr>
                <w:rFonts w:asciiTheme="minorHAnsi" w:hAnsiTheme="minorHAnsi"/>
                <w:sz w:val="20"/>
                <w:szCs w:val="18"/>
              </w:rPr>
              <w:t>) ,</w:t>
            </w:r>
            <w:proofErr w:type="gramEnd"/>
            <w:r w:rsidRPr="00E5054A">
              <w:rPr>
                <w:rFonts w:asciiTheme="minorHAnsi" w:hAnsiTheme="minorHAnsi"/>
                <w:sz w:val="20"/>
                <w:szCs w:val="18"/>
              </w:rPr>
              <w:t>Instituto de Metrologia do Estado do Pará (</w:t>
            </w:r>
            <w:proofErr w:type="spellStart"/>
            <w:r w:rsidRPr="00E5054A">
              <w:rPr>
                <w:rFonts w:asciiTheme="minorHAnsi" w:hAnsiTheme="minorHAnsi"/>
                <w:sz w:val="20"/>
                <w:szCs w:val="18"/>
              </w:rPr>
              <w:t>Imetropará</w:t>
            </w:r>
            <w:proofErr w:type="spellEnd"/>
            <w:r w:rsidRPr="00E5054A">
              <w:rPr>
                <w:rFonts w:asciiTheme="minorHAnsi" w:hAnsiTheme="minorHAnsi"/>
                <w:sz w:val="20"/>
                <w:szCs w:val="18"/>
              </w:rPr>
              <w:t>), Ministério Público (MP) e Polícia Militar (PM)</w:t>
            </w:r>
          </w:p>
        </w:tc>
      </w:tr>
      <w:tr w:rsidR="00DF054F" w:rsidRPr="00E5054A" w:rsidTr="00F21810">
        <w:trPr>
          <w:cnfStyle w:val="000000100000"/>
          <w:trHeight w:val="20"/>
        </w:trPr>
        <w:tc>
          <w:tcPr>
            <w:cnfStyle w:val="001000000000"/>
            <w:tcW w:w="440" w:type="dxa"/>
            <w:hideMark/>
          </w:tcPr>
          <w:p w:rsidR="00DF054F" w:rsidRPr="00E5054A" w:rsidRDefault="00DF054F" w:rsidP="00DF054F">
            <w:pPr>
              <w:spacing w:after="0"/>
              <w:jc w:val="center"/>
              <w:rPr>
                <w:rFonts w:asciiTheme="minorHAnsi" w:hAnsiTheme="minorHAnsi"/>
                <w:color w:val="000000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color w:val="000000"/>
                <w:sz w:val="20"/>
                <w:szCs w:val="18"/>
              </w:rPr>
              <w:t>PB</w:t>
            </w:r>
          </w:p>
        </w:tc>
        <w:tc>
          <w:tcPr>
            <w:tcW w:w="1772" w:type="dxa"/>
            <w:hideMark/>
          </w:tcPr>
          <w:p w:rsidR="00DF054F" w:rsidRPr="00E5054A" w:rsidRDefault="00DF054F" w:rsidP="00DF054F">
            <w:pPr>
              <w:spacing w:after="0"/>
              <w:cnfStyle w:val="000000100000"/>
              <w:rPr>
                <w:rFonts w:asciiTheme="minorHAnsi" w:hAnsiTheme="minorHAnsi"/>
                <w:color w:val="000000"/>
                <w:sz w:val="20"/>
                <w:szCs w:val="18"/>
              </w:rPr>
            </w:pPr>
            <w:proofErr w:type="spellStart"/>
            <w:r w:rsidRPr="00E5054A">
              <w:rPr>
                <w:rFonts w:asciiTheme="minorHAnsi" w:hAnsiTheme="minorHAnsi"/>
                <w:color w:val="000000"/>
                <w:sz w:val="20"/>
                <w:szCs w:val="18"/>
              </w:rPr>
              <w:t>Cabedelo</w:t>
            </w:r>
            <w:proofErr w:type="spellEnd"/>
            <w:r w:rsidRPr="00E5054A">
              <w:rPr>
                <w:rFonts w:asciiTheme="minorHAnsi" w:hAnsiTheme="minorHAnsi"/>
                <w:color w:val="000000"/>
                <w:sz w:val="20"/>
                <w:szCs w:val="18"/>
              </w:rPr>
              <w:t xml:space="preserve">, </w:t>
            </w:r>
            <w:proofErr w:type="spellStart"/>
            <w:r w:rsidRPr="00E5054A">
              <w:rPr>
                <w:rFonts w:asciiTheme="minorHAnsi" w:hAnsiTheme="minorHAnsi"/>
                <w:color w:val="000000"/>
                <w:sz w:val="20"/>
                <w:szCs w:val="18"/>
              </w:rPr>
              <w:t>Bayeux</w:t>
            </w:r>
            <w:proofErr w:type="spellEnd"/>
            <w:r w:rsidRPr="00E5054A">
              <w:rPr>
                <w:rFonts w:asciiTheme="minorHAnsi" w:hAnsiTheme="minorHAnsi"/>
                <w:color w:val="000000"/>
                <w:sz w:val="20"/>
                <w:szCs w:val="18"/>
              </w:rPr>
              <w:t xml:space="preserve">, João Pessoa e Santa </w:t>
            </w:r>
            <w:proofErr w:type="gramStart"/>
            <w:r w:rsidRPr="00E5054A">
              <w:rPr>
                <w:rFonts w:asciiTheme="minorHAnsi" w:hAnsiTheme="minorHAnsi"/>
                <w:color w:val="000000"/>
                <w:sz w:val="20"/>
                <w:szCs w:val="18"/>
              </w:rPr>
              <w:t>Rita</w:t>
            </w:r>
            <w:proofErr w:type="gramEnd"/>
          </w:p>
        </w:tc>
        <w:tc>
          <w:tcPr>
            <w:tcW w:w="0" w:type="auto"/>
            <w:hideMark/>
          </w:tcPr>
          <w:p w:rsidR="00DF054F" w:rsidRPr="00E5054A" w:rsidRDefault="00DF054F" w:rsidP="00DF054F">
            <w:pPr>
              <w:spacing w:after="0"/>
              <w:cnfStyle w:val="00000010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Corpo de Bombeiros do Estado da Paraíba (CBM), Instituto de Metrologia e Qualidade Industrial da Paraíba (IMEQ), Instituto de Polícia Científica (IPC), Ministério Público (MP), Policia Civil (PC), Polícia Militar (PM) e Superintendência de Administração do Meio Ambiente (</w:t>
            </w:r>
            <w:proofErr w:type="spellStart"/>
            <w:r w:rsidRPr="00E5054A">
              <w:rPr>
                <w:rFonts w:asciiTheme="minorHAnsi" w:hAnsiTheme="minorHAnsi"/>
                <w:sz w:val="20"/>
                <w:szCs w:val="18"/>
              </w:rPr>
              <w:t>Sudema</w:t>
            </w:r>
            <w:proofErr w:type="spellEnd"/>
            <w:proofErr w:type="gramStart"/>
            <w:r w:rsidRPr="00E5054A">
              <w:rPr>
                <w:rFonts w:asciiTheme="minorHAnsi" w:hAnsiTheme="minorHAnsi"/>
                <w:sz w:val="20"/>
                <w:szCs w:val="18"/>
              </w:rPr>
              <w:t>)</w:t>
            </w:r>
            <w:proofErr w:type="gramEnd"/>
          </w:p>
        </w:tc>
      </w:tr>
      <w:tr w:rsidR="00DF054F" w:rsidRPr="00E5054A" w:rsidTr="00F21810">
        <w:trPr>
          <w:cnfStyle w:val="000000010000"/>
          <w:trHeight w:val="20"/>
        </w:trPr>
        <w:tc>
          <w:tcPr>
            <w:cnfStyle w:val="001000000000"/>
            <w:tcW w:w="440" w:type="dxa"/>
            <w:hideMark/>
          </w:tcPr>
          <w:p w:rsidR="00DF054F" w:rsidRPr="00E5054A" w:rsidRDefault="00DF054F" w:rsidP="00DF054F">
            <w:pPr>
              <w:spacing w:after="0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PE</w:t>
            </w:r>
          </w:p>
        </w:tc>
        <w:tc>
          <w:tcPr>
            <w:tcW w:w="1772" w:type="dxa"/>
            <w:hideMark/>
          </w:tcPr>
          <w:p w:rsidR="00DF054F" w:rsidRPr="00E5054A" w:rsidRDefault="00DF054F" w:rsidP="00DF054F">
            <w:pPr>
              <w:spacing w:after="0"/>
              <w:cnfStyle w:val="00000001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Jaboatão dos Guararapes e Recife</w:t>
            </w:r>
          </w:p>
        </w:tc>
        <w:tc>
          <w:tcPr>
            <w:tcW w:w="0" w:type="auto"/>
            <w:hideMark/>
          </w:tcPr>
          <w:p w:rsidR="00DF054F" w:rsidRPr="00E5054A" w:rsidRDefault="00DF054F" w:rsidP="00DF054F">
            <w:pPr>
              <w:spacing w:after="0"/>
              <w:cnfStyle w:val="00000001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Secretaria da Fazenda do Estado de Pernambuco (SEFAZ)</w:t>
            </w:r>
          </w:p>
        </w:tc>
      </w:tr>
      <w:tr w:rsidR="00DF054F" w:rsidRPr="00E5054A" w:rsidTr="00F21810">
        <w:trPr>
          <w:cnfStyle w:val="000000100000"/>
          <w:trHeight w:val="20"/>
        </w:trPr>
        <w:tc>
          <w:tcPr>
            <w:cnfStyle w:val="001000000000"/>
            <w:tcW w:w="440" w:type="dxa"/>
            <w:hideMark/>
          </w:tcPr>
          <w:p w:rsidR="00DF054F" w:rsidRPr="00E5054A" w:rsidRDefault="00DF054F" w:rsidP="00DF054F">
            <w:pPr>
              <w:spacing w:after="0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PR</w:t>
            </w:r>
          </w:p>
        </w:tc>
        <w:tc>
          <w:tcPr>
            <w:tcW w:w="1772" w:type="dxa"/>
            <w:hideMark/>
          </w:tcPr>
          <w:p w:rsidR="00DF054F" w:rsidRPr="00E5054A" w:rsidRDefault="00DF054F" w:rsidP="00E44F03">
            <w:pPr>
              <w:spacing w:after="0"/>
              <w:cnfStyle w:val="000000100000"/>
              <w:rPr>
                <w:rFonts w:asciiTheme="minorHAnsi" w:hAnsiTheme="minorHAnsi"/>
                <w:sz w:val="20"/>
                <w:szCs w:val="18"/>
              </w:rPr>
            </w:pPr>
            <w:proofErr w:type="gramStart"/>
            <w:r w:rsidRPr="00E5054A">
              <w:rPr>
                <w:rFonts w:asciiTheme="minorHAnsi" w:hAnsiTheme="minorHAnsi"/>
                <w:sz w:val="20"/>
                <w:szCs w:val="18"/>
              </w:rPr>
              <w:t>Curitiba, Londrina região)</w:t>
            </w:r>
            <w:proofErr w:type="gramEnd"/>
            <w:r w:rsidRPr="00E5054A">
              <w:rPr>
                <w:rFonts w:asciiTheme="minorHAnsi" w:hAnsiTheme="minorHAnsi"/>
                <w:sz w:val="20"/>
                <w:szCs w:val="18"/>
              </w:rPr>
              <w:t xml:space="preserve"> e Maringá</w:t>
            </w:r>
          </w:p>
        </w:tc>
        <w:tc>
          <w:tcPr>
            <w:tcW w:w="0" w:type="auto"/>
            <w:hideMark/>
          </w:tcPr>
          <w:p w:rsidR="00DF054F" w:rsidRPr="00E5054A" w:rsidRDefault="00DF054F" w:rsidP="00DF054F">
            <w:pPr>
              <w:spacing w:after="0"/>
              <w:cnfStyle w:val="00000010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Departamento Estadual de Proteção e Defesa do Consumidor (</w:t>
            </w:r>
            <w:proofErr w:type="spellStart"/>
            <w:proofErr w:type="gramStart"/>
            <w:r w:rsidRPr="00E5054A">
              <w:rPr>
                <w:rFonts w:asciiTheme="minorHAnsi" w:hAnsiTheme="minorHAnsi"/>
                <w:sz w:val="20"/>
                <w:szCs w:val="18"/>
              </w:rPr>
              <w:t>Procon</w:t>
            </w:r>
            <w:proofErr w:type="spellEnd"/>
            <w:proofErr w:type="gramEnd"/>
            <w:r w:rsidRPr="00E5054A">
              <w:rPr>
                <w:rFonts w:asciiTheme="minorHAnsi" w:hAnsiTheme="minorHAnsi"/>
                <w:sz w:val="20"/>
                <w:szCs w:val="18"/>
              </w:rPr>
              <w:t>), Instituto de Pesos e Medidas do Estado do Paraná (IPEM), Ministério Público (MP) e Polícia Civil (PC)</w:t>
            </w:r>
          </w:p>
        </w:tc>
      </w:tr>
      <w:tr w:rsidR="00DF054F" w:rsidRPr="00E5054A" w:rsidTr="00F21810">
        <w:trPr>
          <w:cnfStyle w:val="000000010000"/>
          <w:trHeight w:val="20"/>
        </w:trPr>
        <w:tc>
          <w:tcPr>
            <w:cnfStyle w:val="001000000000"/>
            <w:tcW w:w="440" w:type="dxa"/>
            <w:hideMark/>
          </w:tcPr>
          <w:p w:rsidR="00DF054F" w:rsidRPr="00E5054A" w:rsidRDefault="00DF054F" w:rsidP="00DF054F">
            <w:pPr>
              <w:spacing w:after="0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RJ</w:t>
            </w:r>
          </w:p>
        </w:tc>
        <w:tc>
          <w:tcPr>
            <w:tcW w:w="1772" w:type="dxa"/>
            <w:hideMark/>
          </w:tcPr>
          <w:p w:rsidR="00DF054F" w:rsidRPr="00E5054A" w:rsidRDefault="00DF054F" w:rsidP="00DF054F">
            <w:pPr>
              <w:spacing w:after="0"/>
              <w:cnfStyle w:val="00000001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Rio de Janeiro</w:t>
            </w:r>
          </w:p>
        </w:tc>
        <w:tc>
          <w:tcPr>
            <w:tcW w:w="0" w:type="auto"/>
            <w:hideMark/>
          </w:tcPr>
          <w:p w:rsidR="00DF054F" w:rsidRPr="00E5054A" w:rsidRDefault="00DF054F" w:rsidP="00DF054F">
            <w:pPr>
              <w:spacing w:after="0"/>
              <w:cnfStyle w:val="00000001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Autarquia de Proteção e Defesa do Consumidor (PROCON), Companhia Distribuidora de Gás do Rio de Janeiro (CEG), Secretaria de Estado de Fazenda e Planejamento (SEFAZ) e Ministério Público (MP</w:t>
            </w:r>
            <w:proofErr w:type="gramStart"/>
            <w:r w:rsidRPr="00E5054A">
              <w:rPr>
                <w:rFonts w:asciiTheme="minorHAnsi" w:hAnsiTheme="minorHAnsi"/>
                <w:sz w:val="20"/>
                <w:szCs w:val="18"/>
              </w:rPr>
              <w:t>)</w:t>
            </w:r>
            <w:proofErr w:type="gramEnd"/>
          </w:p>
        </w:tc>
      </w:tr>
      <w:tr w:rsidR="00DF054F" w:rsidRPr="00E5054A" w:rsidTr="00F21810">
        <w:trPr>
          <w:cnfStyle w:val="000000100000"/>
          <w:trHeight w:val="20"/>
        </w:trPr>
        <w:tc>
          <w:tcPr>
            <w:cnfStyle w:val="001000000000"/>
            <w:tcW w:w="440" w:type="dxa"/>
            <w:hideMark/>
          </w:tcPr>
          <w:p w:rsidR="00DF054F" w:rsidRPr="00E5054A" w:rsidRDefault="00DF054F" w:rsidP="00DF054F">
            <w:pPr>
              <w:spacing w:after="0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RS</w:t>
            </w:r>
          </w:p>
        </w:tc>
        <w:tc>
          <w:tcPr>
            <w:tcW w:w="1772" w:type="dxa"/>
            <w:hideMark/>
          </w:tcPr>
          <w:p w:rsidR="00DF054F" w:rsidRPr="00E5054A" w:rsidRDefault="00DF054F" w:rsidP="00DF054F">
            <w:pPr>
              <w:spacing w:after="0"/>
              <w:cnfStyle w:val="000000100000"/>
              <w:rPr>
                <w:rFonts w:asciiTheme="minorHAnsi" w:hAnsiTheme="minorHAnsi"/>
                <w:sz w:val="20"/>
                <w:szCs w:val="18"/>
              </w:rPr>
            </w:pPr>
            <w:proofErr w:type="spellStart"/>
            <w:r w:rsidRPr="00E5054A">
              <w:rPr>
                <w:rFonts w:asciiTheme="minorHAnsi" w:hAnsiTheme="minorHAnsi"/>
                <w:sz w:val="20"/>
                <w:szCs w:val="18"/>
              </w:rPr>
              <w:t>Cotiporã</w:t>
            </w:r>
            <w:proofErr w:type="spellEnd"/>
            <w:r w:rsidRPr="00E5054A">
              <w:rPr>
                <w:rFonts w:asciiTheme="minorHAnsi" w:hAnsiTheme="minorHAnsi"/>
                <w:sz w:val="20"/>
                <w:szCs w:val="18"/>
              </w:rPr>
              <w:t xml:space="preserve">, Fagundes Varela, Porto Alegre (e região) e </w:t>
            </w:r>
            <w:proofErr w:type="spellStart"/>
            <w:proofErr w:type="gramStart"/>
            <w:r w:rsidRPr="00E5054A">
              <w:rPr>
                <w:rFonts w:asciiTheme="minorHAnsi" w:hAnsiTheme="minorHAnsi"/>
                <w:sz w:val="20"/>
                <w:szCs w:val="18"/>
              </w:rPr>
              <w:t>Veranópolis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DF054F" w:rsidRPr="00E5054A" w:rsidRDefault="00DF054F" w:rsidP="00DF054F">
            <w:pPr>
              <w:spacing w:after="0"/>
              <w:cnfStyle w:val="00000010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 xml:space="preserve">Brigada Militar, Fundação Estadual de Proteção Ambiental (FEPAM), Delegacia de Polícia de Proteção aos Direitos do Consumidor, Saúde e da Propriedade Intelectual, </w:t>
            </w:r>
            <w:proofErr w:type="gramStart"/>
            <w:r w:rsidRPr="00E5054A">
              <w:rPr>
                <w:rFonts w:asciiTheme="minorHAnsi" w:hAnsiTheme="minorHAnsi"/>
                <w:sz w:val="20"/>
                <w:szCs w:val="18"/>
              </w:rPr>
              <w:t>Imaterial e Afins (</w:t>
            </w:r>
            <w:proofErr w:type="spellStart"/>
            <w:r w:rsidRPr="00E5054A">
              <w:rPr>
                <w:rFonts w:asciiTheme="minorHAnsi" w:hAnsiTheme="minorHAnsi"/>
                <w:sz w:val="20"/>
                <w:szCs w:val="18"/>
              </w:rPr>
              <w:t>Decon</w:t>
            </w:r>
            <w:proofErr w:type="spellEnd"/>
            <w:r w:rsidRPr="00E5054A">
              <w:rPr>
                <w:rFonts w:asciiTheme="minorHAnsi" w:hAnsiTheme="minorHAnsi"/>
                <w:sz w:val="20"/>
                <w:szCs w:val="18"/>
              </w:rPr>
              <w:t>)</w:t>
            </w:r>
            <w:proofErr w:type="gramEnd"/>
            <w:r w:rsidRPr="00E5054A">
              <w:rPr>
                <w:rFonts w:asciiTheme="minorHAnsi" w:hAnsiTheme="minorHAnsi"/>
                <w:sz w:val="20"/>
                <w:szCs w:val="18"/>
              </w:rPr>
              <w:t xml:space="preserve">, Ministério Público (MP), Programa Estadual de Defesa dos Consumidores (PROCON/Canoas), Promotoria de Justiça de </w:t>
            </w:r>
            <w:proofErr w:type="spellStart"/>
            <w:r w:rsidRPr="00E5054A">
              <w:rPr>
                <w:rFonts w:asciiTheme="minorHAnsi" w:hAnsiTheme="minorHAnsi"/>
                <w:sz w:val="20"/>
                <w:szCs w:val="18"/>
              </w:rPr>
              <w:t>Veranópolis</w:t>
            </w:r>
            <w:proofErr w:type="spellEnd"/>
            <w:r w:rsidRPr="00E5054A">
              <w:rPr>
                <w:rFonts w:asciiTheme="minorHAnsi" w:hAnsiTheme="minorHAnsi"/>
                <w:sz w:val="20"/>
                <w:szCs w:val="18"/>
              </w:rPr>
              <w:t xml:space="preserve"> e Secretaria de Indústria, Comércio e Serviços (SMIC)</w:t>
            </w:r>
          </w:p>
        </w:tc>
      </w:tr>
      <w:tr w:rsidR="00DF054F" w:rsidRPr="00E5054A" w:rsidTr="00F21810">
        <w:trPr>
          <w:cnfStyle w:val="000000010000"/>
          <w:trHeight w:val="20"/>
        </w:trPr>
        <w:tc>
          <w:tcPr>
            <w:cnfStyle w:val="001000000000"/>
            <w:tcW w:w="440" w:type="dxa"/>
            <w:hideMark/>
          </w:tcPr>
          <w:p w:rsidR="00DF054F" w:rsidRPr="00E5054A" w:rsidRDefault="00DF054F" w:rsidP="00DF054F">
            <w:pPr>
              <w:spacing w:after="0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SC</w:t>
            </w:r>
          </w:p>
        </w:tc>
        <w:tc>
          <w:tcPr>
            <w:tcW w:w="1772" w:type="dxa"/>
            <w:hideMark/>
          </w:tcPr>
          <w:p w:rsidR="00DF054F" w:rsidRPr="00E5054A" w:rsidRDefault="00DF054F" w:rsidP="00F21810">
            <w:pPr>
              <w:spacing w:after="0"/>
              <w:cnfStyle w:val="00000001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 xml:space="preserve">Descanso, Joinvile, São Miguel D'Oeste, São José do </w:t>
            </w:r>
            <w:proofErr w:type="gramStart"/>
            <w:r w:rsidRPr="00E5054A">
              <w:rPr>
                <w:rFonts w:asciiTheme="minorHAnsi" w:hAnsiTheme="minorHAnsi"/>
                <w:sz w:val="20"/>
                <w:szCs w:val="18"/>
              </w:rPr>
              <w:t>Cedro</w:t>
            </w:r>
            <w:proofErr w:type="gramEnd"/>
          </w:p>
        </w:tc>
        <w:tc>
          <w:tcPr>
            <w:tcW w:w="0" w:type="auto"/>
            <w:hideMark/>
          </w:tcPr>
          <w:p w:rsidR="00DF054F" w:rsidRPr="00E5054A" w:rsidRDefault="00DF054F" w:rsidP="00DF054F">
            <w:pPr>
              <w:spacing w:after="0"/>
              <w:cnfStyle w:val="00000001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>Corpo de Bombeiro Militar de Santa Catarina (CBMSC), Departamento de Defesa do Consumidor (PROCON/Joinvile), Polícia Militar (PM) e Secretaria</w:t>
            </w:r>
            <w:r w:rsidR="00891F9C" w:rsidRPr="00E5054A">
              <w:rPr>
                <w:rFonts w:asciiTheme="minorHAnsi" w:hAnsiTheme="minorHAnsi"/>
                <w:sz w:val="20"/>
                <w:szCs w:val="18"/>
              </w:rPr>
              <w:t xml:space="preserve"> de Estado da Fazenda (SEFAZ</w:t>
            </w:r>
            <w:proofErr w:type="gramStart"/>
            <w:r w:rsidR="00891F9C" w:rsidRPr="00E5054A">
              <w:rPr>
                <w:rFonts w:asciiTheme="minorHAnsi" w:hAnsiTheme="minorHAnsi"/>
                <w:sz w:val="20"/>
                <w:szCs w:val="18"/>
              </w:rPr>
              <w:t>)</w:t>
            </w:r>
            <w:proofErr w:type="gramEnd"/>
          </w:p>
        </w:tc>
      </w:tr>
      <w:tr w:rsidR="00DF054F" w:rsidRPr="00E5054A" w:rsidTr="00F21810">
        <w:trPr>
          <w:cnfStyle w:val="000000100000"/>
          <w:trHeight w:val="20"/>
        </w:trPr>
        <w:tc>
          <w:tcPr>
            <w:cnfStyle w:val="001000000000"/>
            <w:tcW w:w="440" w:type="dxa"/>
            <w:hideMark/>
          </w:tcPr>
          <w:p w:rsidR="00DF054F" w:rsidRPr="00E5054A" w:rsidRDefault="00DF054F" w:rsidP="00DF054F">
            <w:pPr>
              <w:spacing w:after="0"/>
              <w:jc w:val="center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lastRenderedPageBreak/>
              <w:t>SP</w:t>
            </w:r>
          </w:p>
        </w:tc>
        <w:tc>
          <w:tcPr>
            <w:tcW w:w="1772" w:type="dxa"/>
            <w:hideMark/>
          </w:tcPr>
          <w:p w:rsidR="00DF054F" w:rsidRPr="00E5054A" w:rsidRDefault="00DF054F" w:rsidP="00466B1A">
            <w:pPr>
              <w:spacing w:after="0"/>
              <w:cnfStyle w:val="00000010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 xml:space="preserve">Itapeva, </w:t>
            </w:r>
            <w:proofErr w:type="spellStart"/>
            <w:r w:rsidRPr="00E5054A">
              <w:rPr>
                <w:rFonts w:asciiTheme="minorHAnsi" w:hAnsiTheme="minorHAnsi"/>
                <w:sz w:val="20"/>
                <w:szCs w:val="18"/>
              </w:rPr>
              <w:t>Ouroeste</w:t>
            </w:r>
            <w:proofErr w:type="spellEnd"/>
            <w:r w:rsidRPr="00E5054A">
              <w:rPr>
                <w:rFonts w:asciiTheme="minorHAnsi" w:hAnsiTheme="minorHAnsi"/>
                <w:sz w:val="20"/>
                <w:szCs w:val="18"/>
              </w:rPr>
              <w:t xml:space="preserve"> e São </w:t>
            </w:r>
            <w:proofErr w:type="gramStart"/>
            <w:r w:rsidRPr="00E5054A">
              <w:rPr>
                <w:rFonts w:asciiTheme="minorHAnsi" w:hAnsiTheme="minorHAnsi"/>
                <w:sz w:val="20"/>
                <w:szCs w:val="18"/>
              </w:rPr>
              <w:t>Paulo</w:t>
            </w:r>
            <w:proofErr w:type="gramEnd"/>
          </w:p>
        </w:tc>
        <w:tc>
          <w:tcPr>
            <w:tcW w:w="0" w:type="auto"/>
            <w:hideMark/>
          </w:tcPr>
          <w:p w:rsidR="00DF054F" w:rsidRPr="00E5054A" w:rsidRDefault="00DF054F" w:rsidP="00891F9C">
            <w:pPr>
              <w:spacing w:after="0"/>
              <w:cnfStyle w:val="000000100000"/>
              <w:rPr>
                <w:rFonts w:asciiTheme="minorHAnsi" w:hAnsiTheme="minorHAnsi"/>
                <w:sz w:val="20"/>
                <w:szCs w:val="18"/>
              </w:rPr>
            </w:pPr>
            <w:r w:rsidRPr="00E5054A">
              <w:rPr>
                <w:rFonts w:asciiTheme="minorHAnsi" w:hAnsiTheme="minorHAnsi"/>
                <w:sz w:val="20"/>
                <w:szCs w:val="18"/>
              </w:rPr>
              <w:t xml:space="preserve">Companhia Ambiental do Estado de São Paulo (CETESB), Conselho Comunitário de Segurança Pública (CONSEG), </w:t>
            </w:r>
            <w:r w:rsidR="00891F9C" w:rsidRPr="00E5054A">
              <w:rPr>
                <w:rFonts w:asciiTheme="minorHAnsi" w:hAnsiTheme="minorHAnsi"/>
                <w:sz w:val="20"/>
                <w:szCs w:val="18"/>
              </w:rPr>
              <w:t xml:space="preserve">Fundação de Proteção e Defesa do Consumidor do Estado de São Paulo (PROCON), Instituto de Pesos e Medidas de São Paulo (IPEM), </w:t>
            </w:r>
            <w:r w:rsidRPr="00E5054A">
              <w:rPr>
                <w:rFonts w:asciiTheme="minorHAnsi" w:hAnsiTheme="minorHAnsi"/>
                <w:sz w:val="20"/>
                <w:szCs w:val="18"/>
              </w:rPr>
              <w:t xml:space="preserve">Ministério Público (MP), </w:t>
            </w:r>
            <w:r w:rsidR="00891F9C" w:rsidRPr="00E5054A">
              <w:rPr>
                <w:rFonts w:asciiTheme="minorHAnsi" w:hAnsiTheme="minorHAnsi"/>
                <w:sz w:val="20"/>
                <w:szCs w:val="18"/>
              </w:rPr>
              <w:t xml:space="preserve">Polícia Civil (PC), </w:t>
            </w:r>
            <w:r w:rsidRPr="00E5054A">
              <w:rPr>
                <w:rFonts w:asciiTheme="minorHAnsi" w:hAnsiTheme="minorHAnsi"/>
                <w:sz w:val="20"/>
                <w:szCs w:val="18"/>
              </w:rPr>
              <w:t>Polícia Militar (PM), Prefeitura de São Paulo, Secretaria de Estado da</w:t>
            </w:r>
            <w:r w:rsidR="00891F9C" w:rsidRPr="00E5054A">
              <w:rPr>
                <w:rFonts w:asciiTheme="minorHAnsi" w:hAnsiTheme="minorHAnsi"/>
                <w:sz w:val="20"/>
                <w:szCs w:val="18"/>
              </w:rPr>
              <w:t xml:space="preserve"> Fazenda (SEFAZ) e</w:t>
            </w:r>
            <w:r w:rsidRPr="00E5054A">
              <w:rPr>
                <w:rFonts w:asciiTheme="minorHAnsi" w:hAnsiTheme="minorHAnsi"/>
                <w:sz w:val="20"/>
                <w:szCs w:val="18"/>
              </w:rPr>
              <w:t xml:space="preserve"> Secretaria de Estado da Justiça e Defesa da </w:t>
            </w:r>
            <w:proofErr w:type="gramStart"/>
            <w:r w:rsidRPr="00E5054A">
              <w:rPr>
                <w:rFonts w:asciiTheme="minorHAnsi" w:hAnsiTheme="minorHAnsi"/>
                <w:sz w:val="20"/>
                <w:szCs w:val="18"/>
              </w:rPr>
              <w:t>Cidadania</w:t>
            </w:r>
            <w:proofErr w:type="gramEnd"/>
          </w:p>
        </w:tc>
      </w:tr>
    </w:tbl>
    <w:p w:rsidR="001C21D6" w:rsidRPr="001C21D6" w:rsidRDefault="00DF054F" w:rsidP="00DF054F">
      <w:pPr>
        <w:spacing w:after="0" w:line="240" w:lineRule="auto"/>
        <w:contextualSpacing/>
        <w:jc w:val="center"/>
        <w:rPr>
          <w:rFonts w:eastAsia="Times New Roman" w:cs="Calibri"/>
          <w:spacing w:val="20"/>
          <w:lang w:eastAsia="pt-BR"/>
        </w:rPr>
      </w:pPr>
      <w:r w:rsidRPr="00B22C43">
        <w:rPr>
          <w:rFonts w:eastAsia="Times New Roman" w:cs="Calibri"/>
          <w:i/>
          <w:spacing w:val="20"/>
          <w:sz w:val="16"/>
          <w:szCs w:val="16"/>
          <w:lang w:eastAsia="pt-BR"/>
        </w:rPr>
        <w:t xml:space="preserve"> </w:t>
      </w:r>
      <w:r w:rsidR="00311379" w:rsidRPr="00B22C43">
        <w:rPr>
          <w:rFonts w:eastAsia="Times New Roman" w:cs="Calibri"/>
          <w:spacing w:val="20"/>
          <w:sz w:val="16"/>
          <w:szCs w:val="16"/>
          <w:lang w:eastAsia="pt-BR"/>
        </w:rPr>
        <w:t xml:space="preserve"> </w:t>
      </w:r>
    </w:p>
    <w:p w:rsidR="00DF054F" w:rsidRPr="00B22C43" w:rsidRDefault="00DF054F" w:rsidP="00DF054F">
      <w:pPr>
        <w:spacing w:after="0" w:line="240" w:lineRule="auto"/>
        <w:contextualSpacing/>
        <w:jc w:val="center"/>
        <w:rPr>
          <w:noProof/>
          <w:sz w:val="16"/>
          <w:szCs w:val="16"/>
          <w:lang w:eastAsia="pt-BR"/>
        </w:rPr>
      </w:pPr>
      <w:r w:rsidRPr="00B22C43">
        <w:rPr>
          <w:rFonts w:cs="Helv"/>
          <w:color w:val="000000"/>
          <w:sz w:val="16"/>
          <w:lang w:eastAsia="pt-BR"/>
        </w:rPr>
        <w:t xml:space="preserve">Fonte: </w:t>
      </w:r>
      <w:r w:rsidRPr="00B22C43">
        <w:rPr>
          <w:noProof/>
          <w:sz w:val="16"/>
          <w:szCs w:val="16"/>
          <w:lang w:eastAsia="pt-BR"/>
        </w:rPr>
        <w:t>Dados extraídos de planilha de controle em 26/07/2017. Elaboração própria</w:t>
      </w:r>
    </w:p>
    <w:p w:rsidR="007A0FBF" w:rsidRPr="00B22C43" w:rsidRDefault="007A0FBF" w:rsidP="00573B97">
      <w:pPr>
        <w:spacing w:after="0" w:line="240" w:lineRule="auto"/>
        <w:jc w:val="both"/>
        <w:rPr>
          <w:rFonts w:eastAsia="Times New Roman" w:cs="Calibri"/>
          <w:i/>
          <w:spacing w:val="20"/>
          <w:sz w:val="16"/>
          <w:szCs w:val="16"/>
          <w:lang w:eastAsia="pt-BR"/>
        </w:rPr>
      </w:pPr>
    </w:p>
    <w:p w:rsidR="005832F9" w:rsidRPr="001C45F2" w:rsidRDefault="005832F9" w:rsidP="004546E6">
      <w:pPr>
        <w:rPr>
          <w:color w:val="E36C0A"/>
          <w:lang w:eastAsia="pt-BR"/>
        </w:rPr>
      </w:pPr>
      <w:bookmarkStart w:id="126" w:name="_Toc410404579"/>
      <w:bookmarkStart w:id="127" w:name="_Toc442180853"/>
    </w:p>
    <w:p w:rsidR="002C29D4" w:rsidRPr="001C45F2" w:rsidRDefault="002744EF" w:rsidP="001C45F2">
      <w:pPr>
        <w:pStyle w:val="Ttulo1"/>
        <w:spacing w:before="360"/>
        <w:rPr>
          <w:color w:val="E36C0A"/>
          <w:sz w:val="24"/>
          <w:szCs w:val="24"/>
          <w:lang w:eastAsia="pt-BR"/>
        </w:rPr>
      </w:pPr>
      <w:bookmarkStart w:id="128" w:name="_Toc490842903"/>
      <w:r>
        <w:rPr>
          <w:color w:val="E36C0A"/>
          <w:sz w:val="24"/>
          <w:szCs w:val="24"/>
          <w:lang w:eastAsia="pt-BR"/>
        </w:rPr>
        <w:t>9</w:t>
      </w:r>
      <w:r w:rsidR="002C29D4" w:rsidRPr="00B22C43">
        <w:rPr>
          <w:color w:val="E36C0A"/>
          <w:sz w:val="24"/>
          <w:szCs w:val="24"/>
          <w:lang w:eastAsia="pt-BR"/>
        </w:rPr>
        <w:t xml:space="preserve"> – PROCESSOS ADMINISTRATIVOS SANCIONADORES</w:t>
      </w:r>
      <w:bookmarkEnd w:id="126"/>
      <w:bookmarkEnd w:id="127"/>
      <w:bookmarkEnd w:id="128"/>
    </w:p>
    <w:p w:rsidR="00C712AD" w:rsidRPr="00B22C43" w:rsidRDefault="00C712AD" w:rsidP="00C712AD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b/>
          <w:bCs/>
          <w:color w:val="000000"/>
          <w:sz w:val="20"/>
          <w:szCs w:val="20"/>
          <w:lang w:eastAsia="pt-BR"/>
        </w:rPr>
      </w:pPr>
      <w:bookmarkStart w:id="129" w:name="_MON_1382429543"/>
      <w:bookmarkStart w:id="130" w:name="_MON_1382429735"/>
      <w:bookmarkStart w:id="131" w:name="_MON_1383576066"/>
      <w:bookmarkStart w:id="132" w:name="_MON_1384002406"/>
      <w:bookmarkStart w:id="133" w:name="_MON_1394006420"/>
      <w:bookmarkStart w:id="134" w:name="_MON_1394035687"/>
      <w:bookmarkEnd w:id="129"/>
      <w:bookmarkEnd w:id="130"/>
      <w:bookmarkEnd w:id="131"/>
      <w:bookmarkEnd w:id="132"/>
      <w:bookmarkEnd w:id="133"/>
      <w:bookmarkEnd w:id="134"/>
    </w:p>
    <w:p w:rsidR="00C712AD" w:rsidRPr="00B22C43" w:rsidRDefault="00C712AD" w:rsidP="005737D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22C43">
        <w:rPr>
          <w:rFonts w:cs="Arial"/>
        </w:rPr>
        <w:t>Os autos de infração lavrados pelos agentes de fiscalização originam processos administrativos sancionadores, que segu</w:t>
      </w:r>
      <w:r w:rsidR="00E16009" w:rsidRPr="00B22C43">
        <w:rPr>
          <w:rFonts w:cs="Arial"/>
        </w:rPr>
        <w:t xml:space="preserve">em </w:t>
      </w:r>
      <w:r w:rsidRPr="00B22C43">
        <w:rPr>
          <w:rFonts w:cs="Arial"/>
        </w:rPr>
        <w:t xml:space="preserve">rito estabelecido na legislação aplicável. </w:t>
      </w:r>
    </w:p>
    <w:p w:rsidR="00C712AD" w:rsidRPr="00B22C43" w:rsidRDefault="00C712AD" w:rsidP="005737D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C712AD" w:rsidRPr="00B22C43" w:rsidRDefault="00C712AD" w:rsidP="00C712AD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B22C43">
        <w:rPr>
          <w:rFonts w:cs="Arial"/>
        </w:rPr>
        <w:t>O gráfico 1</w:t>
      </w:r>
      <w:r w:rsidR="004546E6">
        <w:rPr>
          <w:rFonts w:cs="Arial"/>
        </w:rPr>
        <w:t>1</w:t>
      </w:r>
      <w:r w:rsidRPr="00B22C43">
        <w:rPr>
          <w:rFonts w:cs="Arial"/>
        </w:rPr>
        <w:t xml:space="preserve"> retrata o quantitativo de processos administrativos instaurados a partir d</w:t>
      </w:r>
      <w:r w:rsidR="00E36347" w:rsidRPr="00B22C43">
        <w:rPr>
          <w:rFonts w:cs="Arial"/>
        </w:rPr>
        <w:t>os</w:t>
      </w:r>
      <w:r w:rsidRPr="00B22C43">
        <w:rPr>
          <w:rFonts w:cs="Arial"/>
        </w:rPr>
        <w:t xml:space="preserve"> autos de infração lavrados pela SFI, </w:t>
      </w:r>
      <w:r w:rsidR="005737D8" w:rsidRPr="00B22C43">
        <w:rPr>
          <w:rFonts w:cs="Arial"/>
        </w:rPr>
        <w:t>pela Superintendência de Biocombustíveis e de Qualidade de Produtos (</w:t>
      </w:r>
      <w:r w:rsidRPr="00B22C43">
        <w:rPr>
          <w:rFonts w:cs="Arial"/>
        </w:rPr>
        <w:t>SBQ</w:t>
      </w:r>
      <w:r w:rsidR="005737D8" w:rsidRPr="00B22C43">
        <w:rPr>
          <w:rFonts w:cs="Arial"/>
        </w:rPr>
        <w:t>)</w:t>
      </w:r>
      <w:r w:rsidRPr="00B22C43">
        <w:rPr>
          <w:rFonts w:cs="Arial"/>
        </w:rPr>
        <w:t xml:space="preserve"> e</w:t>
      </w:r>
      <w:r w:rsidR="005737D8" w:rsidRPr="00B22C43">
        <w:rPr>
          <w:rFonts w:cs="Arial"/>
        </w:rPr>
        <w:t xml:space="preserve"> pela Superintendência de Abastecimento (</w:t>
      </w:r>
      <w:r w:rsidRPr="00B22C43">
        <w:rPr>
          <w:rFonts w:cs="Arial"/>
        </w:rPr>
        <w:t>SAB</w:t>
      </w:r>
      <w:r w:rsidR="005737D8" w:rsidRPr="00B22C43">
        <w:rPr>
          <w:rFonts w:cs="Arial"/>
        </w:rPr>
        <w:t>)</w:t>
      </w:r>
      <w:r w:rsidR="00E36347" w:rsidRPr="00B22C43">
        <w:rPr>
          <w:rFonts w:cs="Arial"/>
        </w:rPr>
        <w:t>. Além disso, é possível verificar o número de</w:t>
      </w:r>
      <w:r w:rsidRPr="00B22C43">
        <w:rPr>
          <w:rFonts w:cs="Arial"/>
        </w:rPr>
        <w:t xml:space="preserve"> processos instruídos e julgados em 1ª instância pelo Setor de Julgamento de Processos (SJP) e o estoque em 3</w:t>
      </w:r>
      <w:r w:rsidR="001D206F" w:rsidRPr="00B22C43">
        <w:rPr>
          <w:rFonts w:cs="Arial"/>
        </w:rPr>
        <w:t>0</w:t>
      </w:r>
      <w:r w:rsidRPr="00B22C43">
        <w:rPr>
          <w:rFonts w:cs="Arial"/>
        </w:rPr>
        <w:t>/</w:t>
      </w:r>
      <w:r w:rsidR="001D206F" w:rsidRPr="00B22C43">
        <w:rPr>
          <w:rFonts w:cs="Arial"/>
        </w:rPr>
        <w:t>06</w:t>
      </w:r>
      <w:r w:rsidRPr="00B22C43">
        <w:rPr>
          <w:rFonts w:cs="Arial"/>
        </w:rPr>
        <w:t>/201</w:t>
      </w:r>
      <w:r w:rsidR="0073269B">
        <w:rPr>
          <w:rFonts w:cs="Arial"/>
        </w:rPr>
        <w:t>7</w:t>
      </w:r>
      <w:r w:rsidR="005737D8" w:rsidRPr="00B22C43">
        <w:rPr>
          <w:rFonts w:cs="Arial"/>
        </w:rPr>
        <w:t>.</w:t>
      </w:r>
    </w:p>
    <w:p w:rsidR="00534A30" w:rsidRPr="00B22C43" w:rsidRDefault="00534A30" w:rsidP="00753901">
      <w:pPr>
        <w:spacing w:after="0" w:line="240" w:lineRule="auto"/>
        <w:contextualSpacing/>
        <w:jc w:val="both"/>
        <w:rPr>
          <w:rFonts w:cs="Helv"/>
          <w:color w:val="000000"/>
          <w:lang w:eastAsia="pt-BR"/>
        </w:rPr>
      </w:pPr>
    </w:p>
    <w:p w:rsidR="00411EFE" w:rsidRDefault="00411EFE" w:rsidP="0058370F">
      <w:pPr>
        <w:spacing w:after="0" w:line="240" w:lineRule="auto"/>
        <w:contextualSpacing/>
        <w:jc w:val="both"/>
        <w:rPr>
          <w:rFonts w:cs="Helv"/>
          <w:color w:val="000000"/>
          <w:lang w:eastAsia="pt-BR"/>
        </w:rPr>
      </w:pPr>
      <w:r w:rsidRPr="00B22C43">
        <w:rPr>
          <w:rFonts w:cs="Helv"/>
          <w:b/>
          <w:color w:val="000000"/>
          <w:lang w:eastAsia="pt-BR"/>
        </w:rPr>
        <w:t>GR</w:t>
      </w:r>
      <w:r w:rsidR="00534A30" w:rsidRPr="00B22C43">
        <w:rPr>
          <w:rFonts w:cs="Helv"/>
          <w:b/>
          <w:color w:val="000000"/>
          <w:lang w:eastAsia="pt-BR"/>
        </w:rPr>
        <w:t>Á</w:t>
      </w:r>
      <w:r w:rsidRPr="00B22C43">
        <w:rPr>
          <w:rFonts w:cs="Helv"/>
          <w:b/>
          <w:color w:val="000000"/>
          <w:lang w:eastAsia="pt-BR"/>
        </w:rPr>
        <w:t xml:space="preserve">FICO </w:t>
      </w:r>
      <w:r w:rsidR="00480B79" w:rsidRPr="00B22C43">
        <w:rPr>
          <w:rFonts w:cs="Helv"/>
          <w:b/>
          <w:color w:val="000000"/>
          <w:lang w:eastAsia="pt-BR"/>
        </w:rPr>
        <w:t>1</w:t>
      </w:r>
      <w:r w:rsidR="004546E6">
        <w:rPr>
          <w:rFonts w:cs="Helv"/>
          <w:b/>
          <w:color w:val="000000"/>
          <w:lang w:eastAsia="pt-BR"/>
        </w:rPr>
        <w:t>1</w:t>
      </w:r>
      <w:r w:rsidRPr="00B22C43">
        <w:rPr>
          <w:rFonts w:cs="Helv"/>
          <w:color w:val="000000"/>
          <w:lang w:eastAsia="pt-BR"/>
        </w:rPr>
        <w:t xml:space="preserve"> – Quantitativo de processos admini</w:t>
      </w:r>
      <w:r w:rsidR="005742B6" w:rsidRPr="00B22C43">
        <w:rPr>
          <w:rFonts w:cs="Helv"/>
          <w:color w:val="000000"/>
          <w:lang w:eastAsia="pt-BR"/>
        </w:rPr>
        <w:t>strativos</w:t>
      </w:r>
      <w:r w:rsidR="00EA1C6B" w:rsidRPr="00B22C43">
        <w:rPr>
          <w:rFonts w:cs="Helv"/>
          <w:color w:val="000000"/>
          <w:lang w:eastAsia="pt-BR"/>
        </w:rPr>
        <w:t>,</w:t>
      </w:r>
      <w:r w:rsidR="005742B6" w:rsidRPr="00B22C43">
        <w:rPr>
          <w:rFonts w:cs="Helv"/>
          <w:color w:val="000000"/>
          <w:lang w:eastAsia="pt-BR"/>
        </w:rPr>
        <w:t xml:space="preserve"> por status de </w:t>
      </w:r>
      <w:proofErr w:type="gramStart"/>
      <w:r w:rsidR="005742B6" w:rsidRPr="00B22C43">
        <w:rPr>
          <w:rFonts w:cs="Helv"/>
          <w:color w:val="000000"/>
          <w:lang w:eastAsia="pt-BR"/>
        </w:rPr>
        <w:t>análise</w:t>
      </w:r>
      <w:proofErr w:type="gramEnd"/>
    </w:p>
    <w:p w:rsidR="002C29D4" w:rsidRPr="00B22C43" w:rsidRDefault="00EC1C66" w:rsidP="00753901">
      <w:pPr>
        <w:spacing w:after="0" w:line="240" w:lineRule="auto"/>
        <w:contextualSpacing/>
        <w:jc w:val="center"/>
        <w:rPr>
          <w:rFonts w:cs="Arial"/>
        </w:rPr>
      </w:pPr>
      <w:r w:rsidRPr="00EC1C66">
        <w:rPr>
          <w:rFonts w:cs="Arial"/>
          <w:noProof/>
          <w:lang w:eastAsia="pt-BR"/>
        </w:rPr>
        <w:drawing>
          <wp:inline distT="0" distB="0" distL="0" distR="0">
            <wp:extent cx="4572000" cy="2035834"/>
            <wp:effectExtent l="0" t="0" r="0" b="0"/>
            <wp:docPr id="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54EE0" w:rsidRPr="00B22C43" w:rsidRDefault="00CF5915" w:rsidP="000675F5">
      <w:pPr>
        <w:tabs>
          <w:tab w:val="left" w:pos="851"/>
        </w:tabs>
        <w:spacing w:after="0"/>
        <w:contextualSpacing/>
        <w:jc w:val="center"/>
        <w:rPr>
          <w:sz w:val="16"/>
        </w:rPr>
      </w:pPr>
      <w:r w:rsidRPr="00B22C43">
        <w:rPr>
          <w:sz w:val="16"/>
        </w:rPr>
        <w:t>*Processos em diligência</w:t>
      </w:r>
    </w:p>
    <w:p w:rsidR="00CF5915" w:rsidRPr="00B22C43" w:rsidRDefault="00CF5915" w:rsidP="000675F5">
      <w:pPr>
        <w:tabs>
          <w:tab w:val="left" w:pos="851"/>
        </w:tabs>
        <w:spacing w:after="0"/>
        <w:contextualSpacing/>
        <w:jc w:val="center"/>
        <w:rPr>
          <w:sz w:val="10"/>
          <w:szCs w:val="10"/>
        </w:rPr>
      </w:pPr>
    </w:p>
    <w:p w:rsidR="001C21D6" w:rsidRPr="001C21D6" w:rsidRDefault="001C21D6" w:rsidP="001C21D6">
      <w:pPr>
        <w:tabs>
          <w:tab w:val="left" w:pos="851"/>
        </w:tabs>
        <w:spacing w:after="0" w:line="240" w:lineRule="auto"/>
        <w:contextualSpacing/>
        <w:jc w:val="center"/>
      </w:pPr>
    </w:p>
    <w:p w:rsidR="002C29D4" w:rsidRPr="00B22C43" w:rsidRDefault="00411EFE" w:rsidP="000675F5">
      <w:pPr>
        <w:tabs>
          <w:tab w:val="left" w:pos="851"/>
        </w:tabs>
        <w:spacing w:after="0"/>
        <w:contextualSpacing/>
        <w:jc w:val="center"/>
        <w:rPr>
          <w:noProof/>
          <w:sz w:val="16"/>
          <w:szCs w:val="16"/>
          <w:lang w:eastAsia="pt-BR"/>
        </w:rPr>
      </w:pPr>
      <w:r w:rsidRPr="00B22C43">
        <w:rPr>
          <w:sz w:val="16"/>
        </w:rPr>
        <w:t>Fonte:</w:t>
      </w:r>
      <w:r w:rsidR="000675F5" w:rsidRPr="00B22C43">
        <w:rPr>
          <w:noProof/>
          <w:sz w:val="16"/>
          <w:szCs w:val="16"/>
          <w:lang w:eastAsia="pt-BR"/>
        </w:rPr>
        <w:t xml:space="preserve"> Dados extraídos de planilha de controle do SJP/SFI</w:t>
      </w:r>
      <w:r w:rsidR="00FF2BF7" w:rsidRPr="00B22C43">
        <w:rPr>
          <w:noProof/>
          <w:sz w:val="16"/>
          <w:szCs w:val="16"/>
          <w:lang w:eastAsia="pt-BR"/>
        </w:rPr>
        <w:t xml:space="preserve"> em </w:t>
      </w:r>
      <w:r w:rsidR="00B83885" w:rsidRPr="00B22C43">
        <w:rPr>
          <w:noProof/>
          <w:sz w:val="16"/>
          <w:szCs w:val="16"/>
          <w:lang w:eastAsia="pt-BR"/>
        </w:rPr>
        <w:t>25</w:t>
      </w:r>
      <w:r w:rsidR="00FF2BF7" w:rsidRPr="00B22C43">
        <w:rPr>
          <w:noProof/>
          <w:sz w:val="16"/>
          <w:szCs w:val="16"/>
          <w:lang w:eastAsia="pt-BR"/>
        </w:rPr>
        <w:t>/</w:t>
      </w:r>
      <w:r w:rsidR="00B83885" w:rsidRPr="00B22C43">
        <w:rPr>
          <w:noProof/>
          <w:sz w:val="16"/>
          <w:szCs w:val="16"/>
          <w:lang w:eastAsia="pt-BR"/>
        </w:rPr>
        <w:t>07</w:t>
      </w:r>
      <w:r w:rsidR="00FF2BF7" w:rsidRPr="00B22C43">
        <w:rPr>
          <w:noProof/>
          <w:sz w:val="16"/>
          <w:szCs w:val="16"/>
          <w:lang w:eastAsia="pt-BR"/>
        </w:rPr>
        <w:t>/</w:t>
      </w:r>
      <w:r w:rsidR="00B83885" w:rsidRPr="00B22C43">
        <w:rPr>
          <w:noProof/>
          <w:sz w:val="16"/>
          <w:szCs w:val="16"/>
          <w:lang w:eastAsia="pt-BR"/>
        </w:rPr>
        <w:t>17.</w:t>
      </w:r>
      <w:r w:rsidR="000675F5" w:rsidRPr="00B22C43">
        <w:rPr>
          <w:noProof/>
          <w:sz w:val="16"/>
          <w:szCs w:val="16"/>
          <w:lang w:eastAsia="pt-BR"/>
        </w:rPr>
        <w:t xml:space="preserve"> Elaboração própria</w:t>
      </w:r>
      <w:r w:rsidR="008E7970" w:rsidRPr="00B22C43">
        <w:rPr>
          <w:noProof/>
          <w:sz w:val="16"/>
          <w:szCs w:val="16"/>
          <w:lang w:eastAsia="pt-BR"/>
        </w:rPr>
        <w:t>.</w:t>
      </w:r>
    </w:p>
    <w:p w:rsidR="004400C3" w:rsidRPr="004400C3" w:rsidRDefault="004400C3" w:rsidP="000675F5">
      <w:pPr>
        <w:tabs>
          <w:tab w:val="left" w:pos="851"/>
        </w:tabs>
        <w:spacing w:after="0"/>
        <w:contextualSpacing/>
        <w:jc w:val="center"/>
        <w:rPr>
          <w:noProof/>
          <w:sz w:val="24"/>
          <w:szCs w:val="16"/>
          <w:lang w:eastAsia="pt-BR"/>
        </w:rPr>
      </w:pPr>
    </w:p>
    <w:p w:rsidR="00510012" w:rsidRDefault="00EC1C66" w:rsidP="00B8388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cs="Helv"/>
          <w:color w:val="000000"/>
          <w:lang w:eastAsia="pt-BR"/>
        </w:rPr>
      </w:pPr>
      <w:r>
        <w:rPr>
          <w:rFonts w:cs="Helv"/>
          <w:color w:val="000000"/>
          <w:lang w:eastAsia="pt-BR"/>
        </w:rPr>
        <w:t xml:space="preserve">O estoque final do primeiro semestre de 2017 é </w:t>
      </w:r>
      <w:r w:rsidR="001246A6">
        <w:rPr>
          <w:rFonts w:cs="Helv"/>
          <w:color w:val="000000"/>
          <w:lang w:eastAsia="pt-BR"/>
        </w:rPr>
        <w:t>calculado</w:t>
      </w:r>
      <w:r>
        <w:rPr>
          <w:rFonts w:cs="Helv"/>
          <w:color w:val="000000"/>
          <w:lang w:eastAsia="pt-BR"/>
        </w:rPr>
        <w:t xml:space="preserve"> somando-se ao estoque final do ano de 201</w:t>
      </w:r>
      <w:r w:rsidR="001246A6">
        <w:rPr>
          <w:rFonts w:cs="Helv"/>
          <w:color w:val="000000"/>
          <w:lang w:eastAsia="pt-BR"/>
        </w:rPr>
        <w:t>6</w:t>
      </w:r>
      <w:r>
        <w:rPr>
          <w:rFonts w:cs="Helv"/>
          <w:color w:val="000000"/>
          <w:lang w:eastAsia="pt-BR"/>
        </w:rPr>
        <w:t xml:space="preserve"> os processos instruídos em 2017, menos os processos julgados nesse mesmo períod</w:t>
      </w:r>
      <w:r w:rsidR="001246A6">
        <w:rPr>
          <w:rFonts w:cs="Helv"/>
          <w:color w:val="000000"/>
          <w:lang w:eastAsia="pt-BR"/>
        </w:rPr>
        <w:t xml:space="preserve">o. Além disso, </w:t>
      </w:r>
      <w:proofErr w:type="gramStart"/>
      <w:r w:rsidR="001246A6">
        <w:rPr>
          <w:rFonts w:cs="Helv"/>
          <w:color w:val="000000"/>
          <w:lang w:eastAsia="pt-BR"/>
        </w:rPr>
        <w:t>deve-se</w:t>
      </w:r>
      <w:proofErr w:type="gramEnd"/>
      <w:r w:rsidR="001246A6">
        <w:rPr>
          <w:rFonts w:cs="Helv"/>
          <w:color w:val="000000"/>
          <w:lang w:eastAsia="pt-BR"/>
        </w:rPr>
        <w:t xml:space="preserve"> adicionar os processos que deram entrado nos Núcleos Regionais de Fiscalização por outros motivos, como por exemplo, diligências.</w:t>
      </w:r>
    </w:p>
    <w:p w:rsidR="001C45F2" w:rsidRDefault="001C45F2" w:rsidP="001C45F2">
      <w:pPr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cs="Helv"/>
          <w:color w:val="000000"/>
          <w:lang w:eastAsia="pt-BR"/>
        </w:rPr>
      </w:pPr>
    </w:p>
    <w:p w:rsidR="007B15F7" w:rsidRDefault="007B15F7" w:rsidP="001C45F2">
      <w:pPr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cs="Helv"/>
          <w:color w:val="000000"/>
          <w:lang w:eastAsia="pt-BR"/>
        </w:rPr>
      </w:pPr>
    </w:p>
    <w:p w:rsidR="009837FD" w:rsidRDefault="009837FD" w:rsidP="001C45F2">
      <w:pPr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cs="Helv"/>
          <w:color w:val="000000"/>
          <w:lang w:eastAsia="pt-BR"/>
        </w:rPr>
      </w:pPr>
    </w:p>
    <w:p w:rsidR="009837FD" w:rsidRDefault="009837FD" w:rsidP="001C45F2">
      <w:pPr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cs="Helv"/>
          <w:color w:val="000000"/>
          <w:lang w:eastAsia="pt-BR"/>
        </w:rPr>
      </w:pPr>
    </w:p>
    <w:p w:rsidR="009837FD" w:rsidRDefault="009837FD" w:rsidP="001C45F2">
      <w:pPr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cs="Helv"/>
          <w:color w:val="000000"/>
          <w:lang w:eastAsia="pt-BR"/>
        </w:rPr>
      </w:pPr>
    </w:p>
    <w:p w:rsidR="007B15F7" w:rsidRDefault="007B15F7" w:rsidP="001C45F2">
      <w:pPr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cs="Helv"/>
          <w:color w:val="000000"/>
          <w:lang w:eastAsia="pt-BR"/>
        </w:rPr>
      </w:pPr>
    </w:p>
    <w:p w:rsidR="007B15F7" w:rsidRPr="00B22C43" w:rsidRDefault="007B15F7" w:rsidP="001C45F2">
      <w:pPr>
        <w:tabs>
          <w:tab w:val="left" w:pos="851"/>
        </w:tabs>
        <w:autoSpaceDE w:val="0"/>
        <w:autoSpaceDN w:val="0"/>
        <w:adjustRightInd w:val="0"/>
        <w:spacing w:after="0"/>
        <w:contextualSpacing/>
        <w:jc w:val="both"/>
        <w:rPr>
          <w:rFonts w:cs="Helv"/>
          <w:color w:val="000000"/>
          <w:lang w:eastAsia="pt-BR"/>
        </w:rPr>
      </w:pPr>
    </w:p>
    <w:p w:rsidR="00A96943" w:rsidRDefault="00B0761A" w:rsidP="00B0761A">
      <w:pPr>
        <w:pStyle w:val="Ttulo1"/>
        <w:spacing w:before="360"/>
        <w:rPr>
          <w:color w:val="E36C0A"/>
          <w:sz w:val="24"/>
          <w:szCs w:val="24"/>
          <w:lang w:eastAsia="pt-BR"/>
        </w:rPr>
      </w:pPr>
      <w:bookmarkStart w:id="135" w:name="_Toc490842904"/>
      <w:bookmarkEnd w:id="123"/>
      <w:r w:rsidRPr="007B3D87">
        <w:rPr>
          <w:color w:val="E36C0A"/>
          <w:sz w:val="24"/>
          <w:szCs w:val="24"/>
          <w:lang w:eastAsia="pt-BR"/>
        </w:rPr>
        <w:lastRenderedPageBreak/>
        <w:t xml:space="preserve">10 </w:t>
      </w:r>
      <w:proofErr w:type="gramStart"/>
      <w:r w:rsidRPr="007B3D87">
        <w:rPr>
          <w:color w:val="E36C0A"/>
          <w:sz w:val="24"/>
          <w:szCs w:val="24"/>
          <w:lang w:eastAsia="pt-BR"/>
        </w:rPr>
        <w:t>–DESTAQUES</w:t>
      </w:r>
      <w:bookmarkEnd w:id="135"/>
      <w:proofErr w:type="gramEnd"/>
    </w:p>
    <w:p w:rsidR="00DC580B" w:rsidRPr="00DC580B" w:rsidRDefault="00DC580B" w:rsidP="00DC580B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="Helv"/>
          <w:color w:val="000000"/>
          <w:sz w:val="22"/>
          <w:szCs w:val="22"/>
        </w:rPr>
      </w:pPr>
      <w:r w:rsidRPr="00DC580B">
        <w:rPr>
          <w:rFonts w:asciiTheme="minorHAnsi" w:hAnsiTheme="minorHAnsi" w:cs="Helv"/>
          <w:color w:val="000000"/>
          <w:sz w:val="22"/>
          <w:szCs w:val="22"/>
        </w:rPr>
        <w:t>Em resolução recente, a ANP atualizou a Medida Reparadora de Conduta (MRC), procedimento de fiscalização com fundamento legal no art. 16 do Anexo I do Decreto nº 2.455, de 14 de janeiro de 1998, que, entre outros dispositivos, atribui à fiscalização exercida pela ANP sentido de educação e orientação dos agentes do setor. Trata-se da aplicação de um conceito legal mais amplo da fiscalização. São três as principais mudanças previstas no instituto da MRC: alteração do critério de aplicação (passa a ser vinculada ao fato gerador da irregularidade); uniformização em cinco dias úteis para cumprimento; e ampliação do escopo de sete para 17 segmentos econômicos. Irregularidades identificadas pela fiscalização da ANP, que causam impacto ao consumidor, ao ambiente concorrencial e à segurança da vida, do meio ambiente e ao patrimônio não são tratadas pela MRC.</w:t>
      </w:r>
    </w:p>
    <w:p w:rsidR="00DC580B" w:rsidRPr="00DC580B" w:rsidRDefault="00DC580B" w:rsidP="004D23CF">
      <w:pPr>
        <w:pStyle w:val="PargrafodaLista"/>
        <w:jc w:val="both"/>
        <w:rPr>
          <w:rFonts w:asciiTheme="minorHAnsi" w:hAnsiTheme="minorHAnsi" w:cs="Helv"/>
          <w:color w:val="000000"/>
          <w:sz w:val="22"/>
          <w:szCs w:val="22"/>
        </w:rPr>
      </w:pPr>
    </w:p>
    <w:p w:rsidR="009837FD" w:rsidRDefault="00DC580B" w:rsidP="00DC580B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="Helv"/>
          <w:color w:val="000000"/>
          <w:sz w:val="22"/>
          <w:szCs w:val="22"/>
        </w:rPr>
      </w:pPr>
      <w:r w:rsidRPr="00DC580B">
        <w:rPr>
          <w:rFonts w:asciiTheme="minorHAnsi" w:hAnsiTheme="minorHAnsi" w:cs="Helv"/>
          <w:color w:val="000000"/>
          <w:sz w:val="22"/>
          <w:szCs w:val="22"/>
        </w:rPr>
        <w:t>Em comemoração ao Dia do Consumidor (15 de março), a ANP realizou ações em 14 cidades de oito estados e do Distrito Federal para conscientizar a população sobre seus direitos na compra de combustíveis, atendendo cerca de mil consumidores. A estimativa é de que aproximadamente quatro mil pessoas estiveram nos postos em que as ações estavam sendo realizadas. Na ação, os consumidores foram orientados com relação às características dos produtos, controle de qualidade e quantidade, regras de comercialização, direitos e como denunciar suspeitas de irregularidades.</w:t>
      </w:r>
    </w:p>
    <w:p w:rsidR="004D23CF" w:rsidRPr="009837FD" w:rsidRDefault="004D23CF" w:rsidP="004D23CF">
      <w:pPr>
        <w:pStyle w:val="PargrafodaLista"/>
        <w:jc w:val="both"/>
        <w:rPr>
          <w:rFonts w:asciiTheme="minorHAnsi" w:hAnsiTheme="minorHAnsi" w:cs="Helv"/>
          <w:color w:val="000000"/>
          <w:sz w:val="22"/>
          <w:szCs w:val="22"/>
        </w:rPr>
      </w:pPr>
    </w:p>
    <w:p w:rsidR="006A1408" w:rsidRPr="00102AE6" w:rsidRDefault="006A1408" w:rsidP="009837FD">
      <w:pPr>
        <w:pStyle w:val="PargrafodaLista"/>
        <w:numPr>
          <w:ilvl w:val="0"/>
          <w:numId w:val="26"/>
        </w:numPr>
        <w:jc w:val="both"/>
        <w:rPr>
          <w:rFonts w:asciiTheme="minorHAnsi" w:hAnsiTheme="minorHAnsi" w:cs="Helv"/>
          <w:color w:val="000000"/>
          <w:sz w:val="22"/>
          <w:szCs w:val="22"/>
        </w:rPr>
      </w:pPr>
      <w:r w:rsidRPr="00102AE6">
        <w:rPr>
          <w:rFonts w:asciiTheme="minorHAnsi" w:hAnsiTheme="minorHAnsi" w:cs="Helv"/>
          <w:color w:val="000000"/>
          <w:sz w:val="22"/>
          <w:szCs w:val="22"/>
        </w:rPr>
        <w:t>Considerando que uma das atribuições da ANP é orientar e educar os agentes econômicos regulados, no sentido de atender as necessidades dos consumidores e dos usuários do abastecimento de combustíveis, a SFI passou a adotar novo procedimento em relação às denúncias do Centro de Relações com o Consumidor.</w:t>
      </w:r>
    </w:p>
    <w:p w:rsidR="009837FD" w:rsidRPr="00102AE6" w:rsidRDefault="009837FD" w:rsidP="009837FD">
      <w:pPr>
        <w:pStyle w:val="PargrafodaLista"/>
        <w:jc w:val="both"/>
        <w:rPr>
          <w:rFonts w:asciiTheme="minorHAnsi" w:hAnsiTheme="minorHAnsi" w:cs="Helv"/>
          <w:color w:val="000000"/>
          <w:sz w:val="22"/>
          <w:szCs w:val="22"/>
        </w:rPr>
      </w:pPr>
    </w:p>
    <w:p w:rsidR="006A1408" w:rsidRPr="00102AE6" w:rsidRDefault="006A1408" w:rsidP="009837FD">
      <w:pPr>
        <w:pStyle w:val="PargrafodaLista"/>
        <w:jc w:val="both"/>
        <w:rPr>
          <w:rFonts w:asciiTheme="minorHAnsi" w:hAnsiTheme="minorHAnsi" w:cs="Helv"/>
          <w:color w:val="000000"/>
          <w:sz w:val="22"/>
          <w:szCs w:val="22"/>
        </w:rPr>
      </w:pPr>
      <w:r w:rsidRPr="00102AE6">
        <w:rPr>
          <w:rFonts w:asciiTheme="minorHAnsi" w:hAnsiTheme="minorHAnsi" w:cs="Helv"/>
          <w:color w:val="000000"/>
          <w:sz w:val="22"/>
          <w:szCs w:val="22"/>
        </w:rPr>
        <w:t xml:space="preserve">Após a análise dessas denúncias, os agentes econômicos que não foram fiscalizados in loco receberam comunicados por email ou por Ofício sobre a motivação das denúncias e foram orientados a tomar as providências cabíveis para corrigir as irregularidades, </w:t>
      </w:r>
      <w:proofErr w:type="gramStart"/>
      <w:r w:rsidRPr="00102AE6">
        <w:rPr>
          <w:rFonts w:asciiTheme="minorHAnsi" w:hAnsiTheme="minorHAnsi" w:cs="Helv"/>
          <w:color w:val="000000"/>
          <w:sz w:val="22"/>
          <w:szCs w:val="22"/>
        </w:rPr>
        <w:t>sob pena</w:t>
      </w:r>
      <w:proofErr w:type="gramEnd"/>
      <w:r w:rsidRPr="00102AE6">
        <w:rPr>
          <w:rFonts w:asciiTheme="minorHAnsi" w:hAnsiTheme="minorHAnsi" w:cs="Helv"/>
          <w:color w:val="000000"/>
          <w:sz w:val="22"/>
          <w:szCs w:val="22"/>
        </w:rPr>
        <w:t xml:space="preserve"> de autuação da ANP de acordo com a Lei n. 9.847/1999.</w:t>
      </w:r>
    </w:p>
    <w:p w:rsidR="006D454E" w:rsidRPr="00102AE6" w:rsidRDefault="006D454E" w:rsidP="009837FD">
      <w:pPr>
        <w:pStyle w:val="PargrafodaLista"/>
        <w:jc w:val="both"/>
        <w:rPr>
          <w:rFonts w:asciiTheme="minorHAnsi" w:hAnsiTheme="minorHAnsi" w:cs="Helv"/>
          <w:color w:val="000000"/>
          <w:sz w:val="22"/>
          <w:szCs w:val="22"/>
        </w:rPr>
      </w:pPr>
    </w:p>
    <w:p w:rsidR="00B473BE" w:rsidRPr="00102AE6" w:rsidRDefault="00D704A6" w:rsidP="00836EEA">
      <w:pPr>
        <w:pStyle w:val="PargrafodaLista"/>
        <w:numPr>
          <w:ilvl w:val="0"/>
          <w:numId w:val="26"/>
        </w:numPr>
        <w:spacing w:after="120"/>
        <w:contextualSpacing w:val="0"/>
        <w:jc w:val="both"/>
        <w:rPr>
          <w:rFonts w:asciiTheme="minorHAnsi" w:hAnsiTheme="minorHAnsi" w:cs="Helv"/>
          <w:color w:val="000000"/>
          <w:sz w:val="22"/>
          <w:szCs w:val="22"/>
        </w:rPr>
      </w:pPr>
      <w:r w:rsidRPr="00102AE6">
        <w:rPr>
          <w:rFonts w:asciiTheme="minorHAnsi" w:hAnsiTheme="minorHAnsi" w:cs="Helv"/>
          <w:color w:val="000000"/>
          <w:sz w:val="22"/>
          <w:szCs w:val="22"/>
        </w:rPr>
        <w:t xml:space="preserve">ANP se fez presente por de meio da </w:t>
      </w:r>
      <w:proofErr w:type="gramStart"/>
      <w:r w:rsidRPr="00102AE6">
        <w:rPr>
          <w:rFonts w:asciiTheme="minorHAnsi" w:hAnsiTheme="minorHAnsi" w:cs="Helv"/>
          <w:color w:val="000000"/>
          <w:sz w:val="22"/>
          <w:szCs w:val="22"/>
        </w:rPr>
        <w:t>implementação</w:t>
      </w:r>
      <w:proofErr w:type="gramEnd"/>
      <w:r w:rsidRPr="00102AE6">
        <w:rPr>
          <w:rFonts w:asciiTheme="minorHAnsi" w:hAnsiTheme="minorHAnsi" w:cs="Helv"/>
          <w:color w:val="000000"/>
          <w:sz w:val="22"/>
          <w:szCs w:val="22"/>
        </w:rPr>
        <w:t xml:space="preserve"> de ações de fiscalização durante os finais de semana visando coibir atos ilegais praticados po</w:t>
      </w:r>
      <w:r w:rsidR="00B473BE" w:rsidRPr="00102AE6">
        <w:rPr>
          <w:rFonts w:asciiTheme="minorHAnsi" w:hAnsiTheme="minorHAnsi" w:cs="Helv"/>
          <w:color w:val="000000"/>
          <w:sz w:val="22"/>
          <w:szCs w:val="22"/>
        </w:rPr>
        <w:t xml:space="preserve">r agentes </w:t>
      </w:r>
      <w:r w:rsidR="00850D54" w:rsidRPr="00102AE6">
        <w:rPr>
          <w:rFonts w:asciiTheme="minorHAnsi" w:hAnsiTheme="minorHAnsi" w:cs="Helv"/>
          <w:color w:val="000000"/>
          <w:sz w:val="22"/>
          <w:szCs w:val="22"/>
        </w:rPr>
        <w:t>econômicos</w:t>
      </w:r>
      <w:r w:rsidR="00B473BE" w:rsidRPr="00102AE6">
        <w:rPr>
          <w:rFonts w:asciiTheme="minorHAnsi" w:hAnsiTheme="minorHAnsi" w:cs="Helv"/>
          <w:color w:val="000000"/>
          <w:sz w:val="22"/>
          <w:szCs w:val="22"/>
        </w:rPr>
        <w:t xml:space="preserve">, bem como: </w:t>
      </w:r>
    </w:p>
    <w:p w:rsidR="00B473BE" w:rsidRPr="00102AE6" w:rsidRDefault="00B473BE" w:rsidP="00836EEA">
      <w:pPr>
        <w:pStyle w:val="PargrafodaLista"/>
        <w:numPr>
          <w:ilvl w:val="0"/>
          <w:numId w:val="27"/>
        </w:numPr>
        <w:spacing w:after="120"/>
        <w:ind w:left="1434" w:hanging="357"/>
        <w:contextualSpacing w:val="0"/>
        <w:jc w:val="both"/>
        <w:rPr>
          <w:rFonts w:asciiTheme="minorHAnsi" w:hAnsiTheme="minorHAnsi" w:cs="Helv"/>
          <w:color w:val="000000"/>
          <w:sz w:val="22"/>
          <w:szCs w:val="22"/>
        </w:rPr>
      </w:pPr>
      <w:proofErr w:type="gramStart"/>
      <w:r w:rsidRPr="00102AE6">
        <w:rPr>
          <w:rFonts w:asciiTheme="minorHAnsi" w:hAnsiTheme="minorHAnsi" w:cs="Helv"/>
          <w:color w:val="000000"/>
          <w:sz w:val="22"/>
          <w:szCs w:val="22"/>
        </w:rPr>
        <w:t>ação</w:t>
      </w:r>
      <w:proofErr w:type="gramEnd"/>
      <w:r w:rsidRPr="00102AE6">
        <w:rPr>
          <w:rFonts w:asciiTheme="minorHAnsi" w:hAnsiTheme="minorHAnsi" w:cs="Helv"/>
          <w:color w:val="000000"/>
          <w:sz w:val="22"/>
          <w:szCs w:val="22"/>
        </w:rPr>
        <w:t xml:space="preserve"> conjunta com </w:t>
      </w:r>
      <w:r w:rsidR="005779DD" w:rsidRPr="00102AE6">
        <w:rPr>
          <w:rFonts w:asciiTheme="minorHAnsi" w:hAnsiTheme="minorHAnsi" w:cs="Helv"/>
          <w:color w:val="000000"/>
          <w:sz w:val="22"/>
          <w:szCs w:val="22"/>
        </w:rPr>
        <w:t xml:space="preserve">o </w:t>
      </w:r>
      <w:proofErr w:type="spellStart"/>
      <w:r w:rsidRPr="00102AE6">
        <w:rPr>
          <w:rFonts w:asciiTheme="minorHAnsi" w:hAnsiTheme="minorHAnsi" w:cs="Helv"/>
          <w:color w:val="000000"/>
          <w:sz w:val="22"/>
          <w:szCs w:val="22"/>
        </w:rPr>
        <w:t>Procon</w:t>
      </w:r>
      <w:proofErr w:type="spellEnd"/>
      <w:r w:rsidRPr="00102AE6">
        <w:rPr>
          <w:rFonts w:asciiTheme="minorHAnsi" w:hAnsiTheme="minorHAnsi" w:cs="Helv"/>
          <w:color w:val="000000"/>
          <w:sz w:val="22"/>
          <w:szCs w:val="22"/>
        </w:rPr>
        <w:t xml:space="preserve"> Municipal de Canoas/RS durante o </w:t>
      </w:r>
      <w:r w:rsidR="0026288C" w:rsidRPr="00102AE6">
        <w:rPr>
          <w:rFonts w:asciiTheme="minorHAnsi" w:hAnsiTheme="minorHAnsi" w:cs="Helv"/>
          <w:bCs/>
          <w:color w:val="000000"/>
          <w:sz w:val="22"/>
          <w:szCs w:val="22"/>
        </w:rPr>
        <w:t>Dia do C</w:t>
      </w:r>
      <w:r w:rsidRPr="00102AE6">
        <w:rPr>
          <w:rFonts w:asciiTheme="minorHAnsi" w:hAnsiTheme="minorHAnsi" w:cs="Helv"/>
          <w:bCs/>
          <w:color w:val="000000"/>
          <w:sz w:val="22"/>
          <w:szCs w:val="22"/>
        </w:rPr>
        <w:t>onsumidor</w:t>
      </w:r>
      <w:r w:rsidRPr="00102AE6">
        <w:rPr>
          <w:rFonts w:asciiTheme="minorHAnsi" w:hAnsiTheme="minorHAnsi" w:cs="Helv"/>
          <w:b/>
          <w:bCs/>
          <w:color w:val="000000"/>
          <w:sz w:val="22"/>
          <w:szCs w:val="22"/>
        </w:rPr>
        <w:t xml:space="preserve">, </w:t>
      </w:r>
      <w:r w:rsidRPr="00102AE6">
        <w:rPr>
          <w:rFonts w:asciiTheme="minorHAnsi" w:hAnsiTheme="minorHAnsi" w:cs="Helv"/>
          <w:bCs/>
          <w:color w:val="000000"/>
          <w:sz w:val="22"/>
          <w:szCs w:val="22"/>
        </w:rPr>
        <w:t>realizando conscientização dos direitos do consumidor</w:t>
      </w:r>
      <w:r w:rsidRPr="00102AE6">
        <w:rPr>
          <w:rFonts w:asciiTheme="minorHAnsi" w:hAnsiTheme="minorHAnsi" w:cs="Helv"/>
          <w:color w:val="000000"/>
          <w:sz w:val="22"/>
          <w:szCs w:val="22"/>
        </w:rPr>
        <w:t xml:space="preserve"> em relação ao fornecimento de combustível automotivo pelos postos, além de demonstração dos testes de qualidade dos combustíveis realizados pela fiscalização</w:t>
      </w:r>
      <w:r w:rsidRPr="00102AE6">
        <w:rPr>
          <w:rFonts w:ascii="Helv" w:hAnsi="Helv" w:cs="Helv"/>
          <w:color w:val="000000"/>
          <w:sz w:val="22"/>
          <w:szCs w:val="22"/>
        </w:rPr>
        <w:t>;</w:t>
      </w:r>
    </w:p>
    <w:p w:rsidR="00B473BE" w:rsidRPr="00102AE6" w:rsidRDefault="00422282" w:rsidP="0026288C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120"/>
        <w:ind w:left="1434" w:hanging="357"/>
        <w:contextualSpacing w:val="0"/>
        <w:jc w:val="both"/>
        <w:rPr>
          <w:rFonts w:ascii="Calibri" w:hAnsi="Calibri" w:cs="Helv"/>
          <w:sz w:val="22"/>
          <w:szCs w:val="22"/>
        </w:rPr>
      </w:pPr>
      <w:proofErr w:type="gramStart"/>
      <w:r w:rsidRPr="00102AE6">
        <w:rPr>
          <w:rFonts w:ascii="Calibri" w:hAnsi="Calibri" w:cs="Helv"/>
          <w:color w:val="000000"/>
          <w:sz w:val="22"/>
          <w:szCs w:val="22"/>
        </w:rPr>
        <w:t>treinamento</w:t>
      </w:r>
      <w:proofErr w:type="gramEnd"/>
      <w:r w:rsidRPr="00102AE6">
        <w:rPr>
          <w:rFonts w:ascii="Calibri" w:hAnsi="Calibri" w:cs="Helv"/>
          <w:color w:val="000000"/>
          <w:sz w:val="22"/>
          <w:szCs w:val="22"/>
        </w:rPr>
        <w:t xml:space="preserve"> do “Manual de Procedimentos de Fiscalização </w:t>
      </w:r>
      <w:r w:rsidRPr="00102AE6">
        <w:rPr>
          <w:rFonts w:ascii="Calibri" w:hAnsi="Calibri" w:cs="Helv"/>
          <w:sz w:val="22"/>
          <w:szCs w:val="22"/>
        </w:rPr>
        <w:t xml:space="preserve">em Postos Revendedores de Combustíveis” e </w:t>
      </w:r>
      <w:r w:rsidRPr="00102AE6">
        <w:rPr>
          <w:rFonts w:ascii="Calibri" w:hAnsi="Calibri" w:cs="Helv"/>
          <w:color w:val="000000"/>
          <w:sz w:val="22"/>
          <w:szCs w:val="22"/>
        </w:rPr>
        <w:t xml:space="preserve">ação conjunta com o </w:t>
      </w:r>
      <w:proofErr w:type="spellStart"/>
      <w:r w:rsidRPr="00102AE6">
        <w:rPr>
          <w:rFonts w:ascii="Calibri" w:hAnsi="Calibri" w:cs="Helv"/>
          <w:color w:val="000000"/>
          <w:sz w:val="22"/>
          <w:szCs w:val="22"/>
        </w:rPr>
        <w:t>Procon</w:t>
      </w:r>
      <w:proofErr w:type="spellEnd"/>
      <w:r w:rsidRPr="00102AE6">
        <w:rPr>
          <w:rFonts w:ascii="Calibri" w:hAnsi="Calibri" w:cs="Helv"/>
          <w:color w:val="000000"/>
          <w:sz w:val="22"/>
          <w:szCs w:val="22"/>
        </w:rPr>
        <w:t>/</w:t>
      </w:r>
      <w:r w:rsidR="00B473BE" w:rsidRPr="00102AE6">
        <w:rPr>
          <w:rFonts w:ascii="Calibri" w:hAnsi="Calibri" w:cs="Helv"/>
          <w:color w:val="000000"/>
          <w:sz w:val="22"/>
          <w:szCs w:val="22"/>
        </w:rPr>
        <w:t>MG</w:t>
      </w:r>
      <w:r w:rsidR="0026288C" w:rsidRPr="00102AE6">
        <w:rPr>
          <w:rFonts w:ascii="Calibri" w:hAnsi="Calibri" w:cs="Helv"/>
          <w:color w:val="000000"/>
          <w:sz w:val="22"/>
          <w:szCs w:val="22"/>
        </w:rPr>
        <w:t>,</w:t>
      </w:r>
      <w:r w:rsidR="00B473BE" w:rsidRPr="00102AE6">
        <w:rPr>
          <w:rFonts w:ascii="Calibri" w:hAnsi="Calibri" w:cs="Helv"/>
          <w:color w:val="000000"/>
          <w:sz w:val="22"/>
          <w:szCs w:val="22"/>
        </w:rPr>
        <w:t xml:space="preserve"> </w:t>
      </w:r>
      <w:r w:rsidRPr="00102AE6">
        <w:rPr>
          <w:rFonts w:ascii="Calibri" w:hAnsi="Calibri" w:cs="Helv"/>
          <w:color w:val="000000"/>
          <w:sz w:val="22"/>
          <w:szCs w:val="22"/>
        </w:rPr>
        <w:t>o que</w:t>
      </w:r>
      <w:r w:rsidR="00B473BE" w:rsidRPr="00102AE6">
        <w:rPr>
          <w:rFonts w:ascii="Calibri" w:hAnsi="Calibri" w:cs="Helv"/>
          <w:color w:val="000000"/>
          <w:sz w:val="22"/>
          <w:szCs w:val="22"/>
        </w:rPr>
        <w:t xml:space="preserve"> permitiu estreitar relações com es</w:t>
      </w:r>
      <w:r w:rsidR="0026288C" w:rsidRPr="00102AE6">
        <w:rPr>
          <w:rFonts w:ascii="Calibri" w:hAnsi="Calibri" w:cs="Helv"/>
          <w:color w:val="000000"/>
          <w:sz w:val="22"/>
          <w:szCs w:val="22"/>
        </w:rPr>
        <w:t>s</w:t>
      </w:r>
      <w:r w:rsidR="00B473BE" w:rsidRPr="00102AE6">
        <w:rPr>
          <w:rFonts w:ascii="Calibri" w:hAnsi="Calibri" w:cs="Helv"/>
          <w:color w:val="000000"/>
          <w:sz w:val="22"/>
          <w:szCs w:val="22"/>
        </w:rPr>
        <w:t>e órgão</w:t>
      </w:r>
      <w:r w:rsidR="0026288C" w:rsidRPr="00102AE6">
        <w:rPr>
          <w:rFonts w:ascii="Calibri" w:hAnsi="Calibri" w:cs="Helv"/>
          <w:sz w:val="22"/>
          <w:szCs w:val="22"/>
        </w:rPr>
        <w:t>;</w:t>
      </w:r>
    </w:p>
    <w:p w:rsidR="00E41B65" w:rsidRPr="00102AE6" w:rsidRDefault="0026288C" w:rsidP="0026288C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120"/>
        <w:ind w:left="1434" w:hanging="357"/>
        <w:contextualSpacing w:val="0"/>
        <w:jc w:val="both"/>
        <w:rPr>
          <w:rFonts w:ascii="Calibri" w:hAnsi="Calibri" w:cs="Helv"/>
          <w:color w:val="000000"/>
          <w:sz w:val="22"/>
          <w:szCs w:val="22"/>
        </w:rPr>
      </w:pPr>
      <w:proofErr w:type="gramStart"/>
      <w:r w:rsidRPr="00102AE6">
        <w:rPr>
          <w:rFonts w:ascii="Calibri" w:hAnsi="Calibri"/>
          <w:color w:val="000000"/>
          <w:sz w:val="22"/>
          <w:szCs w:val="22"/>
        </w:rPr>
        <w:t>f</w:t>
      </w:r>
      <w:r w:rsidR="00E41B65" w:rsidRPr="00102AE6">
        <w:rPr>
          <w:rFonts w:ascii="Calibri" w:hAnsi="Calibri"/>
          <w:color w:val="000000"/>
          <w:sz w:val="22"/>
          <w:szCs w:val="22"/>
        </w:rPr>
        <w:t>orça-tarefa</w:t>
      </w:r>
      <w:proofErr w:type="gramEnd"/>
      <w:r w:rsidR="00E41B65" w:rsidRPr="00102AE6">
        <w:rPr>
          <w:rFonts w:ascii="Calibri" w:hAnsi="Calibri"/>
          <w:color w:val="000000"/>
          <w:sz w:val="22"/>
          <w:szCs w:val="22"/>
        </w:rPr>
        <w:t xml:space="preserve"> em Manaus </w:t>
      </w:r>
      <w:r w:rsidRPr="00102AE6">
        <w:rPr>
          <w:rFonts w:ascii="Calibri" w:hAnsi="Calibri"/>
          <w:color w:val="000000"/>
          <w:sz w:val="22"/>
          <w:szCs w:val="22"/>
        </w:rPr>
        <w:t xml:space="preserve">na semana do </w:t>
      </w:r>
      <w:r w:rsidR="008159A8" w:rsidRPr="00102AE6">
        <w:rPr>
          <w:rFonts w:ascii="Calibri" w:hAnsi="Calibri"/>
          <w:color w:val="000000"/>
          <w:sz w:val="22"/>
          <w:szCs w:val="22"/>
        </w:rPr>
        <w:t>Dia do C</w:t>
      </w:r>
      <w:r w:rsidRPr="00102AE6">
        <w:rPr>
          <w:rFonts w:ascii="Calibri" w:hAnsi="Calibri"/>
          <w:color w:val="000000"/>
          <w:sz w:val="22"/>
          <w:szCs w:val="22"/>
        </w:rPr>
        <w:t xml:space="preserve">onsumidor </w:t>
      </w:r>
      <w:r w:rsidR="00E41B65" w:rsidRPr="00102AE6">
        <w:rPr>
          <w:rFonts w:ascii="Calibri" w:hAnsi="Calibri"/>
          <w:color w:val="000000"/>
          <w:sz w:val="22"/>
          <w:szCs w:val="22"/>
        </w:rPr>
        <w:t xml:space="preserve">com a presença do </w:t>
      </w:r>
      <w:r w:rsidR="00422282" w:rsidRPr="00102AE6">
        <w:rPr>
          <w:rFonts w:ascii="Calibri" w:hAnsi="Calibri"/>
          <w:color w:val="000000"/>
          <w:sz w:val="22"/>
          <w:szCs w:val="22"/>
        </w:rPr>
        <w:t>IPEM</w:t>
      </w:r>
      <w:r w:rsidR="00E41B65" w:rsidRPr="00102AE6">
        <w:rPr>
          <w:rFonts w:ascii="Calibri" w:hAnsi="Calibri"/>
          <w:color w:val="000000"/>
          <w:sz w:val="22"/>
          <w:szCs w:val="22"/>
        </w:rPr>
        <w:t>, D</w:t>
      </w:r>
      <w:r w:rsidRPr="00102AE6">
        <w:rPr>
          <w:rFonts w:ascii="Calibri" w:hAnsi="Calibri"/>
          <w:color w:val="000000"/>
          <w:sz w:val="22"/>
          <w:szCs w:val="22"/>
        </w:rPr>
        <w:t xml:space="preserve">elegacia do Consumidor e </w:t>
      </w:r>
      <w:proofErr w:type="spellStart"/>
      <w:r w:rsidRPr="00102AE6">
        <w:rPr>
          <w:rFonts w:ascii="Calibri" w:hAnsi="Calibri"/>
          <w:color w:val="000000"/>
          <w:sz w:val="22"/>
          <w:szCs w:val="22"/>
        </w:rPr>
        <w:t>Procon</w:t>
      </w:r>
      <w:proofErr w:type="spellEnd"/>
      <w:r w:rsidRPr="00102AE6">
        <w:rPr>
          <w:rFonts w:ascii="Calibri" w:hAnsi="Calibri"/>
          <w:color w:val="000000"/>
          <w:sz w:val="22"/>
          <w:szCs w:val="22"/>
        </w:rPr>
        <w:t>;</w:t>
      </w:r>
      <w:r w:rsidR="00B113CB" w:rsidRPr="00102AE6">
        <w:rPr>
          <w:rFonts w:ascii="Calibri" w:hAnsi="Calibri"/>
          <w:color w:val="000000"/>
          <w:sz w:val="22"/>
          <w:szCs w:val="22"/>
        </w:rPr>
        <w:t xml:space="preserve"> e</w:t>
      </w:r>
    </w:p>
    <w:p w:rsidR="00DD71DE" w:rsidRPr="00102AE6" w:rsidRDefault="00422282" w:rsidP="0026288C">
      <w:pPr>
        <w:pStyle w:val="PargrafodaLista"/>
        <w:numPr>
          <w:ilvl w:val="0"/>
          <w:numId w:val="27"/>
        </w:numPr>
        <w:autoSpaceDE w:val="0"/>
        <w:autoSpaceDN w:val="0"/>
        <w:adjustRightInd w:val="0"/>
        <w:spacing w:after="120"/>
        <w:ind w:left="1434" w:hanging="357"/>
        <w:contextualSpacing w:val="0"/>
        <w:jc w:val="both"/>
        <w:rPr>
          <w:rFonts w:ascii="Calibri" w:hAnsi="Calibri" w:cs="Helv"/>
          <w:color w:val="000000"/>
          <w:sz w:val="22"/>
          <w:szCs w:val="22"/>
        </w:rPr>
      </w:pPr>
      <w:proofErr w:type="gramStart"/>
      <w:r w:rsidRPr="00102AE6">
        <w:rPr>
          <w:rFonts w:asciiTheme="minorHAnsi" w:hAnsiTheme="minorHAnsi" w:cs="Helv"/>
          <w:bCs/>
          <w:color w:val="000000"/>
          <w:sz w:val="22"/>
          <w:szCs w:val="22"/>
        </w:rPr>
        <w:t>campanha</w:t>
      </w:r>
      <w:proofErr w:type="gramEnd"/>
      <w:r w:rsidRPr="00102AE6">
        <w:rPr>
          <w:rFonts w:asciiTheme="minorHAnsi" w:hAnsiTheme="minorHAnsi" w:cs="Helv"/>
          <w:bCs/>
          <w:color w:val="000000"/>
          <w:sz w:val="22"/>
          <w:szCs w:val="22"/>
        </w:rPr>
        <w:t xml:space="preserve"> de combate à venda irregular de botijões de gás (</w:t>
      </w:r>
      <w:r w:rsidR="008159A8" w:rsidRPr="00102AE6">
        <w:rPr>
          <w:rFonts w:asciiTheme="minorHAnsi" w:hAnsiTheme="minorHAnsi" w:cs="Helv"/>
          <w:bCs/>
          <w:color w:val="000000"/>
          <w:sz w:val="22"/>
          <w:szCs w:val="22"/>
        </w:rPr>
        <w:t>"Gás Seguro"</w:t>
      </w:r>
      <w:r w:rsidRPr="00102AE6">
        <w:rPr>
          <w:rFonts w:asciiTheme="minorHAnsi" w:hAnsiTheme="minorHAnsi" w:cs="Helv"/>
          <w:bCs/>
          <w:color w:val="000000"/>
          <w:sz w:val="22"/>
          <w:szCs w:val="22"/>
        </w:rPr>
        <w:t>)</w:t>
      </w:r>
      <w:r w:rsidR="008159A8" w:rsidRPr="00102AE6">
        <w:rPr>
          <w:rFonts w:asciiTheme="minorHAnsi" w:hAnsiTheme="minorHAnsi" w:cs="Helv"/>
          <w:bCs/>
          <w:color w:val="000000"/>
          <w:sz w:val="22"/>
          <w:szCs w:val="22"/>
        </w:rPr>
        <w:t xml:space="preserve">, </w:t>
      </w:r>
      <w:r w:rsidR="00DD71DE" w:rsidRPr="00102AE6">
        <w:rPr>
          <w:rFonts w:asciiTheme="minorHAnsi" w:hAnsiTheme="minorHAnsi" w:cs="Helv"/>
          <w:bCs/>
          <w:color w:val="000000"/>
          <w:sz w:val="22"/>
          <w:szCs w:val="22"/>
        </w:rPr>
        <w:t xml:space="preserve">em São Paulo, que teve por objetivo conscientizar a população sobre os riscos da compra de GLP em revendas clandestinas. Essa </w:t>
      </w:r>
      <w:r w:rsidRPr="00102AE6">
        <w:rPr>
          <w:rFonts w:asciiTheme="minorHAnsi" w:hAnsiTheme="minorHAnsi" w:cs="Helv"/>
          <w:bCs/>
          <w:color w:val="000000"/>
          <w:sz w:val="22"/>
          <w:szCs w:val="22"/>
        </w:rPr>
        <w:t>ação</w:t>
      </w:r>
      <w:r w:rsidR="00DD71DE" w:rsidRPr="00102AE6">
        <w:rPr>
          <w:rFonts w:asciiTheme="minorHAnsi" w:hAnsiTheme="minorHAnsi" w:cs="Helv"/>
          <w:bCs/>
          <w:color w:val="000000"/>
          <w:sz w:val="22"/>
          <w:szCs w:val="22"/>
        </w:rPr>
        <w:t xml:space="preserve"> foi uma iniciativa da ANP em parceria com o Sindicato das Empresas Distribuidoras de Gás Liquefeito de Petróleo (</w:t>
      </w:r>
      <w:proofErr w:type="spellStart"/>
      <w:r w:rsidR="00DD71DE" w:rsidRPr="00102AE6">
        <w:rPr>
          <w:rFonts w:asciiTheme="minorHAnsi" w:hAnsiTheme="minorHAnsi" w:cs="Helv"/>
          <w:bCs/>
          <w:color w:val="000000"/>
          <w:sz w:val="22"/>
          <w:szCs w:val="22"/>
        </w:rPr>
        <w:t>Sindigás</w:t>
      </w:r>
      <w:proofErr w:type="spellEnd"/>
      <w:r w:rsidR="00DD71DE" w:rsidRPr="00102AE6">
        <w:rPr>
          <w:rFonts w:asciiTheme="minorHAnsi" w:hAnsiTheme="minorHAnsi" w:cs="Helv"/>
          <w:bCs/>
          <w:color w:val="000000"/>
          <w:sz w:val="22"/>
          <w:szCs w:val="22"/>
        </w:rPr>
        <w:t>), Sindicato do Comércio Varejista, Transportador e Revendedor de Gás Liquefeito do Estado de São Paulo (</w:t>
      </w:r>
      <w:proofErr w:type="spellStart"/>
      <w:r w:rsidR="00DD71DE" w:rsidRPr="00102AE6">
        <w:rPr>
          <w:rFonts w:asciiTheme="minorHAnsi" w:hAnsiTheme="minorHAnsi" w:cs="Helv"/>
          <w:bCs/>
          <w:color w:val="000000"/>
          <w:sz w:val="22"/>
          <w:szCs w:val="22"/>
        </w:rPr>
        <w:t>Singasesp</w:t>
      </w:r>
      <w:proofErr w:type="spellEnd"/>
      <w:r w:rsidR="00DD71DE" w:rsidRPr="00102AE6">
        <w:rPr>
          <w:rFonts w:asciiTheme="minorHAnsi" w:hAnsiTheme="minorHAnsi" w:cs="Helv"/>
          <w:bCs/>
          <w:color w:val="000000"/>
          <w:sz w:val="22"/>
          <w:szCs w:val="22"/>
        </w:rPr>
        <w:t>), que será realizada até o final do ano na capital paulista.</w:t>
      </w:r>
    </w:p>
    <w:p w:rsidR="004D1CE0" w:rsidRPr="00102AE6" w:rsidRDefault="004D1CE0" w:rsidP="004D1CE0">
      <w:pPr>
        <w:pStyle w:val="PargrafodaLista"/>
        <w:jc w:val="both"/>
        <w:rPr>
          <w:rFonts w:asciiTheme="minorHAnsi" w:hAnsiTheme="minorHAnsi" w:cs="Helv"/>
          <w:color w:val="000000"/>
          <w:sz w:val="22"/>
          <w:szCs w:val="22"/>
        </w:rPr>
      </w:pPr>
    </w:p>
    <w:p w:rsidR="007B15F7" w:rsidRPr="00102AE6" w:rsidRDefault="00C7521C" w:rsidP="00C74C3C">
      <w:pPr>
        <w:pStyle w:val="PargrafodaLista"/>
        <w:numPr>
          <w:ilvl w:val="0"/>
          <w:numId w:val="26"/>
        </w:numPr>
        <w:spacing w:after="120"/>
        <w:contextualSpacing w:val="0"/>
        <w:jc w:val="both"/>
        <w:rPr>
          <w:rFonts w:asciiTheme="minorHAnsi" w:hAnsiTheme="minorHAnsi" w:cs="Helv"/>
          <w:color w:val="000000"/>
          <w:sz w:val="22"/>
          <w:szCs w:val="22"/>
        </w:rPr>
      </w:pPr>
      <w:r w:rsidRPr="00102AE6">
        <w:rPr>
          <w:rFonts w:asciiTheme="minorHAnsi" w:hAnsiTheme="minorHAnsi" w:cs="Helv"/>
          <w:color w:val="000000"/>
          <w:sz w:val="22"/>
          <w:szCs w:val="22"/>
        </w:rPr>
        <w:t>Com o objetivo de ampliar o conceito e a prática de fiscalização para além da prevenção e repressão, a Superintendência de Fiscalização esteve presente</w:t>
      </w:r>
      <w:r w:rsidR="00A60D1D" w:rsidRPr="00102AE6">
        <w:rPr>
          <w:rFonts w:asciiTheme="minorHAnsi" w:hAnsiTheme="minorHAnsi" w:cs="Helv"/>
          <w:color w:val="000000"/>
          <w:sz w:val="22"/>
          <w:szCs w:val="22"/>
        </w:rPr>
        <w:t xml:space="preserve"> nos seguintes eventos:</w:t>
      </w:r>
    </w:p>
    <w:p w:rsidR="00131E16" w:rsidRPr="00102AE6" w:rsidRDefault="00836EEA" w:rsidP="00C74C3C">
      <w:pPr>
        <w:pStyle w:val="PargrafodaLista"/>
        <w:numPr>
          <w:ilvl w:val="0"/>
          <w:numId w:val="31"/>
        </w:numPr>
        <w:spacing w:after="120"/>
        <w:contextualSpacing w:val="0"/>
        <w:jc w:val="both"/>
        <w:rPr>
          <w:rFonts w:asciiTheme="minorHAnsi" w:hAnsiTheme="minorHAnsi" w:cs="Helv"/>
          <w:color w:val="000000"/>
          <w:sz w:val="22"/>
          <w:szCs w:val="22"/>
        </w:rPr>
      </w:pPr>
      <w:r w:rsidRPr="00102AE6">
        <w:rPr>
          <w:rFonts w:asciiTheme="minorHAnsi" w:hAnsiTheme="minorHAnsi" w:cs="Helv"/>
          <w:color w:val="000000"/>
          <w:sz w:val="22"/>
          <w:szCs w:val="22"/>
        </w:rPr>
        <w:lastRenderedPageBreak/>
        <w:t>1º Fórum Nacional Sobre a Qualidade do Combustível em Belo Horizonte;</w:t>
      </w:r>
    </w:p>
    <w:p w:rsidR="00131E16" w:rsidRPr="00102AE6" w:rsidRDefault="007B15F7" w:rsidP="002547E9">
      <w:pPr>
        <w:pStyle w:val="PargrafodaLista"/>
        <w:numPr>
          <w:ilvl w:val="0"/>
          <w:numId w:val="31"/>
        </w:numPr>
        <w:spacing w:after="120"/>
        <w:contextualSpacing w:val="0"/>
        <w:jc w:val="both"/>
        <w:rPr>
          <w:rFonts w:asciiTheme="minorHAnsi" w:hAnsiTheme="minorHAnsi" w:cs="Helv"/>
          <w:color w:val="000000"/>
          <w:sz w:val="22"/>
          <w:szCs w:val="22"/>
        </w:rPr>
      </w:pPr>
      <w:r w:rsidRPr="00102AE6">
        <w:rPr>
          <w:rFonts w:asciiTheme="minorHAnsi" w:hAnsiTheme="minorHAnsi" w:cs="Helv"/>
          <w:color w:val="000000"/>
          <w:sz w:val="22"/>
          <w:szCs w:val="22"/>
        </w:rPr>
        <w:t>2º Seminário Passando a Limpo a Revenda de GLP, em Belém</w:t>
      </w:r>
      <w:r w:rsidR="00C7138D" w:rsidRPr="00102AE6">
        <w:rPr>
          <w:rFonts w:asciiTheme="minorHAnsi" w:hAnsiTheme="minorHAnsi" w:cs="Helv"/>
          <w:color w:val="000000"/>
          <w:sz w:val="22"/>
          <w:szCs w:val="22"/>
        </w:rPr>
        <w:t>;</w:t>
      </w:r>
    </w:p>
    <w:p w:rsidR="00131E16" w:rsidRPr="00102AE6" w:rsidRDefault="00EB157D" w:rsidP="002547E9">
      <w:pPr>
        <w:pStyle w:val="PargrafodaLista"/>
        <w:numPr>
          <w:ilvl w:val="0"/>
          <w:numId w:val="31"/>
        </w:numPr>
        <w:spacing w:after="120"/>
        <w:contextualSpacing w:val="0"/>
        <w:jc w:val="both"/>
        <w:rPr>
          <w:rFonts w:asciiTheme="minorHAnsi" w:hAnsiTheme="minorHAnsi" w:cs="Helv"/>
          <w:color w:val="000000"/>
          <w:sz w:val="22"/>
          <w:szCs w:val="22"/>
        </w:rPr>
      </w:pPr>
      <w:r w:rsidRPr="00102AE6">
        <w:rPr>
          <w:rFonts w:asciiTheme="minorHAnsi" w:hAnsiTheme="minorHAnsi" w:cs="Helv"/>
          <w:color w:val="000000"/>
          <w:sz w:val="22"/>
          <w:szCs w:val="22"/>
        </w:rPr>
        <w:t>7º Encontro Internacional com o Mercado, no Rio de Janeiro;</w:t>
      </w:r>
    </w:p>
    <w:p w:rsidR="00131E16" w:rsidRPr="00102AE6" w:rsidRDefault="003449D4" w:rsidP="002547E9">
      <w:pPr>
        <w:pStyle w:val="PargrafodaLista"/>
        <w:numPr>
          <w:ilvl w:val="0"/>
          <w:numId w:val="31"/>
        </w:numPr>
        <w:spacing w:after="120"/>
        <w:contextualSpacing w:val="0"/>
        <w:jc w:val="both"/>
        <w:rPr>
          <w:rFonts w:asciiTheme="minorHAnsi" w:hAnsiTheme="minorHAnsi" w:cs="Helv"/>
          <w:color w:val="000000"/>
          <w:sz w:val="22"/>
          <w:szCs w:val="22"/>
        </w:rPr>
      </w:pPr>
      <w:r w:rsidRPr="00102AE6">
        <w:rPr>
          <w:rFonts w:asciiTheme="minorHAnsi" w:hAnsiTheme="minorHAnsi" w:cs="Helv"/>
          <w:color w:val="000000"/>
          <w:sz w:val="22"/>
          <w:szCs w:val="22"/>
        </w:rPr>
        <w:t>32ª Convenção Nacional do SINDTRR,</w:t>
      </w:r>
      <w:r w:rsidR="00A06EB0" w:rsidRPr="00102AE6">
        <w:rPr>
          <w:rFonts w:asciiTheme="minorHAnsi" w:hAnsiTheme="minorHAnsi" w:cs="Helv"/>
          <w:color w:val="000000"/>
          <w:sz w:val="22"/>
          <w:szCs w:val="22"/>
        </w:rPr>
        <w:t xml:space="preserve"> </w:t>
      </w:r>
      <w:r w:rsidR="00091AD2" w:rsidRPr="00102AE6">
        <w:rPr>
          <w:rFonts w:asciiTheme="minorHAnsi" w:hAnsiTheme="minorHAnsi" w:cs="Helv"/>
          <w:color w:val="000000"/>
          <w:sz w:val="22"/>
          <w:szCs w:val="22"/>
        </w:rPr>
        <w:t xml:space="preserve">em Itaparica </w:t>
      </w:r>
      <w:r w:rsidR="004455A5" w:rsidRPr="00102AE6">
        <w:rPr>
          <w:rFonts w:asciiTheme="minorHAnsi" w:hAnsiTheme="minorHAnsi" w:cs="Helv"/>
          <w:color w:val="000000"/>
          <w:sz w:val="22"/>
          <w:szCs w:val="22"/>
        </w:rPr>
        <w:t>–</w:t>
      </w:r>
      <w:r w:rsidR="00091AD2" w:rsidRPr="00102AE6">
        <w:rPr>
          <w:rFonts w:asciiTheme="minorHAnsi" w:hAnsiTheme="minorHAnsi" w:cs="Helv"/>
          <w:color w:val="000000"/>
          <w:sz w:val="22"/>
          <w:szCs w:val="22"/>
        </w:rPr>
        <w:t xml:space="preserve"> BA</w:t>
      </w:r>
      <w:r w:rsidR="004455A5" w:rsidRPr="00102AE6">
        <w:rPr>
          <w:rFonts w:asciiTheme="minorHAnsi" w:hAnsiTheme="minorHAnsi" w:cs="Helv"/>
          <w:color w:val="000000"/>
          <w:sz w:val="22"/>
          <w:szCs w:val="22"/>
        </w:rPr>
        <w:t xml:space="preserve">; </w:t>
      </w:r>
      <w:proofErr w:type="gramStart"/>
      <w:r w:rsidR="004455A5" w:rsidRPr="00102AE6">
        <w:rPr>
          <w:rFonts w:asciiTheme="minorHAnsi" w:hAnsiTheme="minorHAnsi" w:cs="Helv"/>
          <w:color w:val="000000"/>
          <w:sz w:val="22"/>
          <w:szCs w:val="22"/>
        </w:rPr>
        <w:t>e</w:t>
      </w:r>
      <w:proofErr w:type="gramEnd"/>
    </w:p>
    <w:p w:rsidR="00091AD2" w:rsidRPr="00102AE6" w:rsidRDefault="00091AD2" w:rsidP="002547E9">
      <w:pPr>
        <w:pStyle w:val="PargrafodaLista"/>
        <w:numPr>
          <w:ilvl w:val="0"/>
          <w:numId w:val="31"/>
        </w:numPr>
        <w:spacing w:after="120"/>
        <w:contextualSpacing w:val="0"/>
        <w:jc w:val="both"/>
        <w:rPr>
          <w:rFonts w:asciiTheme="minorHAnsi" w:hAnsiTheme="minorHAnsi" w:cs="Helv"/>
          <w:color w:val="000000"/>
          <w:sz w:val="22"/>
          <w:szCs w:val="22"/>
        </w:rPr>
      </w:pPr>
      <w:r w:rsidRPr="00102AE6">
        <w:rPr>
          <w:rFonts w:asciiTheme="minorHAnsi" w:hAnsiTheme="minorHAnsi" w:cs="Helv"/>
          <w:color w:val="000000"/>
          <w:sz w:val="22"/>
          <w:szCs w:val="22"/>
        </w:rPr>
        <w:t>XIV Encontro dos Revendedores de Derivados de Petróleo e Lojas de Conveniência do Norte do Brasil em Manaus</w:t>
      </w:r>
      <w:r w:rsidR="004455A5" w:rsidRPr="00102AE6">
        <w:rPr>
          <w:rFonts w:asciiTheme="minorHAnsi" w:hAnsiTheme="minorHAnsi" w:cs="Helv"/>
          <w:color w:val="000000"/>
          <w:sz w:val="22"/>
          <w:szCs w:val="22"/>
        </w:rPr>
        <w:t>.</w:t>
      </w:r>
    </w:p>
    <w:p w:rsidR="00AD3FCC" w:rsidRPr="00AD3FCC" w:rsidRDefault="00AD3FCC" w:rsidP="00AD3FCC">
      <w:pPr>
        <w:spacing w:after="120"/>
        <w:jc w:val="both"/>
        <w:rPr>
          <w:rFonts w:asciiTheme="minorHAnsi" w:hAnsiTheme="minorHAnsi" w:cs="Helv"/>
          <w:color w:val="000000"/>
        </w:rPr>
      </w:pPr>
    </w:p>
    <w:p w:rsidR="00102AE6" w:rsidRDefault="00102AE6">
      <w:pPr>
        <w:spacing w:after="0" w:line="240" w:lineRule="auto"/>
        <w:rPr>
          <w:rFonts w:ascii="Cambria" w:eastAsia="Times New Roman" w:hAnsi="Cambria"/>
          <w:b/>
          <w:bCs/>
          <w:color w:val="E36C0A"/>
          <w:sz w:val="24"/>
          <w:szCs w:val="24"/>
          <w:lang w:eastAsia="pt-BR"/>
        </w:rPr>
      </w:pPr>
      <w:bookmarkStart w:id="136" w:name="_Toc490842905"/>
      <w:r>
        <w:rPr>
          <w:color w:val="E36C0A"/>
          <w:sz w:val="24"/>
          <w:szCs w:val="24"/>
          <w:lang w:eastAsia="pt-BR"/>
        </w:rPr>
        <w:br w:type="page"/>
      </w:r>
    </w:p>
    <w:p w:rsidR="002A71CB" w:rsidRPr="00B22C43" w:rsidRDefault="00961FE2" w:rsidP="002A71CB">
      <w:pPr>
        <w:pStyle w:val="Ttulo1"/>
        <w:spacing w:before="360"/>
        <w:rPr>
          <w:color w:val="E36C0A"/>
          <w:sz w:val="24"/>
          <w:szCs w:val="24"/>
          <w:lang w:eastAsia="pt-BR"/>
        </w:rPr>
      </w:pPr>
      <w:proofErr w:type="gramStart"/>
      <w:r w:rsidRPr="00B22C43">
        <w:rPr>
          <w:color w:val="E36C0A"/>
          <w:sz w:val="24"/>
          <w:szCs w:val="24"/>
          <w:lang w:eastAsia="pt-BR"/>
        </w:rPr>
        <w:lastRenderedPageBreak/>
        <w:t>A</w:t>
      </w:r>
      <w:r w:rsidR="00673552" w:rsidRPr="00B22C43">
        <w:rPr>
          <w:color w:val="E36C0A"/>
          <w:sz w:val="24"/>
          <w:szCs w:val="24"/>
          <w:lang w:eastAsia="pt-BR"/>
        </w:rPr>
        <w:t>NEXO – MOTIVAÇÕES</w:t>
      </w:r>
      <w:proofErr w:type="gramEnd"/>
      <w:r w:rsidR="00673552" w:rsidRPr="00B22C43">
        <w:rPr>
          <w:color w:val="E36C0A"/>
          <w:sz w:val="24"/>
          <w:szCs w:val="24"/>
          <w:lang w:eastAsia="pt-BR"/>
        </w:rPr>
        <w:t xml:space="preserve"> DAS INFRAÇÕES</w:t>
      </w:r>
      <w:r w:rsidR="002A71CB" w:rsidRPr="00B22C43">
        <w:rPr>
          <w:color w:val="E36C0A"/>
          <w:sz w:val="24"/>
          <w:szCs w:val="24"/>
          <w:lang w:eastAsia="pt-BR"/>
        </w:rPr>
        <w:t xml:space="preserve"> POR SEGMENTO</w:t>
      </w:r>
      <w:bookmarkEnd w:id="136"/>
    </w:p>
    <w:p w:rsidR="0076658B" w:rsidRPr="00B22C43" w:rsidRDefault="0076658B" w:rsidP="0076658B">
      <w:pPr>
        <w:rPr>
          <w:lang w:eastAsia="pt-BR"/>
        </w:rPr>
      </w:pPr>
    </w:p>
    <w:tbl>
      <w:tblPr>
        <w:tblStyle w:val="SombreamentoClaro-nfase6"/>
        <w:tblW w:w="9680" w:type="dxa"/>
        <w:tblLook w:val="04A0"/>
      </w:tblPr>
      <w:tblGrid>
        <w:gridCol w:w="8560"/>
        <w:gridCol w:w="1120"/>
      </w:tblGrid>
      <w:tr w:rsidR="00AD3FCC" w:rsidRPr="00AD3FCC" w:rsidTr="00AD3FCC">
        <w:trPr>
          <w:cnfStyle w:val="100000000000"/>
          <w:trHeight w:val="615"/>
        </w:trPr>
        <w:tc>
          <w:tcPr>
            <w:cnfStyle w:val="001000000000"/>
            <w:tcW w:w="8560" w:type="dxa"/>
            <w:shd w:val="clear" w:color="auto" w:fill="FFFFFF" w:themeFill="background1"/>
            <w:noWrap/>
            <w:vAlign w:val="center"/>
            <w:hideMark/>
          </w:tcPr>
          <w:p w:rsidR="00F92828" w:rsidRPr="0020498C" w:rsidRDefault="00F92828" w:rsidP="00F8623E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 w:themeColor="text1"/>
                <w:szCs w:val="20"/>
                <w:lang w:eastAsia="pt-BR"/>
              </w:rPr>
            </w:pPr>
            <w:r w:rsidRPr="0020498C">
              <w:rPr>
                <w:rFonts w:eastAsia="Times New Roman"/>
                <w:color w:val="000000" w:themeColor="text1"/>
                <w:szCs w:val="20"/>
                <w:lang w:eastAsia="pt-BR"/>
              </w:rPr>
              <w:t>Revendedor de Combustíveis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92828" w:rsidRPr="0020498C" w:rsidRDefault="00F92828" w:rsidP="00F8623E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 w:themeColor="text1"/>
                <w:szCs w:val="20"/>
                <w:lang w:eastAsia="pt-BR"/>
              </w:rPr>
            </w:pPr>
            <w:r w:rsidRPr="0020498C">
              <w:rPr>
                <w:rFonts w:eastAsia="Times New Roman"/>
                <w:color w:val="000000" w:themeColor="text1"/>
                <w:szCs w:val="20"/>
                <w:lang w:eastAsia="pt-BR"/>
              </w:rPr>
              <w:t>(%)</w:t>
            </w:r>
          </w:p>
        </w:tc>
      </w:tr>
      <w:tr w:rsidR="00F92828" w:rsidRPr="00B22C43" w:rsidTr="0026148E">
        <w:trPr>
          <w:cnfStyle w:val="000000100000"/>
          <w:trHeight w:val="270"/>
        </w:trPr>
        <w:tc>
          <w:tcPr>
            <w:cnfStyle w:val="001000000000"/>
            <w:tcW w:w="8560" w:type="dxa"/>
            <w:tcBorders>
              <w:top w:val="single" w:sz="8" w:space="0" w:color="F79646" w:themeColor="accent6"/>
              <w:bottom w:val="nil"/>
            </w:tcBorders>
            <w:shd w:val="clear" w:color="auto" w:fill="F6882E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Não cumprir notificação</w:t>
            </w:r>
          </w:p>
        </w:tc>
        <w:tc>
          <w:tcPr>
            <w:tcW w:w="1120" w:type="dxa"/>
            <w:tcBorders>
              <w:top w:val="single" w:sz="8" w:space="0" w:color="F79646" w:themeColor="accent6"/>
              <w:bottom w:val="nil"/>
            </w:tcBorders>
            <w:shd w:val="clear" w:color="auto" w:fill="F6882E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21%</w:t>
            </w:r>
          </w:p>
        </w:tc>
      </w:tr>
      <w:tr w:rsidR="00F92828" w:rsidRPr="00B22C43" w:rsidTr="009F4AD3">
        <w:trPr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ABF8F" w:themeFill="accent6" w:themeFillTint="99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Equipamento ausente ou em desacordo com a legislação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ABF8F" w:themeFill="accent6" w:themeFillTint="99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17%</w:t>
            </w:r>
          </w:p>
        </w:tc>
      </w:tr>
      <w:tr w:rsidR="00F92828" w:rsidRPr="00B22C43" w:rsidTr="009F4AD3">
        <w:trPr>
          <w:cnfStyle w:val="000000100000"/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BD4B4" w:themeFill="accent6" w:themeFillTint="66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Não prestar informações ao consumidor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BD4B4" w:themeFill="accent6" w:themeFillTint="66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16%</w:t>
            </w:r>
          </w:p>
        </w:tc>
      </w:tr>
      <w:tr w:rsidR="00F92828" w:rsidRPr="00B22C43" w:rsidTr="009F4AD3">
        <w:trPr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DE9D9" w:themeFill="accent6" w:themeFillTint="33"/>
            <w:noWrap/>
            <w:hideMark/>
          </w:tcPr>
          <w:p w:rsidR="00F92828" w:rsidRPr="00F8623E" w:rsidRDefault="00F92828" w:rsidP="00A96943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Comercializar ou armazenar produto não</w:t>
            </w:r>
            <w:r w:rsidR="00A96943"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conforme com a especificação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DE9D9" w:themeFill="accent6" w:themeFillTint="33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14%</w:t>
            </w:r>
          </w:p>
        </w:tc>
      </w:tr>
      <w:tr w:rsidR="00F92828" w:rsidRPr="00B22C43" w:rsidTr="009F4AD3">
        <w:trPr>
          <w:cnfStyle w:val="000000100000"/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Não apresentar documento de outorga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8%</w:t>
            </w:r>
          </w:p>
        </w:tc>
      </w:tr>
      <w:tr w:rsidR="00F92828" w:rsidRPr="00B22C43" w:rsidTr="009F4AD3">
        <w:trPr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Não atualizar dados cadastrais na ANP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6%</w:t>
            </w:r>
          </w:p>
        </w:tc>
      </w:tr>
      <w:tr w:rsidR="00F92828" w:rsidRPr="00B22C43" w:rsidTr="009F4AD3">
        <w:trPr>
          <w:cnfStyle w:val="000000100000"/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Adquirir ou destinar produto de/para fonte diversa da autorizada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4%</w:t>
            </w:r>
          </w:p>
        </w:tc>
      </w:tr>
      <w:tr w:rsidR="00F92828" w:rsidRPr="00B22C43" w:rsidTr="009F4AD3">
        <w:trPr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Comercializar com vício de quantidade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4%</w:t>
            </w:r>
          </w:p>
        </w:tc>
      </w:tr>
      <w:tr w:rsidR="00F92828" w:rsidRPr="00B22C43" w:rsidTr="009F4AD3">
        <w:trPr>
          <w:cnfStyle w:val="000000100000"/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Não apresentar ou apresentar em desacordo informações à ANP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3%</w:t>
            </w:r>
          </w:p>
        </w:tc>
      </w:tr>
      <w:tr w:rsidR="00F92828" w:rsidRPr="00B22C43" w:rsidTr="009F4AD3">
        <w:trPr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Não apresentar documentação referente à qualidade dos combustíveis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2%</w:t>
            </w:r>
          </w:p>
        </w:tc>
      </w:tr>
      <w:tr w:rsidR="00F92828" w:rsidRPr="00B22C43" w:rsidTr="009F4AD3">
        <w:trPr>
          <w:cnfStyle w:val="000000100000"/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Não atender a normas de segurança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1%</w:t>
            </w:r>
          </w:p>
        </w:tc>
      </w:tr>
      <w:tr w:rsidR="00F92828" w:rsidRPr="00B22C43" w:rsidTr="009F4AD3">
        <w:trPr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Romper ou ocultar faixa/lacre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1%</w:t>
            </w:r>
          </w:p>
        </w:tc>
      </w:tr>
      <w:tr w:rsidR="00F92828" w:rsidRPr="00B22C43" w:rsidTr="009F4AD3">
        <w:trPr>
          <w:cnfStyle w:val="000000100000"/>
          <w:trHeight w:val="270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Outros*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3%</w:t>
            </w:r>
          </w:p>
        </w:tc>
      </w:tr>
      <w:tr w:rsidR="00F92828" w:rsidRPr="00B22C43" w:rsidTr="009F4AD3">
        <w:trPr>
          <w:trHeight w:val="300"/>
        </w:trPr>
        <w:tc>
          <w:tcPr>
            <w:cnfStyle w:val="001000000000"/>
            <w:tcW w:w="8560" w:type="dxa"/>
            <w:tcBorders>
              <w:top w:val="nil"/>
              <w:bottom w:val="single" w:sz="8" w:space="0" w:color="F79646" w:themeColor="accent6"/>
            </w:tcBorders>
            <w:shd w:val="clear" w:color="auto" w:fill="FFFFFF" w:themeFill="background1"/>
            <w:noWrap/>
            <w:vAlign w:val="center"/>
            <w:hideMark/>
          </w:tcPr>
          <w:p w:rsidR="00F92828" w:rsidRPr="00B22C43" w:rsidRDefault="00F92828" w:rsidP="00F8623E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22C4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20" w:type="dxa"/>
            <w:tcBorders>
              <w:top w:val="nil"/>
              <w:bottom w:val="single" w:sz="8" w:space="0" w:color="F79646" w:themeColor="accent6"/>
            </w:tcBorders>
            <w:shd w:val="clear" w:color="auto" w:fill="FFFFFF" w:themeFill="background1"/>
            <w:noWrap/>
            <w:vAlign w:val="center"/>
            <w:hideMark/>
          </w:tcPr>
          <w:p w:rsidR="00F92828" w:rsidRPr="00B22C43" w:rsidRDefault="00F92828" w:rsidP="00F8623E">
            <w:pPr>
              <w:spacing w:after="0" w:line="240" w:lineRule="auto"/>
              <w:jc w:val="center"/>
              <w:cnfStyle w:val="00000000000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100%</w:t>
            </w:r>
          </w:p>
        </w:tc>
      </w:tr>
    </w:tbl>
    <w:p w:rsidR="0011683B" w:rsidRDefault="00F8623E" w:rsidP="00227A64">
      <w:pPr>
        <w:rPr>
          <w:rFonts w:eastAsia="Times New Roman"/>
          <w:color w:val="000000"/>
          <w:sz w:val="20"/>
          <w:szCs w:val="20"/>
          <w:lang w:eastAsia="pt-BR"/>
        </w:rPr>
      </w:pPr>
      <w:r w:rsidRPr="00B22C43">
        <w:rPr>
          <w:rFonts w:eastAsia="Times New Roman"/>
          <w:color w:val="000000"/>
          <w:sz w:val="20"/>
          <w:szCs w:val="20"/>
          <w:lang w:eastAsia="pt-BR"/>
        </w:rPr>
        <w:t xml:space="preserve">* Exercer atividade regulada sem autorização, </w:t>
      </w:r>
      <w:r>
        <w:rPr>
          <w:rFonts w:eastAsia="Times New Roman"/>
          <w:color w:val="000000"/>
          <w:sz w:val="20"/>
          <w:szCs w:val="20"/>
          <w:lang w:eastAsia="pt-BR"/>
        </w:rPr>
        <w:t>d</w:t>
      </w:r>
      <w:r w:rsidRPr="00B22C43">
        <w:rPr>
          <w:rFonts w:eastAsia="Times New Roman"/>
          <w:color w:val="000000"/>
          <w:sz w:val="20"/>
          <w:szCs w:val="20"/>
          <w:lang w:eastAsia="pt-BR"/>
        </w:rPr>
        <w:t>eixar de apresentar ou apresentar incorretamente documentação de movimentação de combustíveis,</w:t>
      </w:r>
      <w:r>
        <w:rPr>
          <w:rFonts w:eastAsia="Times New Roman"/>
          <w:color w:val="000000"/>
          <w:sz w:val="20"/>
          <w:szCs w:val="20"/>
          <w:lang w:eastAsia="pt-BR"/>
        </w:rPr>
        <w:t xml:space="preserve"> o</w:t>
      </w:r>
      <w:r w:rsidRPr="00B22C43">
        <w:rPr>
          <w:rFonts w:eastAsia="Times New Roman"/>
          <w:color w:val="000000"/>
          <w:sz w:val="20"/>
          <w:szCs w:val="20"/>
          <w:lang w:eastAsia="pt-BR"/>
        </w:rPr>
        <w:t xml:space="preserve">perar instalação em desacordo com a legislação, </w:t>
      </w:r>
      <w:r>
        <w:rPr>
          <w:rFonts w:eastAsia="Times New Roman"/>
          <w:color w:val="000000"/>
          <w:sz w:val="20"/>
          <w:szCs w:val="20"/>
          <w:lang w:eastAsia="pt-BR"/>
        </w:rPr>
        <w:t>c</w:t>
      </w:r>
      <w:r w:rsidRPr="00B22C43">
        <w:rPr>
          <w:rFonts w:eastAsia="Times New Roman"/>
          <w:color w:val="000000"/>
          <w:sz w:val="20"/>
          <w:szCs w:val="20"/>
          <w:lang w:eastAsia="pt-BR"/>
        </w:rPr>
        <w:t>omercializar produto com rótulo ou lacr</w:t>
      </w:r>
      <w:r>
        <w:rPr>
          <w:rFonts w:eastAsia="Times New Roman"/>
          <w:color w:val="000000"/>
          <w:sz w:val="20"/>
          <w:szCs w:val="20"/>
          <w:lang w:eastAsia="pt-BR"/>
        </w:rPr>
        <w:t>e em desacordo com a legislação</w:t>
      </w:r>
      <w:r w:rsidRPr="00B22C43">
        <w:rPr>
          <w:rFonts w:eastAsia="Times New Roman"/>
          <w:color w:val="000000"/>
          <w:sz w:val="20"/>
          <w:szCs w:val="20"/>
          <w:lang w:eastAsia="pt-BR"/>
        </w:rPr>
        <w:t xml:space="preserve"> </w:t>
      </w:r>
      <w:r w:rsidR="00CB6EF0" w:rsidRPr="00B22C43">
        <w:rPr>
          <w:rFonts w:eastAsia="Times New Roman"/>
          <w:color w:val="000000"/>
          <w:sz w:val="20"/>
          <w:szCs w:val="20"/>
          <w:lang w:eastAsia="pt-BR"/>
        </w:rPr>
        <w:t>etc.</w:t>
      </w:r>
    </w:p>
    <w:p w:rsidR="00C444D6" w:rsidRDefault="00C444D6" w:rsidP="00227A64">
      <w:pPr>
        <w:rPr>
          <w:rFonts w:eastAsia="Times New Roman"/>
          <w:color w:val="000000"/>
          <w:sz w:val="20"/>
          <w:szCs w:val="20"/>
          <w:lang w:eastAsia="pt-BR"/>
        </w:rPr>
      </w:pPr>
    </w:p>
    <w:p w:rsidR="00C444D6" w:rsidRDefault="00C444D6" w:rsidP="00227A64">
      <w:pPr>
        <w:rPr>
          <w:rFonts w:eastAsia="Times New Roman"/>
          <w:color w:val="000000"/>
          <w:sz w:val="20"/>
          <w:szCs w:val="20"/>
          <w:lang w:eastAsia="pt-BR"/>
        </w:rPr>
      </w:pPr>
    </w:p>
    <w:p w:rsidR="00C444D6" w:rsidRDefault="00C444D6" w:rsidP="00227A64">
      <w:pPr>
        <w:rPr>
          <w:rFonts w:eastAsia="Times New Roman"/>
          <w:color w:val="000000"/>
          <w:sz w:val="20"/>
          <w:szCs w:val="20"/>
          <w:lang w:eastAsia="pt-BR"/>
        </w:rPr>
      </w:pPr>
    </w:p>
    <w:tbl>
      <w:tblPr>
        <w:tblStyle w:val="SombreamentoClaro-nfase6"/>
        <w:tblW w:w="9680" w:type="dxa"/>
        <w:tblLook w:val="04A0"/>
      </w:tblPr>
      <w:tblGrid>
        <w:gridCol w:w="8560"/>
        <w:gridCol w:w="1120"/>
      </w:tblGrid>
      <w:tr w:rsidR="00F92828" w:rsidRPr="00B22C43" w:rsidTr="00AD3FCC">
        <w:trPr>
          <w:cnfStyle w:val="100000000000"/>
          <w:trHeight w:val="615"/>
        </w:trPr>
        <w:tc>
          <w:tcPr>
            <w:cnfStyle w:val="001000000000"/>
            <w:tcW w:w="8560" w:type="dxa"/>
            <w:shd w:val="clear" w:color="auto" w:fill="FFFFFF" w:themeFill="background1"/>
            <w:noWrap/>
            <w:vAlign w:val="center"/>
            <w:hideMark/>
          </w:tcPr>
          <w:p w:rsidR="00F92828" w:rsidRPr="0020498C" w:rsidRDefault="00F92828" w:rsidP="00F8623E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 w:themeColor="text1"/>
                <w:szCs w:val="20"/>
                <w:lang w:eastAsia="pt-BR"/>
              </w:rPr>
            </w:pPr>
            <w:r w:rsidRPr="0020498C">
              <w:rPr>
                <w:rFonts w:eastAsia="Times New Roman"/>
                <w:color w:val="000000" w:themeColor="text1"/>
                <w:szCs w:val="20"/>
                <w:lang w:eastAsia="pt-BR"/>
              </w:rPr>
              <w:t>Revendedor de GLP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92828" w:rsidRPr="0020498C" w:rsidRDefault="00F92828" w:rsidP="00F8623E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 w:themeColor="text1"/>
                <w:szCs w:val="20"/>
                <w:lang w:eastAsia="pt-BR"/>
              </w:rPr>
            </w:pPr>
            <w:r w:rsidRPr="0020498C">
              <w:rPr>
                <w:rFonts w:eastAsia="Times New Roman"/>
                <w:color w:val="000000" w:themeColor="text1"/>
                <w:szCs w:val="20"/>
                <w:lang w:eastAsia="pt-BR"/>
              </w:rPr>
              <w:t>(%)</w:t>
            </w:r>
          </w:p>
        </w:tc>
      </w:tr>
      <w:tr w:rsidR="00F92828" w:rsidRPr="00B22C43" w:rsidTr="0026148E">
        <w:trPr>
          <w:cnfStyle w:val="000000100000"/>
          <w:trHeight w:val="270"/>
        </w:trPr>
        <w:tc>
          <w:tcPr>
            <w:cnfStyle w:val="001000000000"/>
            <w:tcW w:w="8560" w:type="dxa"/>
            <w:tcBorders>
              <w:top w:val="single" w:sz="8" w:space="0" w:color="F79646" w:themeColor="accent6"/>
              <w:bottom w:val="nil"/>
            </w:tcBorders>
            <w:shd w:val="clear" w:color="auto" w:fill="F6882E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Não atender a normas de segurança</w:t>
            </w:r>
          </w:p>
        </w:tc>
        <w:tc>
          <w:tcPr>
            <w:tcW w:w="1120" w:type="dxa"/>
            <w:tcBorders>
              <w:top w:val="single" w:sz="8" w:space="0" w:color="F79646" w:themeColor="accent6"/>
              <w:bottom w:val="nil"/>
            </w:tcBorders>
            <w:shd w:val="clear" w:color="auto" w:fill="F6882E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42%</w:t>
            </w:r>
          </w:p>
        </w:tc>
      </w:tr>
      <w:tr w:rsidR="00F92828" w:rsidRPr="00B22C43" w:rsidTr="009F4AD3">
        <w:trPr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ABF8F" w:themeFill="accent6" w:themeFillTint="99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Equipamento ausente ou em desacordo com a legislação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ABF8F" w:themeFill="accent6" w:themeFillTint="99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14%</w:t>
            </w:r>
          </w:p>
        </w:tc>
      </w:tr>
      <w:tr w:rsidR="00F92828" w:rsidRPr="00B22C43" w:rsidTr="009F4AD3">
        <w:trPr>
          <w:cnfStyle w:val="000000100000"/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BD4B4" w:themeFill="accent6" w:themeFillTint="66"/>
            <w:noWrap/>
            <w:hideMark/>
          </w:tcPr>
          <w:p w:rsidR="00F92828" w:rsidRPr="009F4AD3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9F4AD3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Não prestar informações ao consumidor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BD4B4" w:themeFill="accent6" w:themeFillTint="66"/>
            <w:noWrap/>
            <w:hideMark/>
          </w:tcPr>
          <w:p w:rsidR="00F92828" w:rsidRPr="009F4AD3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9F4AD3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10%</w:t>
            </w:r>
          </w:p>
        </w:tc>
      </w:tr>
      <w:tr w:rsidR="00F92828" w:rsidRPr="00B22C43" w:rsidTr="009F4AD3">
        <w:trPr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DE9D9" w:themeFill="accent6" w:themeFillTint="33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Adquirir ou destinar produto de/para fonte diversa da autorizada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DE9D9" w:themeFill="accent6" w:themeFillTint="33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9%</w:t>
            </w:r>
          </w:p>
        </w:tc>
      </w:tr>
      <w:tr w:rsidR="00F92828" w:rsidRPr="00B22C43" w:rsidTr="009F4AD3">
        <w:trPr>
          <w:cnfStyle w:val="000000100000"/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Não cumprir notificação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9%</w:t>
            </w:r>
          </w:p>
        </w:tc>
      </w:tr>
      <w:tr w:rsidR="00F92828" w:rsidRPr="00B22C43" w:rsidTr="009F4AD3">
        <w:trPr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Exercer atividade regulada sem autorização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7%</w:t>
            </w:r>
          </w:p>
        </w:tc>
      </w:tr>
      <w:tr w:rsidR="00F92828" w:rsidRPr="00B22C43" w:rsidTr="009F4AD3">
        <w:trPr>
          <w:cnfStyle w:val="000000100000"/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Não apresentar documento de outorga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2%</w:t>
            </w:r>
          </w:p>
        </w:tc>
      </w:tr>
      <w:tr w:rsidR="00F92828" w:rsidRPr="00B22C43" w:rsidTr="009F4AD3">
        <w:trPr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Adquirir ou comercializar produto sem cobertura fiscal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2%</w:t>
            </w:r>
          </w:p>
        </w:tc>
      </w:tr>
      <w:tr w:rsidR="00F92828" w:rsidRPr="00B22C43" w:rsidTr="009F4AD3">
        <w:trPr>
          <w:cnfStyle w:val="000000100000"/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Não atualizar dados cadastrais na ANP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2%</w:t>
            </w:r>
          </w:p>
        </w:tc>
      </w:tr>
      <w:tr w:rsidR="00F92828" w:rsidRPr="00B22C43" w:rsidTr="009F4AD3">
        <w:trPr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Não apresentar ou apresentar em desacordo informações à ANP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1%</w:t>
            </w:r>
          </w:p>
        </w:tc>
      </w:tr>
      <w:tr w:rsidR="00F92828" w:rsidRPr="00B22C43" w:rsidTr="009F4AD3">
        <w:trPr>
          <w:cnfStyle w:val="000000100000"/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Operar instalação em desacordo com a legislação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1%</w:t>
            </w:r>
          </w:p>
        </w:tc>
      </w:tr>
      <w:tr w:rsidR="00F92828" w:rsidRPr="00B22C43" w:rsidTr="009F4AD3">
        <w:trPr>
          <w:trHeight w:val="270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Outros*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1%</w:t>
            </w:r>
          </w:p>
        </w:tc>
      </w:tr>
      <w:tr w:rsidR="00F92828" w:rsidRPr="00B22C43" w:rsidTr="009F4AD3">
        <w:trPr>
          <w:cnfStyle w:val="000000100000"/>
          <w:trHeight w:val="300"/>
        </w:trPr>
        <w:tc>
          <w:tcPr>
            <w:cnfStyle w:val="001000000000"/>
            <w:tcW w:w="8560" w:type="dxa"/>
            <w:tcBorders>
              <w:top w:val="nil"/>
              <w:bottom w:val="single" w:sz="8" w:space="0" w:color="F79646" w:themeColor="accent6"/>
            </w:tcBorders>
            <w:shd w:val="clear" w:color="auto" w:fill="FFFFFF" w:themeFill="background1"/>
            <w:noWrap/>
            <w:vAlign w:val="center"/>
            <w:hideMark/>
          </w:tcPr>
          <w:p w:rsidR="00F92828" w:rsidRPr="00B22C43" w:rsidRDefault="00F92828" w:rsidP="00F8623E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22C4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20" w:type="dxa"/>
            <w:tcBorders>
              <w:top w:val="nil"/>
              <w:bottom w:val="single" w:sz="8" w:space="0" w:color="F79646" w:themeColor="accent6"/>
            </w:tcBorders>
            <w:shd w:val="clear" w:color="auto" w:fill="FFFFFF" w:themeFill="background1"/>
            <w:noWrap/>
            <w:vAlign w:val="center"/>
            <w:hideMark/>
          </w:tcPr>
          <w:p w:rsidR="00F92828" w:rsidRPr="00B22C43" w:rsidRDefault="00F92828" w:rsidP="00F8623E">
            <w:pPr>
              <w:spacing w:after="0" w:line="240" w:lineRule="auto"/>
              <w:jc w:val="center"/>
              <w:cnfStyle w:val="00000010000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100%</w:t>
            </w:r>
          </w:p>
        </w:tc>
      </w:tr>
    </w:tbl>
    <w:p w:rsidR="00227A64" w:rsidRPr="00B22C43" w:rsidRDefault="00227A64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/>
          <w:noProof/>
          <w:sz w:val="16"/>
          <w:szCs w:val="16"/>
        </w:rPr>
      </w:pPr>
    </w:p>
    <w:p w:rsidR="00227A64" w:rsidRPr="00F8623E" w:rsidRDefault="00F8623E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="Calibri" w:hAnsi="Calibri"/>
          <w:color w:val="000000"/>
          <w:sz w:val="20"/>
          <w:szCs w:val="20"/>
        </w:rPr>
      </w:pPr>
      <w:r w:rsidRPr="00F8623E">
        <w:rPr>
          <w:rFonts w:ascii="Calibri" w:hAnsi="Calibri"/>
          <w:color w:val="000000"/>
          <w:sz w:val="20"/>
          <w:szCs w:val="20"/>
        </w:rPr>
        <w:t>* Dificultar a ação de fiscalização; uso de GLP não autorizado/vedado pela legislação etc.</w:t>
      </w:r>
    </w:p>
    <w:p w:rsidR="004416CD" w:rsidRPr="00B22C43" w:rsidRDefault="004416CD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/>
          <w:noProof/>
          <w:sz w:val="16"/>
          <w:szCs w:val="16"/>
        </w:rPr>
      </w:pPr>
    </w:p>
    <w:p w:rsidR="00C444D6" w:rsidRDefault="00C444D6">
      <w:pPr>
        <w:spacing w:after="0" w:line="240" w:lineRule="auto"/>
        <w:rPr>
          <w:rFonts w:asciiTheme="minorHAnsi" w:eastAsia="Times New Roman" w:hAnsiTheme="minorHAnsi"/>
          <w:noProof/>
          <w:sz w:val="16"/>
          <w:szCs w:val="16"/>
          <w:lang w:eastAsia="pt-BR"/>
        </w:rPr>
      </w:pPr>
      <w:r>
        <w:rPr>
          <w:rFonts w:asciiTheme="minorHAnsi" w:hAnsiTheme="minorHAnsi"/>
          <w:noProof/>
          <w:sz w:val="16"/>
          <w:szCs w:val="16"/>
        </w:rPr>
        <w:br w:type="page"/>
      </w:r>
    </w:p>
    <w:p w:rsidR="00B22C43" w:rsidRPr="00B22C43" w:rsidRDefault="00B22C43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/>
          <w:noProof/>
          <w:sz w:val="16"/>
          <w:szCs w:val="16"/>
        </w:rPr>
      </w:pPr>
    </w:p>
    <w:tbl>
      <w:tblPr>
        <w:tblStyle w:val="SombreamentoClaro-nfase6"/>
        <w:tblW w:w="9680" w:type="dxa"/>
        <w:shd w:val="clear" w:color="auto" w:fill="FFFFFF" w:themeFill="background1"/>
        <w:tblLook w:val="04A0"/>
      </w:tblPr>
      <w:tblGrid>
        <w:gridCol w:w="8560"/>
        <w:gridCol w:w="1120"/>
      </w:tblGrid>
      <w:tr w:rsidR="00F92828" w:rsidRPr="00B22C43" w:rsidTr="00AD3FCC">
        <w:trPr>
          <w:cnfStyle w:val="100000000000"/>
          <w:trHeight w:val="615"/>
        </w:trPr>
        <w:tc>
          <w:tcPr>
            <w:cnfStyle w:val="001000000000"/>
            <w:tcW w:w="8560" w:type="dxa"/>
            <w:shd w:val="clear" w:color="auto" w:fill="FFFFFF" w:themeFill="background1"/>
            <w:noWrap/>
            <w:vAlign w:val="center"/>
            <w:hideMark/>
          </w:tcPr>
          <w:p w:rsidR="00F92828" w:rsidRPr="0020498C" w:rsidRDefault="00F92828" w:rsidP="00F8623E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 w:themeColor="text1"/>
                <w:szCs w:val="20"/>
                <w:lang w:eastAsia="pt-BR"/>
              </w:rPr>
            </w:pPr>
            <w:r w:rsidRPr="0020498C">
              <w:rPr>
                <w:rFonts w:eastAsia="Times New Roman"/>
                <w:color w:val="000000" w:themeColor="text1"/>
                <w:szCs w:val="20"/>
                <w:lang w:eastAsia="pt-BR"/>
              </w:rPr>
              <w:t>Distribuidor de Combustíveis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92828" w:rsidRPr="0020498C" w:rsidRDefault="00F92828" w:rsidP="00F8623E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 w:themeColor="text1"/>
                <w:szCs w:val="20"/>
                <w:lang w:eastAsia="pt-BR"/>
              </w:rPr>
            </w:pPr>
            <w:r w:rsidRPr="0020498C">
              <w:rPr>
                <w:rFonts w:eastAsia="Times New Roman"/>
                <w:color w:val="000000" w:themeColor="text1"/>
                <w:szCs w:val="20"/>
                <w:lang w:eastAsia="pt-BR"/>
              </w:rPr>
              <w:t>(%)</w:t>
            </w:r>
          </w:p>
        </w:tc>
      </w:tr>
      <w:tr w:rsidR="00F92828" w:rsidRPr="00B22C43" w:rsidTr="0026148E">
        <w:trPr>
          <w:cnfStyle w:val="000000100000"/>
          <w:trHeight w:val="270"/>
        </w:trPr>
        <w:tc>
          <w:tcPr>
            <w:cnfStyle w:val="001000000000"/>
            <w:tcW w:w="8560" w:type="dxa"/>
            <w:tcBorders>
              <w:top w:val="single" w:sz="8" w:space="0" w:color="F79646" w:themeColor="accent6"/>
              <w:bottom w:val="nil"/>
            </w:tcBorders>
            <w:shd w:val="clear" w:color="auto" w:fill="F6882E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Adquirir ou destinar produto de/para fonte diversa da autorizada</w:t>
            </w:r>
          </w:p>
        </w:tc>
        <w:tc>
          <w:tcPr>
            <w:tcW w:w="1120" w:type="dxa"/>
            <w:tcBorders>
              <w:top w:val="single" w:sz="8" w:space="0" w:color="F79646" w:themeColor="accent6"/>
              <w:bottom w:val="nil"/>
            </w:tcBorders>
            <w:shd w:val="clear" w:color="auto" w:fill="F6882E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52%</w:t>
            </w:r>
          </w:p>
        </w:tc>
      </w:tr>
      <w:tr w:rsidR="00F92828" w:rsidRPr="00B22C43" w:rsidTr="00301556">
        <w:trPr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ABF8F" w:themeFill="accent6" w:themeFillTint="99"/>
            <w:noWrap/>
            <w:hideMark/>
          </w:tcPr>
          <w:p w:rsidR="00F92828" w:rsidRPr="00F8623E" w:rsidRDefault="00F92828" w:rsidP="00A9694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Comercializar ou armazenar produto não</w:t>
            </w:r>
            <w:r w:rsidR="00A96943" w:rsidRPr="00F8623E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F8623E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conforme com a especificação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ABF8F" w:themeFill="accent6" w:themeFillTint="99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14%</w:t>
            </w:r>
          </w:p>
        </w:tc>
      </w:tr>
      <w:tr w:rsidR="00F92828" w:rsidRPr="00B22C43" w:rsidTr="00301556">
        <w:trPr>
          <w:cnfStyle w:val="000000100000"/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BD4B4" w:themeFill="accent6" w:themeFillTint="66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Não fornecer ou fornecer em desacordo com a legislação a amostra-testemunha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BD4B4" w:themeFill="accent6" w:themeFillTint="66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10%</w:t>
            </w:r>
          </w:p>
        </w:tc>
      </w:tr>
      <w:tr w:rsidR="00F92828" w:rsidRPr="00B22C43" w:rsidTr="00301556">
        <w:trPr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DE9D9" w:themeFill="accent6" w:themeFillTint="33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Não apresentar documentação referente à qualidade dos combustíveis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DE9D9" w:themeFill="accent6" w:themeFillTint="33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6%</w:t>
            </w:r>
          </w:p>
        </w:tc>
      </w:tr>
      <w:tr w:rsidR="00F92828" w:rsidRPr="00B22C43" w:rsidTr="00301556">
        <w:trPr>
          <w:cnfStyle w:val="000000100000"/>
          <w:trHeight w:val="255"/>
        </w:trPr>
        <w:tc>
          <w:tcPr>
            <w:cnfStyle w:val="001000000000"/>
            <w:tcW w:w="8560" w:type="dxa"/>
            <w:tcBorders>
              <w:top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Não cumprir notificação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6%</w:t>
            </w:r>
          </w:p>
        </w:tc>
      </w:tr>
      <w:tr w:rsidR="00F92828" w:rsidRPr="00B22C43" w:rsidTr="00301556">
        <w:trPr>
          <w:trHeight w:val="255"/>
        </w:trPr>
        <w:tc>
          <w:tcPr>
            <w:cnfStyle w:val="001000000000"/>
            <w:tcW w:w="856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Não utilizar ou utilizar em desacordo com a legislação os lacres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3%</w:t>
            </w:r>
          </w:p>
        </w:tc>
      </w:tr>
      <w:tr w:rsidR="00F92828" w:rsidRPr="00B22C43" w:rsidTr="00301556">
        <w:trPr>
          <w:cnfStyle w:val="000000100000"/>
          <w:trHeight w:val="255"/>
        </w:trPr>
        <w:tc>
          <w:tcPr>
            <w:cnfStyle w:val="001000000000"/>
            <w:tcW w:w="856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Não atender a normas de segurança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2%</w:t>
            </w:r>
          </w:p>
        </w:tc>
      </w:tr>
      <w:tr w:rsidR="00F92828" w:rsidRPr="00B22C43" w:rsidTr="00301556">
        <w:trPr>
          <w:trHeight w:val="255"/>
        </w:trPr>
        <w:tc>
          <w:tcPr>
            <w:cnfStyle w:val="001000000000"/>
            <w:tcW w:w="856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Construir ou operar instalação sem autorização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1%</w:t>
            </w:r>
          </w:p>
        </w:tc>
      </w:tr>
      <w:tr w:rsidR="00F92828" w:rsidRPr="00B22C43" w:rsidTr="00301556">
        <w:trPr>
          <w:cnfStyle w:val="000000100000"/>
          <w:trHeight w:val="255"/>
        </w:trPr>
        <w:tc>
          <w:tcPr>
            <w:cnfStyle w:val="001000000000"/>
            <w:tcW w:w="856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Exercer atividade regulada sem autorização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1%</w:t>
            </w:r>
          </w:p>
        </w:tc>
      </w:tr>
      <w:tr w:rsidR="00F92828" w:rsidRPr="00B22C43" w:rsidTr="00301556">
        <w:trPr>
          <w:trHeight w:val="255"/>
        </w:trPr>
        <w:tc>
          <w:tcPr>
            <w:cnfStyle w:val="001000000000"/>
            <w:tcW w:w="856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Não apresentar ou apresentar em desacordo informações à ANP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1%</w:t>
            </w:r>
          </w:p>
        </w:tc>
      </w:tr>
      <w:tr w:rsidR="00F92828" w:rsidRPr="00B22C43" w:rsidTr="00301556">
        <w:trPr>
          <w:cnfStyle w:val="000000100000"/>
          <w:trHeight w:val="255"/>
        </w:trPr>
        <w:tc>
          <w:tcPr>
            <w:cnfStyle w:val="001000000000"/>
            <w:tcW w:w="856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Operar instalação em desacordo com a legislação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1%</w:t>
            </w:r>
          </w:p>
        </w:tc>
      </w:tr>
      <w:tr w:rsidR="00F92828" w:rsidRPr="00B22C43" w:rsidTr="00301556">
        <w:trPr>
          <w:trHeight w:val="255"/>
        </w:trPr>
        <w:tc>
          <w:tcPr>
            <w:cnfStyle w:val="001000000000"/>
            <w:tcW w:w="856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Equipamento ausente ou em desacordo com a legislação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1%</w:t>
            </w:r>
          </w:p>
        </w:tc>
      </w:tr>
      <w:tr w:rsidR="00F92828" w:rsidRPr="00B22C43" w:rsidTr="00301556">
        <w:trPr>
          <w:cnfStyle w:val="000000100000"/>
          <w:trHeight w:val="255"/>
        </w:trPr>
        <w:tc>
          <w:tcPr>
            <w:cnfStyle w:val="001000000000"/>
            <w:tcW w:w="856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Não atualizar dados cadastrais na ANP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1%</w:t>
            </w:r>
          </w:p>
        </w:tc>
      </w:tr>
      <w:tr w:rsidR="00F92828" w:rsidRPr="00B22C43" w:rsidTr="00301556">
        <w:trPr>
          <w:trHeight w:val="270"/>
        </w:trPr>
        <w:tc>
          <w:tcPr>
            <w:cnfStyle w:val="001000000000"/>
            <w:tcW w:w="856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Não prestar informações ao consumidor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1%</w:t>
            </w:r>
          </w:p>
        </w:tc>
      </w:tr>
      <w:tr w:rsidR="00F92828" w:rsidRPr="00B22C43" w:rsidTr="00301556">
        <w:trPr>
          <w:cnfStyle w:val="000000100000"/>
          <w:trHeight w:val="300"/>
        </w:trPr>
        <w:tc>
          <w:tcPr>
            <w:cnfStyle w:val="001000000000"/>
            <w:tcW w:w="8560" w:type="dxa"/>
            <w:tcBorders>
              <w:bottom w:val="single" w:sz="8" w:space="0" w:color="F79646" w:themeColor="accent6"/>
            </w:tcBorders>
            <w:shd w:val="clear" w:color="auto" w:fill="FFFFFF" w:themeFill="background1"/>
            <w:noWrap/>
            <w:vAlign w:val="center"/>
            <w:hideMark/>
          </w:tcPr>
          <w:p w:rsidR="00F92828" w:rsidRPr="00B22C43" w:rsidRDefault="00F92828" w:rsidP="00F8623E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22C4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20" w:type="dxa"/>
            <w:tcBorders>
              <w:bottom w:val="single" w:sz="8" w:space="0" w:color="F79646" w:themeColor="accent6"/>
            </w:tcBorders>
            <w:shd w:val="clear" w:color="auto" w:fill="FFFFFF" w:themeFill="background1"/>
            <w:noWrap/>
            <w:vAlign w:val="center"/>
            <w:hideMark/>
          </w:tcPr>
          <w:p w:rsidR="00F92828" w:rsidRPr="00B22C43" w:rsidRDefault="00F92828" w:rsidP="00F8623E">
            <w:pPr>
              <w:spacing w:after="0" w:line="240" w:lineRule="auto"/>
              <w:jc w:val="center"/>
              <w:cnfStyle w:val="00000010000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100%</w:t>
            </w:r>
          </w:p>
        </w:tc>
      </w:tr>
    </w:tbl>
    <w:p w:rsidR="002A71CB" w:rsidRPr="00B22C43" w:rsidRDefault="002A71CB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/>
          <w:noProof/>
          <w:sz w:val="16"/>
          <w:szCs w:val="16"/>
        </w:rPr>
      </w:pPr>
    </w:p>
    <w:p w:rsidR="002A71CB" w:rsidRPr="00B22C43" w:rsidRDefault="002A71CB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/>
          <w:noProof/>
          <w:sz w:val="16"/>
          <w:szCs w:val="16"/>
        </w:rPr>
      </w:pPr>
    </w:p>
    <w:p w:rsidR="00716C73" w:rsidRDefault="00716C73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/>
          <w:noProof/>
          <w:sz w:val="16"/>
          <w:szCs w:val="16"/>
        </w:rPr>
      </w:pPr>
    </w:p>
    <w:p w:rsidR="0020498C" w:rsidRDefault="0020498C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/>
          <w:noProof/>
          <w:sz w:val="16"/>
          <w:szCs w:val="16"/>
        </w:rPr>
      </w:pPr>
    </w:p>
    <w:p w:rsidR="00C444D6" w:rsidRDefault="00C444D6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/>
          <w:noProof/>
          <w:sz w:val="16"/>
          <w:szCs w:val="16"/>
        </w:rPr>
      </w:pPr>
    </w:p>
    <w:p w:rsidR="0020498C" w:rsidRPr="00B22C43" w:rsidRDefault="0020498C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/>
          <w:noProof/>
          <w:sz w:val="16"/>
          <w:szCs w:val="16"/>
        </w:rPr>
      </w:pPr>
    </w:p>
    <w:tbl>
      <w:tblPr>
        <w:tblStyle w:val="SombreamentoClaro-nfase6"/>
        <w:tblW w:w="9680" w:type="dxa"/>
        <w:shd w:val="clear" w:color="auto" w:fill="FFFFFF" w:themeFill="background1"/>
        <w:tblLook w:val="04A0"/>
      </w:tblPr>
      <w:tblGrid>
        <w:gridCol w:w="8560"/>
        <w:gridCol w:w="1120"/>
      </w:tblGrid>
      <w:tr w:rsidR="00F92828" w:rsidRPr="00B22C43" w:rsidTr="00AD3FCC">
        <w:trPr>
          <w:cnfStyle w:val="100000000000"/>
          <w:trHeight w:val="615"/>
        </w:trPr>
        <w:tc>
          <w:tcPr>
            <w:cnfStyle w:val="001000000000"/>
            <w:tcW w:w="8560" w:type="dxa"/>
            <w:shd w:val="clear" w:color="auto" w:fill="FFFFFF" w:themeFill="background1"/>
            <w:noWrap/>
            <w:vAlign w:val="center"/>
            <w:hideMark/>
          </w:tcPr>
          <w:p w:rsidR="00F92828" w:rsidRPr="0020498C" w:rsidRDefault="00F92828" w:rsidP="00F8623E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 w:themeColor="text1"/>
                <w:szCs w:val="20"/>
                <w:lang w:eastAsia="pt-BR"/>
              </w:rPr>
            </w:pPr>
            <w:r w:rsidRPr="0020498C">
              <w:rPr>
                <w:rFonts w:eastAsia="Times New Roman"/>
                <w:color w:val="000000" w:themeColor="text1"/>
                <w:szCs w:val="20"/>
                <w:lang w:eastAsia="pt-BR"/>
              </w:rPr>
              <w:t>Distribuidor de GLP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92828" w:rsidRPr="0020498C" w:rsidRDefault="00F92828" w:rsidP="00F8623E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 w:themeColor="text1"/>
                <w:szCs w:val="20"/>
                <w:lang w:eastAsia="pt-BR"/>
              </w:rPr>
            </w:pPr>
            <w:r w:rsidRPr="0020498C">
              <w:rPr>
                <w:rFonts w:eastAsia="Times New Roman"/>
                <w:color w:val="000000" w:themeColor="text1"/>
                <w:szCs w:val="20"/>
                <w:lang w:eastAsia="pt-BR"/>
              </w:rPr>
              <w:t>(%)</w:t>
            </w:r>
          </w:p>
        </w:tc>
      </w:tr>
      <w:tr w:rsidR="00F92828" w:rsidRPr="00B22C43" w:rsidTr="0026148E">
        <w:trPr>
          <w:cnfStyle w:val="000000100000"/>
          <w:trHeight w:val="270"/>
        </w:trPr>
        <w:tc>
          <w:tcPr>
            <w:cnfStyle w:val="001000000000"/>
            <w:tcW w:w="8560" w:type="dxa"/>
            <w:tcBorders>
              <w:top w:val="single" w:sz="8" w:space="0" w:color="F79646" w:themeColor="accent6"/>
              <w:bottom w:val="nil"/>
            </w:tcBorders>
            <w:shd w:val="clear" w:color="auto" w:fill="F6882E"/>
            <w:noWrap/>
            <w:hideMark/>
          </w:tcPr>
          <w:p w:rsidR="00F92828" w:rsidRPr="009F4AD3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9F4AD3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Adquirir ou destinar produto de/para fonte diversa da autorizada</w:t>
            </w:r>
          </w:p>
        </w:tc>
        <w:tc>
          <w:tcPr>
            <w:tcW w:w="1120" w:type="dxa"/>
            <w:tcBorders>
              <w:top w:val="single" w:sz="8" w:space="0" w:color="F79646" w:themeColor="accent6"/>
              <w:bottom w:val="nil"/>
            </w:tcBorders>
            <w:shd w:val="clear" w:color="auto" w:fill="F6882E"/>
            <w:noWrap/>
            <w:hideMark/>
          </w:tcPr>
          <w:p w:rsidR="00F92828" w:rsidRPr="00B22C43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B22C4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92%</w:t>
            </w:r>
          </w:p>
        </w:tc>
      </w:tr>
      <w:tr w:rsidR="00F92828" w:rsidRPr="00B22C43" w:rsidTr="00301556">
        <w:trPr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ABF8F" w:themeFill="accent6" w:themeFillTint="99"/>
            <w:noWrap/>
            <w:hideMark/>
          </w:tcPr>
          <w:p w:rsidR="00F92828" w:rsidRPr="009F4AD3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9F4AD3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Equipamento ausente ou em desacordo com a legislação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ABF8F" w:themeFill="accent6" w:themeFillTint="99"/>
            <w:noWrap/>
            <w:hideMark/>
          </w:tcPr>
          <w:p w:rsidR="00F92828" w:rsidRPr="00B22C43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B22C4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3%</w:t>
            </w:r>
          </w:p>
        </w:tc>
      </w:tr>
      <w:tr w:rsidR="00F92828" w:rsidRPr="00B22C43" w:rsidTr="00301556">
        <w:trPr>
          <w:cnfStyle w:val="000000100000"/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BD4B4" w:themeFill="accent6" w:themeFillTint="66"/>
            <w:noWrap/>
            <w:hideMark/>
          </w:tcPr>
          <w:p w:rsidR="00F92828" w:rsidRPr="009F4AD3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9F4AD3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Não atender a normas de segurança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BD4B4" w:themeFill="accent6" w:themeFillTint="66"/>
            <w:noWrap/>
            <w:hideMark/>
          </w:tcPr>
          <w:p w:rsidR="00F92828" w:rsidRPr="00B22C43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B22C4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2%</w:t>
            </w:r>
          </w:p>
        </w:tc>
      </w:tr>
      <w:tr w:rsidR="00F92828" w:rsidRPr="00B22C43" w:rsidTr="00301556">
        <w:trPr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DE9D9" w:themeFill="accent6" w:themeFillTint="33"/>
            <w:noWrap/>
            <w:hideMark/>
          </w:tcPr>
          <w:p w:rsidR="00F92828" w:rsidRPr="009F4AD3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9F4AD3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Não prestar informações ao consumidor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DE9D9" w:themeFill="accent6" w:themeFillTint="33"/>
            <w:noWrap/>
            <w:hideMark/>
          </w:tcPr>
          <w:p w:rsidR="00F92828" w:rsidRPr="00B22C43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B22C4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1%</w:t>
            </w:r>
          </w:p>
        </w:tc>
      </w:tr>
      <w:tr w:rsidR="00F92828" w:rsidRPr="00B22C43" w:rsidTr="00301556">
        <w:trPr>
          <w:cnfStyle w:val="000000100000"/>
          <w:trHeight w:val="255"/>
        </w:trPr>
        <w:tc>
          <w:tcPr>
            <w:cnfStyle w:val="001000000000"/>
            <w:tcW w:w="8560" w:type="dxa"/>
            <w:tcBorders>
              <w:top w:val="nil"/>
            </w:tcBorders>
            <w:shd w:val="clear" w:color="auto" w:fill="FFFFFF" w:themeFill="background1"/>
            <w:noWrap/>
            <w:hideMark/>
          </w:tcPr>
          <w:p w:rsidR="00F92828" w:rsidRPr="009F4AD3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9F4AD3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Comercializar com vício de quantidade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 w:themeFill="background1"/>
            <w:noWrap/>
            <w:hideMark/>
          </w:tcPr>
          <w:p w:rsidR="00F92828" w:rsidRPr="00B22C43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B22C4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1%</w:t>
            </w:r>
          </w:p>
        </w:tc>
      </w:tr>
      <w:tr w:rsidR="00F92828" w:rsidRPr="00B22C43" w:rsidTr="00301556">
        <w:trPr>
          <w:trHeight w:val="270"/>
        </w:trPr>
        <w:tc>
          <w:tcPr>
            <w:cnfStyle w:val="001000000000"/>
            <w:tcW w:w="8560" w:type="dxa"/>
            <w:shd w:val="clear" w:color="auto" w:fill="FFFFFF" w:themeFill="background1"/>
            <w:noWrap/>
            <w:hideMark/>
          </w:tcPr>
          <w:p w:rsidR="00F92828" w:rsidRPr="009F4AD3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9F4AD3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Não cumprir notificação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F92828" w:rsidRPr="00B22C43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B22C4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1%</w:t>
            </w:r>
          </w:p>
        </w:tc>
      </w:tr>
      <w:tr w:rsidR="00F92828" w:rsidRPr="00B22C43" w:rsidTr="00301556">
        <w:trPr>
          <w:cnfStyle w:val="000000100000"/>
          <w:trHeight w:val="300"/>
        </w:trPr>
        <w:tc>
          <w:tcPr>
            <w:cnfStyle w:val="001000000000"/>
            <w:tcW w:w="8560" w:type="dxa"/>
            <w:tcBorders>
              <w:bottom w:val="single" w:sz="8" w:space="0" w:color="F79646" w:themeColor="accent6"/>
            </w:tcBorders>
            <w:shd w:val="clear" w:color="auto" w:fill="FFFFFF" w:themeFill="background1"/>
            <w:noWrap/>
            <w:vAlign w:val="center"/>
            <w:hideMark/>
          </w:tcPr>
          <w:p w:rsidR="00F92828" w:rsidRPr="00B22C43" w:rsidRDefault="00F92828" w:rsidP="00F8623E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22C4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20" w:type="dxa"/>
            <w:tcBorders>
              <w:bottom w:val="single" w:sz="8" w:space="0" w:color="F79646" w:themeColor="accent6"/>
            </w:tcBorders>
            <w:shd w:val="clear" w:color="auto" w:fill="FFFFFF" w:themeFill="background1"/>
            <w:noWrap/>
            <w:vAlign w:val="center"/>
            <w:hideMark/>
          </w:tcPr>
          <w:p w:rsidR="00F92828" w:rsidRPr="00B22C43" w:rsidRDefault="00F92828" w:rsidP="00F8623E">
            <w:pPr>
              <w:spacing w:after="0" w:line="240" w:lineRule="auto"/>
              <w:jc w:val="center"/>
              <w:cnfStyle w:val="00000010000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100%</w:t>
            </w:r>
          </w:p>
        </w:tc>
      </w:tr>
    </w:tbl>
    <w:p w:rsidR="002A71CB" w:rsidRDefault="002A71CB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/>
          <w:noProof/>
          <w:sz w:val="16"/>
          <w:szCs w:val="16"/>
        </w:rPr>
      </w:pPr>
    </w:p>
    <w:p w:rsidR="0020498C" w:rsidRPr="00B22C43" w:rsidRDefault="0020498C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/>
          <w:noProof/>
          <w:sz w:val="16"/>
          <w:szCs w:val="16"/>
        </w:rPr>
      </w:pPr>
    </w:p>
    <w:p w:rsidR="0076658B" w:rsidRDefault="0076658B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/>
          <w:noProof/>
          <w:sz w:val="16"/>
          <w:szCs w:val="16"/>
        </w:rPr>
      </w:pPr>
    </w:p>
    <w:p w:rsidR="0020498C" w:rsidRDefault="0020498C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/>
          <w:noProof/>
          <w:sz w:val="16"/>
          <w:szCs w:val="16"/>
        </w:rPr>
      </w:pPr>
    </w:p>
    <w:p w:rsidR="00C444D6" w:rsidRPr="00B22C43" w:rsidRDefault="00C444D6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/>
          <w:noProof/>
          <w:sz w:val="16"/>
          <w:szCs w:val="16"/>
        </w:rPr>
      </w:pPr>
    </w:p>
    <w:p w:rsidR="0076658B" w:rsidRPr="00B22C43" w:rsidRDefault="0076658B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/>
          <w:noProof/>
          <w:sz w:val="16"/>
          <w:szCs w:val="16"/>
        </w:rPr>
      </w:pPr>
    </w:p>
    <w:tbl>
      <w:tblPr>
        <w:tblStyle w:val="SombreamentoClaro-nfase6"/>
        <w:tblW w:w="9680" w:type="dxa"/>
        <w:shd w:val="clear" w:color="auto" w:fill="FFFFFF" w:themeFill="background1"/>
        <w:tblLook w:val="04A0"/>
      </w:tblPr>
      <w:tblGrid>
        <w:gridCol w:w="8560"/>
        <w:gridCol w:w="1120"/>
      </w:tblGrid>
      <w:tr w:rsidR="00F92828" w:rsidRPr="00F8623E" w:rsidTr="00AD3FCC">
        <w:trPr>
          <w:cnfStyle w:val="100000000000"/>
          <w:trHeight w:val="615"/>
        </w:trPr>
        <w:tc>
          <w:tcPr>
            <w:cnfStyle w:val="001000000000"/>
            <w:tcW w:w="8560" w:type="dxa"/>
            <w:shd w:val="clear" w:color="auto" w:fill="FFFFFF" w:themeFill="background1"/>
            <w:noWrap/>
            <w:vAlign w:val="center"/>
            <w:hideMark/>
          </w:tcPr>
          <w:p w:rsidR="00F92828" w:rsidRPr="0020498C" w:rsidRDefault="00F92828" w:rsidP="00F8623E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 w:themeColor="text1"/>
                <w:szCs w:val="20"/>
                <w:lang w:eastAsia="pt-BR"/>
              </w:rPr>
            </w:pPr>
            <w:r w:rsidRPr="0020498C">
              <w:rPr>
                <w:rFonts w:eastAsia="Times New Roman"/>
                <w:color w:val="000000" w:themeColor="text1"/>
                <w:szCs w:val="20"/>
                <w:lang w:eastAsia="pt-BR"/>
              </w:rPr>
              <w:t>Transportador-Revendedor-Retalhista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92828" w:rsidRPr="0020498C" w:rsidRDefault="00F92828" w:rsidP="00F8623E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 w:themeColor="text1"/>
                <w:szCs w:val="20"/>
                <w:lang w:eastAsia="pt-BR"/>
              </w:rPr>
            </w:pPr>
            <w:r w:rsidRPr="0020498C">
              <w:rPr>
                <w:rFonts w:eastAsia="Times New Roman"/>
                <w:color w:val="000000" w:themeColor="text1"/>
                <w:szCs w:val="20"/>
                <w:lang w:eastAsia="pt-BR"/>
              </w:rPr>
              <w:t>(%)</w:t>
            </w:r>
          </w:p>
        </w:tc>
      </w:tr>
      <w:tr w:rsidR="00F92828" w:rsidRPr="00F8623E" w:rsidTr="0026148E">
        <w:trPr>
          <w:cnfStyle w:val="000000100000"/>
          <w:trHeight w:val="270"/>
        </w:trPr>
        <w:tc>
          <w:tcPr>
            <w:cnfStyle w:val="001000000000"/>
            <w:tcW w:w="8560" w:type="dxa"/>
            <w:tcBorders>
              <w:top w:val="single" w:sz="8" w:space="0" w:color="F79646" w:themeColor="accent6"/>
              <w:bottom w:val="nil"/>
            </w:tcBorders>
            <w:shd w:val="clear" w:color="auto" w:fill="F6882E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Não apresentar ou apresentar em desacordo informações à ANP</w:t>
            </w:r>
          </w:p>
        </w:tc>
        <w:tc>
          <w:tcPr>
            <w:tcW w:w="1120" w:type="dxa"/>
            <w:tcBorders>
              <w:top w:val="single" w:sz="8" w:space="0" w:color="F79646" w:themeColor="accent6"/>
              <w:bottom w:val="nil"/>
            </w:tcBorders>
            <w:shd w:val="clear" w:color="auto" w:fill="F6882E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24%</w:t>
            </w:r>
          </w:p>
        </w:tc>
      </w:tr>
      <w:tr w:rsidR="00F92828" w:rsidRPr="00F8623E" w:rsidTr="00301556">
        <w:trPr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ABF8F" w:themeFill="accent6" w:themeFillTint="99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Não cumprir notificação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ABF8F" w:themeFill="accent6" w:themeFillTint="99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20%</w:t>
            </w:r>
          </w:p>
        </w:tc>
      </w:tr>
      <w:tr w:rsidR="00F92828" w:rsidRPr="00F8623E" w:rsidTr="00301556">
        <w:trPr>
          <w:cnfStyle w:val="000000100000"/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BD4B4" w:themeFill="accent6" w:themeFillTint="66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Adquirir ou destinar produto de/para fonte diversa da autorizada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BD4B4" w:themeFill="accent6" w:themeFillTint="66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14%</w:t>
            </w:r>
          </w:p>
        </w:tc>
      </w:tr>
      <w:tr w:rsidR="00F92828" w:rsidRPr="00F8623E" w:rsidTr="00301556">
        <w:trPr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DE9D9" w:themeFill="accent6" w:themeFillTint="33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Não apresentar documento de outorga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DE9D9" w:themeFill="accent6" w:themeFillTint="33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8%</w:t>
            </w:r>
          </w:p>
        </w:tc>
      </w:tr>
      <w:tr w:rsidR="00F92828" w:rsidRPr="00F8623E" w:rsidTr="00301556">
        <w:trPr>
          <w:cnfStyle w:val="000000100000"/>
          <w:trHeight w:val="255"/>
        </w:trPr>
        <w:tc>
          <w:tcPr>
            <w:cnfStyle w:val="001000000000"/>
            <w:tcW w:w="8560" w:type="dxa"/>
            <w:tcBorders>
              <w:top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Construir ou operar instalação sem autorização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6%</w:t>
            </w:r>
          </w:p>
        </w:tc>
      </w:tr>
      <w:tr w:rsidR="00F92828" w:rsidRPr="00F8623E" w:rsidTr="00301556">
        <w:trPr>
          <w:trHeight w:val="255"/>
        </w:trPr>
        <w:tc>
          <w:tcPr>
            <w:cnfStyle w:val="001000000000"/>
            <w:tcW w:w="856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Deixar de apresentar ou apresentar incorretamente documentação de movimentação de combustíveis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6%</w:t>
            </w:r>
          </w:p>
        </w:tc>
      </w:tr>
      <w:tr w:rsidR="00F92828" w:rsidRPr="00F8623E" w:rsidTr="00301556">
        <w:trPr>
          <w:cnfStyle w:val="000000100000"/>
          <w:trHeight w:val="255"/>
        </w:trPr>
        <w:tc>
          <w:tcPr>
            <w:cnfStyle w:val="001000000000"/>
            <w:tcW w:w="856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Equipamento ausente ou em desacordo com a legislação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6%</w:t>
            </w:r>
          </w:p>
        </w:tc>
      </w:tr>
      <w:tr w:rsidR="00F92828" w:rsidRPr="00F8623E" w:rsidTr="00301556">
        <w:trPr>
          <w:trHeight w:val="255"/>
        </w:trPr>
        <w:tc>
          <w:tcPr>
            <w:cnfStyle w:val="001000000000"/>
            <w:tcW w:w="856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Exercer atividade regulada sem autorização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4%</w:t>
            </w:r>
          </w:p>
        </w:tc>
      </w:tr>
      <w:tr w:rsidR="00F92828" w:rsidRPr="00F8623E" w:rsidTr="00301556">
        <w:trPr>
          <w:cnfStyle w:val="000000100000"/>
          <w:trHeight w:val="255"/>
        </w:trPr>
        <w:tc>
          <w:tcPr>
            <w:cnfStyle w:val="001000000000"/>
            <w:tcW w:w="856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Não atender a normas de segurança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4%</w:t>
            </w:r>
          </w:p>
        </w:tc>
      </w:tr>
      <w:tr w:rsidR="00F92828" w:rsidRPr="00F8623E" w:rsidTr="00301556">
        <w:trPr>
          <w:trHeight w:val="255"/>
        </w:trPr>
        <w:tc>
          <w:tcPr>
            <w:cnfStyle w:val="001000000000"/>
            <w:tcW w:w="856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Não atualizar dados cadastrais na ANP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4%</w:t>
            </w:r>
          </w:p>
        </w:tc>
      </w:tr>
      <w:tr w:rsidR="00F92828" w:rsidRPr="00F8623E" w:rsidTr="00301556">
        <w:trPr>
          <w:cnfStyle w:val="000000100000"/>
          <w:trHeight w:val="255"/>
        </w:trPr>
        <w:tc>
          <w:tcPr>
            <w:cnfStyle w:val="001000000000"/>
            <w:tcW w:w="856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Adquirir ou comercializar produto sem cobertura fiscal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2%</w:t>
            </w:r>
          </w:p>
        </w:tc>
      </w:tr>
      <w:tr w:rsidR="00F92828" w:rsidRPr="00F8623E" w:rsidTr="00301556">
        <w:trPr>
          <w:trHeight w:val="300"/>
        </w:trPr>
        <w:tc>
          <w:tcPr>
            <w:cnfStyle w:val="001000000000"/>
            <w:tcW w:w="8560" w:type="dxa"/>
            <w:shd w:val="clear" w:color="auto" w:fill="FFFFFF" w:themeFill="background1"/>
            <w:noWrap/>
            <w:hideMark/>
          </w:tcPr>
          <w:p w:rsidR="00F92828" w:rsidRPr="00F8623E" w:rsidRDefault="00F92828" w:rsidP="00A96943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Comercializar ou armazenar produto não</w:t>
            </w:r>
            <w:r w:rsidR="00A96943"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conforme com a especificação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2%</w:t>
            </w:r>
          </w:p>
        </w:tc>
      </w:tr>
      <w:tr w:rsidR="00F92828" w:rsidRPr="00F8623E" w:rsidTr="00301556">
        <w:trPr>
          <w:cnfStyle w:val="000000100000"/>
          <w:trHeight w:val="255"/>
        </w:trPr>
        <w:tc>
          <w:tcPr>
            <w:cnfStyle w:val="001000000000"/>
            <w:tcW w:w="8560" w:type="dxa"/>
            <w:tcBorders>
              <w:bottom w:val="single" w:sz="8" w:space="0" w:color="F79646" w:themeColor="accent6"/>
            </w:tcBorders>
            <w:shd w:val="clear" w:color="auto" w:fill="FFFFFF" w:themeFill="background1"/>
            <w:noWrap/>
            <w:vAlign w:val="center"/>
            <w:hideMark/>
          </w:tcPr>
          <w:p w:rsidR="00F92828" w:rsidRPr="00F8623E" w:rsidRDefault="00F92828" w:rsidP="00F8623E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20" w:type="dxa"/>
            <w:tcBorders>
              <w:bottom w:val="single" w:sz="8" w:space="0" w:color="F79646" w:themeColor="accent6"/>
            </w:tcBorders>
            <w:shd w:val="clear" w:color="auto" w:fill="FFFFFF" w:themeFill="background1"/>
            <w:noWrap/>
            <w:vAlign w:val="center"/>
            <w:hideMark/>
          </w:tcPr>
          <w:p w:rsidR="00F92828" w:rsidRPr="00F8623E" w:rsidRDefault="00F92828" w:rsidP="00F8623E">
            <w:pPr>
              <w:spacing w:after="0" w:line="240" w:lineRule="auto"/>
              <w:jc w:val="center"/>
              <w:cnfStyle w:val="000000100000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100%</w:t>
            </w:r>
          </w:p>
        </w:tc>
      </w:tr>
    </w:tbl>
    <w:p w:rsidR="002A71CB" w:rsidRPr="00B22C43" w:rsidRDefault="002A71CB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 w:cs="Calibri"/>
          <w:bCs/>
          <w:sz w:val="16"/>
          <w:szCs w:val="16"/>
        </w:rPr>
      </w:pPr>
    </w:p>
    <w:p w:rsidR="002A71CB" w:rsidRPr="00B22C43" w:rsidRDefault="002A71CB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 w:cs="Calibri"/>
          <w:bCs/>
          <w:sz w:val="16"/>
          <w:szCs w:val="16"/>
        </w:rPr>
      </w:pPr>
    </w:p>
    <w:p w:rsidR="00B22C43" w:rsidRPr="00B22C43" w:rsidRDefault="00B22C43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 w:cs="Calibri"/>
          <w:bCs/>
          <w:sz w:val="16"/>
          <w:szCs w:val="16"/>
        </w:rPr>
      </w:pPr>
    </w:p>
    <w:p w:rsidR="00B22C43" w:rsidRDefault="00B22C43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 w:cs="Calibri"/>
          <w:bCs/>
          <w:sz w:val="16"/>
          <w:szCs w:val="16"/>
        </w:rPr>
      </w:pPr>
    </w:p>
    <w:p w:rsidR="00B22C43" w:rsidRPr="00B22C43" w:rsidRDefault="00B22C43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 w:cs="Calibri"/>
          <w:bCs/>
          <w:sz w:val="16"/>
          <w:szCs w:val="16"/>
        </w:rPr>
      </w:pPr>
    </w:p>
    <w:tbl>
      <w:tblPr>
        <w:tblStyle w:val="SombreamentoClaro-nfase6"/>
        <w:tblW w:w="9680" w:type="dxa"/>
        <w:shd w:val="clear" w:color="auto" w:fill="FFFFFF" w:themeFill="background1"/>
        <w:tblLook w:val="04A0"/>
      </w:tblPr>
      <w:tblGrid>
        <w:gridCol w:w="8560"/>
        <w:gridCol w:w="1120"/>
      </w:tblGrid>
      <w:tr w:rsidR="00F92828" w:rsidRPr="00301556" w:rsidTr="00AD3FCC">
        <w:trPr>
          <w:cnfStyle w:val="100000000000"/>
          <w:trHeight w:val="612"/>
        </w:trPr>
        <w:tc>
          <w:tcPr>
            <w:cnfStyle w:val="001000000000"/>
            <w:tcW w:w="8560" w:type="dxa"/>
            <w:shd w:val="clear" w:color="auto" w:fill="FFFFFF" w:themeFill="background1"/>
            <w:noWrap/>
            <w:vAlign w:val="center"/>
            <w:hideMark/>
          </w:tcPr>
          <w:p w:rsidR="00F92828" w:rsidRPr="0020498C" w:rsidRDefault="00F92828" w:rsidP="00F92828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 w:themeColor="text1"/>
                <w:szCs w:val="20"/>
                <w:lang w:eastAsia="pt-BR"/>
              </w:rPr>
            </w:pPr>
            <w:r w:rsidRPr="0020498C">
              <w:rPr>
                <w:rFonts w:eastAsia="Times New Roman"/>
                <w:color w:val="000000" w:themeColor="text1"/>
                <w:szCs w:val="20"/>
                <w:lang w:eastAsia="pt-BR"/>
              </w:rPr>
              <w:t>Produtor de Etanol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92828" w:rsidRPr="0020498C" w:rsidRDefault="00F92828" w:rsidP="00F92828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 w:themeColor="text1"/>
                <w:szCs w:val="20"/>
                <w:lang w:eastAsia="pt-BR"/>
              </w:rPr>
            </w:pPr>
            <w:r w:rsidRPr="0020498C">
              <w:rPr>
                <w:rFonts w:eastAsia="Times New Roman"/>
                <w:color w:val="000000" w:themeColor="text1"/>
                <w:szCs w:val="20"/>
                <w:lang w:eastAsia="pt-BR"/>
              </w:rPr>
              <w:t>(%)</w:t>
            </w:r>
          </w:p>
        </w:tc>
      </w:tr>
      <w:tr w:rsidR="00F92828" w:rsidRPr="00F8623E" w:rsidTr="0026148E">
        <w:trPr>
          <w:cnfStyle w:val="000000100000"/>
          <w:trHeight w:val="300"/>
        </w:trPr>
        <w:tc>
          <w:tcPr>
            <w:cnfStyle w:val="001000000000"/>
            <w:tcW w:w="8560" w:type="dxa"/>
            <w:tcBorders>
              <w:top w:val="single" w:sz="8" w:space="0" w:color="F79646" w:themeColor="accent6"/>
              <w:bottom w:val="nil"/>
            </w:tcBorders>
            <w:shd w:val="clear" w:color="auto" w:fill="F6882E"/>
            <w:noWrap/>
            <w:hideMark/>
          </w:tcPr>
          <w:p w:rsidR="00F92828" w:rsidRPr="005069AE" w:rsidRDefault="00F92828" w:rsidP="00A96943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5069A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Comercializar ou armazenar produto não</w:t>
            </w:r>
            <w:r w:rsidR="00A96943" w:rsidRPr="005069A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5069A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conforme com a especificação</w:t>
            </w:r>
          </w:p>
        </w:tc>
        <w:tc>
          <w:tcPr>
            <w:tcW w:w="1120" w:type="dxa"/>
            <w:tcBorders>
              <w:top w:val="single" w:sz="8" w:space="0" w:color="F79646" w:themeColor="accent6"/>
              <w:bottom w:val="nil"/>
            </w:tcBorders>
            <w:shd w:val="clear" w:color="auto" w:fill="F6882E"/>
            <w:noWrap/>
            <w:hideMark/>
          </w:tcPr>
          <w:p w:rsidR="00F92828" w:rsidRPr="00F8623E" w:rsidRDefault="00F8623E" w:rsidP="00F8623E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50</w:t>
            </w:r>
            <w:r w:rsidR="00F92828"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%</w:t>
            </w:r>
          </w:p>
        </w:tc>
      </w:tr>
      <w:tr w:rsidR="00F92828" w:rsidRPr="00F8623E" w:rsidTr="005069AE">
        <w:trPr>
          <w:trHeight w:val="300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ABF8F" w:themeFill="accent6" w:themeFillTint="99"/>
            <w:noWrap/>
            <w:hideMark/>
          </w:tcPr>
          <w:p w:rsidR="00F92828" w:rsidRPr="005069A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5069A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Não cumprir notificação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ABF8F" w:themeFill="accent6" w:themeFillTint="99"/>
            <w:noWrap/>
            <w:hideMark/>
          </w:tcPr>
          <w:p w:rsidR="00F92828" w:rsidRPr="00F8623E" w:rsidRDefault="00F8623E" w:rsidP="00F8623E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32</w:t>
            </w:r>
            <w:r w:rsidR="00F92828"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%</w:t>
            </w:r>
          </w:p>
        </w:tc>
      </w:tr>
      <w:tr w:rsidR="00F92828" w:rsidRPr="00F8623E" w:rsidTr="005069AE">
        <w:trPr>
          <w:cnfStyle w:val="000000100000"/>
          <w:trHeight w:val="300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BD4B4" w:themeFill="accent6" w:themeFillTint="66"/>
            <w:noWrap/>
            <w:hideMark/>
          </w:tcPr>
          <w:p w:rsidR="00F92828" w:rsidRPr="005069A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5069A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Adquirir ou comercializar produto sem cobertura fiscal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BD4B4" w:themeFill="accent6" w:themeFillTint="66"/>
            <w:noWrap/>
            <w:hideMark/>
          </w:tcPr>
          <w:p w:rsidR="00F92828" w:rsidRPr="00F8623E" w:rsidRDefault="00F8623E" w:rsidP="00F8623E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6</w:t>
            </w:r>
            <w:r w:rsidR="00F92828"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%</w:t>
            </w:r>
          </w:p>
        </w:tc>
      </w:tr>
      <w:tr w:rsidR="00F92828" w:rsidRPr="00F8623E" w:rsidTr="005069AE">
        <w:trPr>
          <w:trHeight w:val="300"/>
        </w:trPr>
        <w:tc>
          <w:tcPr>
            <w:cnfStyle w:val="001000000000"/>
            <w:tcW w:w="8560" w:type="dxa"/>
            <w:tcBorders>
              <w:top w:val="nil"/>
            </w:tcBorders>
            <w:shd w:val="clear" w:color="auto" w:fill="FFFFFF" w:themeFill="background1"/>
            <w:noWrap/>
            <w:hideMark/>
          </w:tcPr>
          <w:p w:rsidR="00F92828" w:rsidRPr="005069A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5069A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Construir ou operar instalação sem autorização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8623E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6%</w:t>
            </w:r>
          </w:p>
        </w:tc>
      </w:tr>
      <w:tr w:rsidR="00F92828" w:rsidRPr="00F8623E" w:rsidTr="00301556">
        <w:trPr>
          <w:cnfStyle w:val="000000100000"/>
          <w:trHeight w:val="300"/>
        </w:trPr>
        <w:tc>
          <w:tcPr>
            <w:cnfStyle w:val="001000000000"/>
            <w:tcW w:w="8560" w:type="dxa"/>
            <w:shd w:val="clear" w:color="auto" w:fill="FFFFFF" w:themeFill="background1"/>
            <w:noWrap/>
            <w:hideMark/>
          </w:tcPr>
          <w:p w:rsidR="00F92828" w:rsidRPr="005069A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5069A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Não apresentar documento de outorga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F92828" w:rsidRPr="00F8623E" w:rsidRDefault="00F8623E" w:rsidP="00F8623E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6</w:t>
            </w:r>
            <w:r w:rsidR="00F92828"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%</w:t>
            </w:r>
          </w:p>
        </w:tc>
      </w:tr>
      <w:tr w:rsidR="00F92828" w:rsidRPr="00F8623E" w:rsidTr="00301556">
        <w:trPr>
          <w:trHeight w:val="300"/>
        </w:trPr>
        <w:tc>
          <w:tcPr>
            <w:cnfStyle w:val="001000000000"/>
            <w:tcW w:w="8560" w:type="dxa"/>
            <w:tcBorders>
              <w:bottom w:val="single" w:sz="8" w:space="0" w:color="F79646" w:themeColor="accent6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20" w:type="dxa"/>
            <w:tcBorders>
              <w:bottom w:val="single" w:sz="8" w:space="0" w:color="F79646" w:themeColor="accent6"/>
            </w:tcBorders>
            <w:shd w:val="clear" w:color="auto" w:fill="FFFFFF" w:themeFill="background1"/>
            <w:noWrap/>
            <w:hideMark/>
          </w:tcPr>
          <w:p w:rsidR="00F92828" w:rsidRPr="00F8623E" w:rsidRDefault="00F8623E" w:rsidP="00F8623E">
            <w:pPr>
              <w:spacing w:after="0" w:line="240" w:lineRule="auto"/>
              <w:jc w:val="center"/>
              <w:cnfStyle w:val="000000000000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100</w:t>
            </w:r>
            <w:r w:rsidR="00F92828" w:rsidRPr="00F8623E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%</w:t>
            </w:r>
          </w:p>
        </w:tc>
      </w:tr>
    </w:tbl>
    <w:p w:rsidR="0076658B" w:rsidRPr="00B22C43" w:rsidRDefault="0076658B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 w:cs="Calibri"/>
          <w:bCs/>
          <w:sz w:val="16"/>
          <w:szCs w:val="16"/>
        </w:rPr>
      </w:pPr>
    </w:p>
    <w:p w:rsidR="002A71CB" w:rsidRDefault="002A71CB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 w:cs="Calibri"/>
          <w:bCs/>
          <w:sz w:val="16"/>
          <w:szCs w:val="16"/>
        </w:rPr>
      </w:pPr>
    </w:p>
    <w:p w:rsidR="0020498C" w:rsidRDefault="0020498C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 w:cs="Calibri"/>
          <w:bCs/>
          <w:sz w:val="16"/>
          <w:szCs w:val="16"/>
        </w:rPr>
      </w:pPr>
    </w:p>
    <w:p w:rsidR="0020498C" w:rsidRDefault="0020498C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 w:cs="Calibri"/>
          <w:bCs/>
          <w:sz w:val="16"/>
          <w:szCs w:val="16"/>
        </w:rPr>
      </w:pPr>
    </w:p>
    <w:p w:rsidR="0020498C" w:rsidRDefault="0020498C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 w:cs="Calibri"/>
          <w:bCs/>
          <w:sz w:val="16"/>
          <w:szCs w:val="16"/>
        </w:rPr>
      </w:pPr>
    </w:p>
    <w:p w:rsidR="00C444D6" w:rsidRPr="00B22C43" w:rsidRDefault="00C444D6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 w:cs="Calibri"/>
          <w:bCs/>
          <w:sz w:val="16"/>
          <w:szCs w:val="16"/>
        </w:rPr>
      </w:pPr>
    </w:p>
    <w:tbl>
      <w:tblPr>
        <w:tblStyle w:val="SombreamentoClaro-nfase6"/>
        <w:tblW w:w="9680" w:type="dxa"/>
        <w:shd w:val="clear" w:color="auto" w:fill="FFFFFF" w:themeFill="background1"/>
        <w:tblLook w:val="04A0"/>
      </w:tblPr>
      <w:tblGrid>
        <w:gridCol w:w="8560"/>
        <w:gridCol w:w="1120"/>
      </w:tblGrid>
      <w:tr w:rsidR="00F92828" w:rsidRPr="00F8623E" w:rsidTr="00AD3FCC">
        <w:trPr>
          <w:cnfStyle w:val="100000000000"/>
          <w:trHeight w:val="615"/>
        </w:trPr>
        <w:tc>
          <w:tcPr>
            <w:cnfStyle w:val="001000000000"/>
            <w:tcW w:w="8560" w:type="dxa"/>
            <w:shd w:val="clear" w:color="auto" w:fill="FFFFFF" w:themeFill="background1"/>
            <w:noWrap/>
            <w:vAlign w:val="center"/>
            <w:hideMark/>
          </w:tcPr>
          <w:p w:rsidR="00F92828" w:rsidRPr="0020498C" w:rsidRDefault="00F92828" w:rsidP="00F8623E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 w:themeColor="text1"/>
                <w:szCs w:val="20"/>
                <w:lang w:eastAsia="pt-BR"/>
              </w:rPr>
            </w:pPr>
            <w:r w:rsidRPr="0020498C">
              <w:rPr>
                <w:rFonts w:eastAsia="Times New Roman"/>
                <w:color w:val="000000" w:themeColor="text1"/>
                <w:szCs w:val="20"/>
                <w:lang w:eastAsia="pt-BR"/>
              </w:rPr>
              <w:t>Produtor de Biodiesel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92828" w:rsidRPr="0020498C" w:rsidRDefault="00F92828" w:rsidP="00F8623E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 w:themeColor="text1"/>
                <w:szCs w:val="20"/>
                <w:lang w:eastAsia="pt-BR"/>
              </w:rPr>
            </w:pPr>
            <w:r w:rsidRPr="0020498C">
              <w:rPr>
                <w:rFonts w:eastAsia="Times New Roman"/>
                <w:color w:val="000000" w:themeColor="text1"/>
                <w:szCs w:val="20"/>
                <w:lang w:eastAsia="pt-BR"/>
              </w:rPr>
              <w:t>(%)</w:t>
            </w:r>
          </w:p>
        </w:tc>
      </w:tr>
      <w:tr w:rsidR="00F92828" w:rsidRPr="00F8623E" w:rsidTr="0026148E">
        <w:trPr>
          <w:cnfStyle w:val="000000100000"/>
          <w:trHeight w:val="300"/>
        </w:trPr>
        <w:tc>
          <w:tcPr>
            <w:cnfStyle w:val="001000000000"/>
            <w:tcW w:w="8560" w:type="dxa"/>
            <w:tcBorders>
              <w:top w:val="single" w:sz="8" w:space="0" w:color="F79646" w:themeColor="accent6"/>
              <w:bottom w:val="nil"/>
            </w:tcBorders>
            <w:shd w:val="clear" w:color="auto" w:fill="F6882E"/>
            <w:noWrap/>
            <w:hideMark/>
          </w:tcPr>
          <w:p w:rsidR="00F92828" w:rsidRPr="00F8623E" w:rsidRDefault="00F92828" w:rsidP="00A96943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Comercializar ou armazenar produto não</w:t>
            </w:r>
            <w:r w:rsidR="00A96943"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 xml:space="preserve"> </w:t>
            </w: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conforme com a especificação</w:t>
            </w:r>
          </w:p>
        </w:tc>
        <w:tc>
          <w:tcPr>
            <w:tcW w:w="1120" w:type="dxa"/>
            <w:tcBorders>
              <w:top w:val="single" w:sz="8" w:space="0" w:color="F79646" w:themeColor="accent6"/>
              <w:bottom w:val="nil"/>
            </w:tcBorders>
            <w:shd w:val="clear" w:color="auto" w:fill="F6882E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83%</w:t>
            </w:r>
          </w:p>
        </w:tc>
      </w:tr>
      <w:tr w:rsidR="00F92828" w:rsidRPr="00F8623E" w:rsidTr="00AF65E8">
        <w:trPr>
          <w:trHeight w:val="300"/>
        </w:trPr>
        <w:tc>
          <w:tcPr>
            <w:cnfStyle w:val="001000000000"/>
            <w:tcW w:w="8560" w:type="dxa"/>
            <w:tcBorders>
              <w:top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auto"/>
                <w:sz w:val="20"/>
                <w:szCs w:val="20"/>
                <w:lang w:eastAsia="pt-BR"/>
              </w:rPr>
              <w:t>Não apresentar documentação referente à qualidade dos combustíveis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17%</w:t>
            </w:r>
          </w:p>
        </w:tc>
      </w:tr>
      <w:tr w:rsidR="00F92828" w:rsidRPr="00F8623E" w:rsidTr="00301556">
        <w:trPr>
          <w:cnfStyle w:val="000000100000"/>
          <w:trHeight w:val="300"/>
        </w:trPr>
        <w:tc>
          <w:tcPr>
            <w:cnfStyle w:val="001000000000"/>
            <w:tcW w:w="8560" w:type="dxa"/>
            <w:tcBorders>
              <w:bottom w:val="single" w:sz="8" w:space="0" w:color="F79646" w:themeColor="accent6"/>
            </w:tcBorders>
            <w:shd w:val="clear" w:color="auto" w:fill="FFFFFF" w:themeFill="background1"/>
            <w:noWrap/>
            <w:vAlign w:val="center"/>
            <w:hideMark/>
          </w:tcPr>
          <w:p w:rsidR="00F92828" w:rsidRPr="00F8623E" w:rsidRDefault="00F92828" w:rsidP="00F8623E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auto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20" w:type="dxa"/>
            <w:tcBorders>
              <w:bottom w:val="single" w:sz="8" w:space="0" w:color="F79646" w:themeColor="accent6"/>
            </w:tcBorders>
            <w:shd w:val="clear" w:color="auto" w:fill="FFFFFF" w:themeFill="background1"/>
            <w:noWrap/>
            <w:vAlign w:val="center"/>
            <w:hideMark/>
          </w:tcPr>
          <w:p w:rsidR="00F92828" w:rsidRPr="00F8623E" w:rsidRDefault="00F92828" w:rsidP="00F8623E">
            <w:pPr>
              <w:spacing w:after="0" w:line="240" w:lineRule="auto"/>
              <w:jc w:val="center"/>
              <w:cnfStyle w:val="000000100000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100%</w:t>
            </w:r>
          </w:p>
        </w:tc>
      </w:tr>
    </w:tbl>
    <w:p w:rsidR="0076658B" w:rsidRPr="00B22C43" w:rsidRDefault="0076658B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 w:cs="Calibri"/>
          <w:bCs/>
          <w:sz w:val="16"/>
          <w:szCs w:val="16"/>
        </w:rPr>
      </w:pPr>
    </w:p>
    <w:p w:rsidR="002A71CB" w:rsidRDefault="002A71CB" w:rsidP="002A71CB">
      <w:pPr>
        <w:pStyle w:val="PargrafodaLista"/>
        <w:autoSpaceDE w:val="0"/>
        <w:autoSpaceDN w:val="0"/>
        <w:adjustRightInd w:val="0"/>
        <w:ind w:left="0"/>
        <w:jc w:val="center"/>
        <w:rPr>
          <w:rFonts w:asciiTheme="minorHAnsi" w:hAnsiTheme="minorHAnsi"/>
          <w:sz w:val="16"/>
        </w:rPr>
      </w:pPr>
    </w:p>
    <w:p w:rsidR="0020498C" w:rsidRPr="00B22C43" w:rsidRDefault="0020498C" w:rsidP="002A71CB">
      <w:pPr>
        <w:pStyle w:val="PargrafodaLista"/>
        <w:autoSpaceDE w:val="0"/>
        <w:autoSpaceDN w:val="0"/>
        <w:adjustRightInd w:val="0"/>
        <w:ind w:left="0"/>
        <w:jc w:val="center"/>
        <w:rPr>
          <w:rFonts w:asciiTheme="minorHAnsi" w:hAnsiTheme="minorHAnsi"/>
          <w:sz w:val="16"/>
        </w:rPr>
      </w:pPr>
    </w:p>
    <w:p w:rsidR="0076658B" w:rsidRDefault="0076658B" w:rsidP="002A71CB">
      <w:pPr>
        <w:pStyle w:val="PargrafodaLista"/>
        <w:autoSpaceDE w:val="0"/>
        <w:autoSpaceDN w:val="0"/>
        <w:adjustRightInd w:val="0"/>
        <w:ind w:left="0"/>
        <w:jc w:val="center"/>
        <w:rPr>
          <w:rFonts w:asciiTheme="minorHAnsi" w:hAnsiTheme="minorHAnsi"/>
          <w:sz w:val="16"/>
        </w:rPr>
      </w:pPr>
    </w:p>
    <w:p w:rsidR="00C444D6" w:rsidRDefault="00C444D6" w:rsidP="002A71CB">
      <w:pPr>
        <w:pStyle w:val="PargrafodaLista"/>
        <w:autoSpaceDE w:val="0"/>
        <w:autoSpaceDN w:val="0"/>
        <w:adjustRightInd w:val="0"/>
        <w:ind w:left="0"/>
        <w:jc w:val="center"/>
        <w:rPr>
          <w:rFonts w:asciiTheme="minorHAnsi" w:hAnsiTheme="minorHAnsi"/>
          <w:sz w:val="16"/>
        </w:rPr>
      </w:pPr>
    </w:p>
    <w:p w:rsidR="0020498C" w:rsidRPr="00B22C43" w:rsidRDefault="0020498C" w:rsidP="002A71CB">
      <w:pPr>
        <w:pStyle w:val="PargrafodaLista"/>
        <w:autoSpaceDE w:val="0"/>
        <w:autoSpaceDN w:val="0"/>
        <w:adjustRightInd w:val="0"/>
        <w:ind w:left="0"/>
        <w:jc w:val="center"/>
        <w:rPr>
          <w:rFonts w:asciiTheme="minorHAnsi" w:hAnsiTheme="minorHAnsi"/>
          <w:sz w:val="16"/>
        </w:rPr>
      </w:pPr>
    </w:p>
    <w:tbl>
      <w:tblPr>
        <w:tblStyle w:val="SombreamentoClaro-nfase6"/>
        <w:tblW w:w="9680" w:type="dxa"/>
        <w:shd w:val="clear" w:color="auto" w:fill="FFFFFF" w:themeFill="background1"/>
        <w:tblLook w:val="04A0"/>
      </w:tblPr>
      <w:tblGrid>
        <w:gridCol w:w="8560"/>
        <w:gridCol w:w="1120"/>
      </w:tblGrid>
      <w:tr w:rsidR="00F92828" w:rsidRPr="00B22C43" w:rsidTr="00AD3FCC">
        <w:trPr>
          <w:cnfStyle w:val="100000000000"/>
          <w:trHeight w:val="615"/>
        </w:trPr>
        <w:tc>
          <w:tcPr>
            <w:cnfStyle w:val="001000000000"/>
            <w:tcW w:w="8560" w:type="dxa"/>
            <w:shd w:val="clear" w:color="auto" w:fill="FFFFFF" w:themeFill="background1"/>
            <w:noWrap/>
            <w:vAlign w:val="center"/>
            <w:hideMark/>
          </w:tcPr>
          <w:p w:rsidR="00F92828" w:rsidRPr="0020498C" w:rsidRDefault="00F92828" w:rsidP="00F8623E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 w:themeColor="text1"/>
                <w:szCs w:val="20"/>
                <w:lang w:eastAsia="pt-BR"/>
              </w:rPr>
            </w:pPr>
            <w:r w:rsidRPr="0020498C">
              <w:rPr>
                <w:rFonts w:eastAsia="Times New Roman"/>
                <w:color w:val="000000" w:themeColor="text1"/>
                <w:szCs w:val="20"/>
                <w:lang w:eastAsia="pt-BR"/>
              </w:rPr>
              <w:t>Produtor de Lubrificantes</w:t>
            </w:r>
          </w:p>
        </w:tc>
        <w:tc>
          <w:tcPr>
            <w:tcW w:w="1120" w:type="dxa"/>
            <w:shd w:val="clear" w:color="auto" w:fill="FFFFFF" w:themeFill="background1"/>
            <w:vAlign w:val="center"/>
            <w:hideMark/>
          </w:tcPr>
          <w:p w:rsidR="00F92828" w:rsidRPr="0020498C" w:rsidRDefault="00F92828" w:rsidP="00F8623E">
            <w:pPr>
              <w:spacing w:after="0" w:line="240" w:lineRule="auto"/>
              <w:jc w:val="center"/>
              <w:cnfStyle w:val="100000000000"/>
              <w:rPr>
                <w:rFonts w:eastAsia="Times New Roman"/>
                <w:b w:val="0"/>
                <w:bCs w:val="0"/>
                <w:color w:val="000000" w:themeColor="text1"/>
                <w:szCs w:val="20"/>
                <w:lang w:eastAsia="pt-BR"/>
              </w:rPr>
            </w:pPr>
            <w:r w:rsidRPr="0020498C">
              <w:rPr>
                <w:rFonts w:eastAsia="Times New Roman"/>
                <w:color w:val="000000" w:themeColor="text1"/>
                <w:szCs w:val="20"/>
                <w:lang w:eastAsia="pt-BR"/>
              </w:rPr>
              <w:t>(%)</w:t>
            </w:r>
          </w:p>
        </w:tc>
      </w:tr>
      <w:tr w:rsidR="00F92828" w:rsidRPr="00B22C43" w:rsidTr="0026148E">
        <w:trPr>
          <w:cnfStyle w:val="000000100000"/>
          <w:trHeight w:val="270"/>
        </w:trPr>
        <w:tc>
          <w:tcPr>
            <w:cnfStyle w:val="001000000000"/>
            <w:tcW w:w="8560" w:type="dxa"/>
            <w:tcBorders>
              <w:top w:val="single" w:sz="8" w:space="0" w:color="F79646" w:themeColor="accent6"/>
              <w:bottom w:val="nil"/>
            </w:tcBorders>
            <w:shd w:val="clear" w:color="auto" w:fill="F6882E"/>
            <w:noWrap/>
            <w:hideMark/>
          </w:tcPr>
          <w:p w:rsidR="00F92828" w:rsidRPr="00F8623E" w:rsidRDefault="00F92828" w:rsidP="00A96943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Comercializar ou armazenar produto não</w:t>
            </w:r>
            <w:r w:rsidR="00A96943" w:rsidRPr="00F8623E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 xml:space="preserve"> c</w:t>
            </w:r>
            <w:r w:rsidRPr="00F8623E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onforme com o registro</w:t>
            </w:r>
          </w:p>
        </w:tc>
        <w:tc>
          <w:tcPr>
            <w:tcW w:w="1120" w:type="dxa"/>
            <w:tcBorders>
              <w:top w:val="single" w:sz="8" w:space="0" w:color="F79646" w:themeColor="accent6"/>
              <w:bottom w:val="nil"/>
            </w:tcBorders>
            <w:shd w:val="clear" w:color="auto" w:fill="F6882E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30%</w:t>
            </w:r>
          </w:p>
        </w:tc>
      </w:tr>
      <w:tr w:rsidR="00F92828" w:rsidRPr="00B22C43" w:rsidTr="00AF65E8">
        <w:trPr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ABF8F" w:themeFill="accent6" w:themeFillTint="99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Comercializar produto com rótulo ou lacre em desacordo com a legislação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ABF8F" w:themeFill="accent6" w:themeFillTint="99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30%</w:t>
            </w:r>
          </w:p>
        </w:tc>
      </w:tr>
      <w:tr w:rsidR="00F92828" w:rsidRPr="00B22C43" w:rsidTr="00AF65E8">
        <w:trPr>
          <w:cnfStyle w:val="000000100000"/>
          <w:trHeight w:val="255"/>
        </w:trPr>
        <w:tc>
          <w:tcPr>
            <w:cnfStyle w:val="001000000000"/>
            <w:tcW w:w="8560" w:type="dxa"/>
            <w:tcBorders>
              <w:top w:val="nil"/>
              <w:bottom w:val="nil"/>
            </w:tcBorders>
            <w:shd w:val="clear" w:color="auto" w:fill="FBD4B4" w:themeFill="accent6" w:themeFillTint="66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Exercer atividade regulada sem autorização</w:t>
            </w: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FBD4B4" w:themeFill="accent6" w:themeFillTint="66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16%</w:t>
            </w:r>
          </w:p>
        </w:tc>
      </w:tr>
      <w:tr w:rsidR="00F92828" w:rsidRPr="00B22C43" w:rsidTr="00AF65E8">
        <w:trPr>
          <w:trHeight w:val="255"/>
        </w:trPr>
        <w:tc>
          <w:tcPr>
            <w:cnfStyle w:val="001000000000"/>
            <w:tcW w:w="8560" w:type="dxa"/>
            <w:tcBorders>
              <w:top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Comercializar ou armazenar produto sem registro e/ou informação de registro na ANP</w:t>
            </w:r>
          </w:p>
        </w:tc>
        <w:tc>
          <w:tcPr>
            <w:tcW w:w="1120" w:type="dxa"/>
            <w:tcBorders>
              <w:top w:val="nil"/>
            </w:tcBorders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8%</w:t>
            </w:r>
          </w:p>
        </w:tc>
      </w:tr>
      <w:tr w:rsidR="00F92828" w:rsidRPr="00B22C43" w:rsidTr="00301556">
        <w:trPr>
          <w:cnfStyle w:val="000000100000"/>
          <w:trHeight w:val="300"/>
        </w:trPr>
        <w:tc>
          <w:tcPr>
            <w:cnfStyle w:val="001000000000"/>
            <w:tcW w:w="856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Não apresentar documento de outorga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1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8%</w:t>
            </w:r>
          </w:p>
        </w:tc>
      </w:tr>
      <w:tr w:rsidR="00F92828" w:rsidRPr="00B22C43" w:rsidTr="00301556">
        <w:trPr>
          <w:trHeight w:val="270"/>
        </w:trPr>
        <w:tc>
          <w:tcPr>
            <w:cnfStyle w:val="001000000000"/>
            <w:tcW w:w="856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b w:val="0"/>
                <w:color w:val="000000"/>
                <w:sz w:val="20"/>
                <w:szCs w:val="20"/>
                <w:lang w:eastAsia="pt-BR"/>
              </w:rPr>
              <w:t>Não cumprir notificação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F92828" w:rsidRPr="00F8623E" w:rsidRDefault="00F92828" w:rsidP="00F92828">
            <w:pPr>
              <w:spacing w:after="0" w:line="240" w:lineRule="auto"/>
              <w:jc w:val="center"/>
              <w:cnfStyle w:val="000000000000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F8623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8%</w:t>
            </w:r>
          </w:p>
        </w:tc>
      </w:tr>
      <w:tr w:rsidR="00F92828" w:rsidRPr="00B22C43" w:rsidTr="00301556">
        <w:trPr>
          <w:cnfStyle w:val="000000100000"/>
          <w:trHeight w:val="255"/>
        </w:trPr>
        <w:tc>
          <w:tcPr>
            <w:cnfStyle w:val="001000000000"/>
            <w:tcW w:w="8560" w:type="dxa"/>
            <w:tcBorders>
              <w:bottom w:val="single" w:sz="8" w:space="0" w:color="F79646" w:themeColor="accent6"/>
            </w:tcBorders>
            <w:shd w:val="clear" w:color="auto" w:fill="FFFFFF" w:themeFill="background1"/>
            <w:noWrap/>
            <w:vAlign w:val="center"/>
            <w:hideMark/>
          </w:tcPr>
          <w:p w:rsidR="00F92828" w:rsidRPr="00B22C43" w:rsidRDefault="00F92828" w:rsidP="00F8623E">
            <w:pPr>
              <w:spacing w:after="0" w:line="240" w:lineRule="auto"/>
              <w:jc w:val="center"/>
              <w:rPr>
                <w:rFonts w:eastAsia="Times New Roman"/>
                <w:b w:val="0"/>
                <w:bCs w:val="0"/>
                <w:color w:val="000000"/>
                <w:sz w:val="20"/>
                <w:szCs w:val="20"/>
                <w:lang w:eastAsia="pt-BR"/>
              </w:rPr>
            </w:pPr>
            <w:r w:rsidRPr="00B22C4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120" w:type="dxa"/>
            <w:tcBorders>
              <w:bottom w:val="single" w:sz="8" w:space="0" w:color="F79646" w:themeColor="accent6"/>
            </w:tcBorders>
            <w:shd w:val="clear" w:color="auto" w:fill="FFFFFF" w:themeFill="background1"/>
            <w:noWrap/>
            <w:vAlign w:val="center"/>
            <w:hideMark/>
          </w:tcPr>
          <w:p w:rsidR="00F92828" w:rsidRPr="00B22C43" w:rsidRDefault="00F92828" w:rsidP="00F8623E">
            <w:pPr>
              <w:spacing w:after="0" w:line="240" w:lineRule="auto"/>
              <w:jc w:val="center"/>
              <w:cnfStyle w:val="00000010000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22C4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t-BR"/>
              </w:rPr>
              <w:t>100%</w:t>
            </w:r>
          </w:p>
        </w:tc>
      </w:tr>
    </w:tbl>
    <w:p w:rsidR="009340FD" w:rsidRPr="00B22C43" w:rsidRDefault="009340FD" w:rsidP="002A71CB">
      <w:pPr>
        <w:pStyle w:val="PargrafodaLista"/>
        <w:autoSpaceDE w:val="0"/>
        <w:autoSpaceDN w:val="0"/>
        <w:adjustRightInd w:val="0"/>
        <w:ind w:left="0"/>
        <w:jc w:val="center"/>
        <w:rPr>
          <w:rFonts w:asciiTheme="minorHAnsi" w:hAnsiTheme="minorHAnsi"/>
          <w:sz w:val="16"/>
        </w:rPr>
      </w:pPr>
    </w:p>
    <w:p w:rsidR="002A71CB" w:rsidRPr="00B22C43" w:rsidRDefault="002A71CB" w:rsidP="002A71CB">
      <w:pPr>
        <w:pStyle w:val="PargrafodaLista"/>
        <w:autoSpaceDE w:val="0"/>
        <w:autoSpaceDN w:val="0"/>
        <w:adjustRightInd w:val="0"/>
        <w:ind w:left="0"/>
        <w:jc w:val="center"/>
        <w:rPr>
          <w:rFonts w:asciiTheme="minorHAnsi" w:hAnsiTheme="minorHAnsi"/>
          <w:noProof/>
          <w:sz w:val="16"/>
          <w:szCs w:val="16"/>
        </w:rPr>
      </w:pPr>
      <w:r w:rsidRPr="00B22C43">
        <w:rPr>
          <w:rFonts w:asciiTheme="minorHAnsi" w:hAnsiTheme="minorHAnsi"/>
          <w:sz w:val="16"/>
        </w:rPr>
        <w:t>Fonte:</w:t>
      </w:r>
      <w:r w:rsidRPr="00B22C43">
        <w:rPr>
          <w:rFonts w:asciiTheme="minorHAnsi" w:hAnsiTheme="minorHAnsi"/>
          <w:noProof/>
          <w:sz w:val="16"/>
          <w:szCs w:val="16"/>
        </w:rPr>
        <w:t xml:space="preserve"> Dados extraídos do SIGI-WEB em </w:t>
      </w:r>
      <w:r w:rsidR="00F92828" w:rsidRPr="00B22C43">
        <w:rPr>
          <w:rFonts w:asciiTheme="minorHAnsi" w:hAnsiTheme="minorHAnsi"/>
          <w:noProof/>
          <w:sz w:val="16"/>
          <w:szCs w:val="16"/>
        </w:rPr>
        <w:t>19/07</w:t>
      </w:r>
      <w:r w:rsidRPr="00B22C43">
        <w:rPr>
          <w:rFonts w:asciiTheme="minorHAnsi" w:hAnsiTheme="minorHAnsi"/>
          <w:noProof/>
          <w:sz w:val="16"/>
          <w:szCs w:val="16"/>
        </w:rPr>
        <w:t>/201</w:t>
      </w:r>
      <w:r w:rsidR="00F92828" w:rsidRPr="00B22C43">
        <w:rPr>
          <w:rFonts w:asciiTheme="minorHAnsi" w:hAnsiTheme="minorHAnsi"/>
          <w:noProof/>
          <w:sz w:val="16"/>
          <w:szCs w:val="16"/>
        </w:rPr>
        <w:t>7</w:t>
      </w:r>
      <w:r w:rsidRPr="00B22C43">
        <w:rPr>
          <w:rFonts w:asciiTheme="minorHAnsi" w:hAnsiTheme="minorHAnsi"/>
          <w:noProof/>
          <w:sz w:val="16"/>
          <w:szCs w:val="16"/>
        </w:rPr>
        <w:t>. Elaboração própria</w:t>
      </w:r>
    </w:p>
    <w:p w:rsidR="002A71CB" w:rsidRPr="00B22C43" w:rsidRDefault="002A71CB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/>
          <w:noProof/>
          <w:sz w:val="10"/>
          <w:szCs w:val="10"/>
        </w:rPr>
      </w:pPr>
    </w:p>
    <w:p w:rsidR="002A71CB" w:rsidRPr="00B22C43" w:rsidRDefault="002A71CB" w:rsidP="002A71CB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 w:cs="Calibri"/>
          <w:bCs/>
          <w:sz w:val="22"/>
          <w:szCs w:val="22"/>
        </w:rPr>
      </w:pPr>
    </w:p>
    <w:p w:rsidR="00EC40C2" w:rsidRPr="00B22C43" w:rsidRDefault="00EC40C2" w:rsidP="00EC40C2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/>
          <w:noProof/>
          <w:sz w:val="10"/>
          <w:szCs w:val="10"/>
        </w:rPr>
      </w:pPr>
    </w:p>
    <w:p w:rsidR="00EC40C2" w:rsidRPr="006E1ABC" w:rsidRDefault="00EC40C2" w:rsidP="002F3D42">
      <w:pPr>
        <w:pStyle w:val="PargrafodaLista"/>
        <w:autoSpaceDE w:val="0"/>
        <w:autoSpaceDN w:val="0"/>
        <w:adjustRightInd w:val="0"/>
        <w:ind w:left="0"/>
        <w:jc w:val="both"/>
        <w:rPr>
          <w:rFonts w:asciiTheme="minorHAnsi" w:hAnsiTheme="minorHAnsi" w:cs="Calibri"/>
          <w:bCs/>
          <w:sz w:val="22"/>
          <w:szCs w:val="22"/>
          <w:highlight w:val="yellow"/>
        </w:rPr>
      </w:pPr>
    </w:p>
    <w:sectPr w:rsidR="00EC40C2" w:rsidRPr="006E1ABC" w:rsidSect="00EC648F">
      <w:headerReference w:type="default" r:id="rId23"/>
      <w:footerReference w:type="default" r:id="rId24"/>
      <w:type w:val="continuous"/>
      <w:pgSz w:w="11906" w:h="16838"/>
      <w:pgMar w:top="1531" w:right="1077" w:bottom="1135" w:left="1077" w:header="680" w:footer="7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795" w:rsidRDefault="00035795" w:rsidP="009E40EF">
      <w:pPr>
        <w:spacing w:after="0" w:line="240" w:lineRule="auto"/>
      </w:pPr>
      <w:r>
        <w:separator/>
      </w:r>
    </w:p>
  </w:endnote>
  <w:endnote w:type="continuationSeparator" w:id="0">
    <w:p w:rsidR="00035795" w:rsidRDefault="00035795" w:rsidP="009E4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T16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95" w:rsidRDefault="00035795">
    <w:pPr>
      <w:pStyle w:val="Rodap"/>
    </w:pPr>
  </w:p>
  <w:p w:rsidR="00035795" w:rsidRDefault="00035795">
    <w:pPr>
      <w:pStyle w:val="Rodap"/>
    </w:pPr>
  </w:p>
  <w:p w:rsidR="00035795" w:rsidRDefault="0003579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95" w:rsidRPr="00FC5942" w:rsidRDefault="00035795">
    <w:pPr>
      <w:pStyle w:val="Rodap"/>
      <w:jc w:val="right"/>
      <w:rPr>
        <w:sz w:val="18"/>
        <w:szCs w:val="18"/>
      </w:rPr>
    </w:pPr>
    <w:r w:rsidRPr="00FC5942">
      <w:rPr>
        <w:sz w:val="18"/>
        <w:szCs w:val="18"/>
      </w:rPr>
      <w:fldChar w:fldCharType="begin"/>
    </w:r>
    <w:r w:rsidRPr="00FC5942">
      <w:rPr>
        <w:sz w:val="18"/>
        <w:szCs w:val="18"/>
      </w:rPr>
      <w:instrText xml:space="preserve"> PAGE   \* MERGEFORMAT </w:instrText>
    </w:r>
    <w:r w:rsidRPr="00FC5942">
      <w:rPr>
        <w:sz w:val="18"/>
        <w:szCs w:val="18"/>
      </w:rPr>
      <w:fldChar w:fldCharType="separate"/>
    </w:r>
    <w:r w:rsidR="004E763C">
      <w:rPr>
        <w:noProof/>
        <w:sz w:val="18"/>
        <w:szCs w:val="18"/>
      </w:rPr>
      <w:t>17</w:t>
    </w:r>
    <w:r w:rsidRPr="00FC5942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795" w:rsidRDefault="00035795" w:rsidP="009E40EF">
      <w:pPr>
        <w:spacing w:after="0" w:line="240" w:lineRule="auto"/>
      </w:pPr>
      <w:r>
        <w:separator/>
      </w:r>
    </w:p>
  </w:footnote>
  <w:footnote w:type="continuationSeparator" w:id="0">
    <w:p w:rsidR="00035795" w:rsidRDefault="00035795" w:rsidP="009E4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95" w:rsidRDefault="00035795">
    <w:pPr>
      <w:pStyle w:val="Cabealho"/>
    </w:pPr>
  </w:p>
  <w:p w:rsidR="00035795" w:rsidRDefault="0003579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795" w:rsidRDefault="00035795" w:rsidP="007B7C82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2289" type="#_x0000_t202" style="position:absolute;margin-left:-16.8pt;margin-top:6.5pt;width:526.7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" fillcolor="#ffd85b" stroked="f">
          <v:fill opacity="52428f"/>
          <v:textbox>
            <w:txbxContent>
              <w:p w:rsidR="00035795" w:rsidRPr="00AD3FCC" w:rsidRDefault="00035795" w:rsidP="00385448">
                <w:pPr>
                  <w:ind w:right="-88"/>
                  <w:jc w:val="right"/>
                  <w:rPr>
                    <w:rFonts w:ascii="TT160t00" w:hAnsi="TT160t00" w:cs="TT160t00"/>
                    <w:i/>
                    <w:sz w:val="8"/>
                    <w:szCs w:val="18"/>
                    <w:lang w:eastAsia="pt-BR"/>
                  </w:rPr>
                </w:pPr>
                <w:r w:rsidRPr="006440CC">
                  <w:rPr>
                    <w:rFonts w:ascii="Cambria" w:hAnsi="Cambria" w:cs="Arial"/>
                    <w:color w:val="000000"/>
                  </w:rPr>
                  <w:t xml:space="preserve">FISCALIZAÇÃO </w:t>
                </w:r>
                <w:r>
                  <w:rPr>
                    <w:rFonts w:ascii="Cambria" w:hAnsi="Cambria" w:cs="Arial"/>
                    <w:color w:val="000000"/>
                  </w:rPr>
                  <w:t xml:space="preserve">do ABASTECIMENTO </w:t>
                </w:r>
                <w:r w:rsidRPr="006440CC">
                  <w:rPr>
                    <w:rFonts w:ascii="Cambria" w:hAnsi="Cambria" w:cs="Arial"/>
                    <w:color w:val="000000"/>
                  </w:rPr>
                  <w:t>em Notícias</w:t>
                </w:r>
                <w:r>
                  <w:rPr>
                    <w:rFonts w:ascii="Cambria" w:hAnsi="Cambria" w:cs="Arial"/>
                    <w:color w:val="000000"/>
                  </w:rPr>
                  <w:t xml:space="preserve">                                                                                    </w:t>
                </w:r>
                <w:r>
                  <w:rPr>
                    <w:rFonts w:ascii="TT160t00" w:hAnsi="TT160t00" w:cs="TT160t00"/>
                    <w:sz w:val="18"/>
                    <w:szCs w:val="18"/>
                    <w:lang w:eastAsia="pt-BR"/>
                  </w:rPr>
                  <w:t xml:space="preserve"> </w:t>
                </w:r>
                <w:r w:rsidRPr="00A40501">
                  <w:rPr>
                    <w:rFonts w:ascii="TT160t00" w:hAnsi="TT160t00" w:cs="TT160t00"/>
                    <w:i/>
                    <w:sz w:val="18"/>
                    <w:szCs w:val="18"/>
                    <w:lang w:eastAsia="pt-BR"/>
                  </w:rPr>
                  <w:t>1º semestre, 2017</w:t>
                </w:r>
                <w:proofErr w:type="gramStart"/>
                <w:r>
                  <w:rPr>
                    <w:rFonts w:ascii="TT160t00" w:hAnsi="TT160t00" w:cs="TT160t00"/>
                    <w:i/>
                    <w:sz w:val="18"/>
                    <w:szCs w:val="18"/>
                    <w:lang w:eastAsia="pt-BR"/>
                  </w:rPr>
                  <w:t xml:space="preserve">  </w:t>
                </w:r>
                <w:r w:rsidRPr="00AD3FCC">
                  <w:rPr>
                    <w:rFonts w:ascii="TT160t00" w:hAnsi="TT160t00" w:cs="TT160t00"/>
                    <w:i/>
                    <w:color w:val="FFC000"/>
                    <w:sz w:val="8"/>
                    <w:szCs w:val="18"/>
                    <w:lang w:eastAsia="pt-BR"/>
                  </w:rPr>
                  <w:t>.</w:t>
                </w:r>
                <w:proofErr w:type="gramEnd"/>
                <w:r w:rsidRPr="00AD3FCC">
                  <w:rPr>
                    <w:rFonts w:ascii="TT160t00" w:hAnsi="TT160t00" w:cs="TT160t00"/>
                    <w:i/>
                    <w:sz w:val="8"/>
                    <w:szCs w:val="18"/>
                    <w:lang w:eastAsia="pt-BR"/>
                  </w:rPr>
                  <w:t xml:space="preserve">   </w:t>
                </w:r>
              </w:p>
              <w:p w:rsidR="00035795" w:rsidRPr="00A40501" w:rsidRDefault="00035795" w:rsidP="007B7C82">
                <w:pPr>
                  <w:ind w:right="-88"/>
                  <w:rPr>
                    <w:i/>
                    <w:color w:val="000000"/>
                  </w:rPr>
                </w:pPr>
                <w:r w:rsidRPr="00A40501">
                  <w:rPr>
                    <w:rFonts w:ascii="TT160t00" w:hAnsi="TT160t00" w:cs="TT160t00"/>
                    <w:i/>
                    <w:sz w:val="18"/>
                    <w:szCs w:val="18"/>
                    <w:lang w:eastAsia="pt-BR"/>
                  </w:rPr>
                  <w:t>05</w:t>
                </w:r>
              </w:p>
            </w:txbxContent>
          </v:textbox>
        </v:shape>
      </w:pict>
    </w:r>
  </w:p>
  <w:p w:rsidR="00035795" w:rsidRPr="00F657B0" w:rsidRDefault="0003579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63C"/>
    <w:multiLevelType w:val="hybridMultilevel"/>
    <w:tmpl w:val="766A2E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5662F"/>
    <w:multiLevelType w:val="hybridMultilevel"/>
    <w:tmpl w:val="D6CA9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D3841"/>
    <w:multiLevelType w:val="hybridMultilevel"/>
    <w:tmpl w:val="A1384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47E0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0E840074"/>
    <w:multiLevelType w:val="hybridMultilevel"/>
    <w:tmpl w:val="722EDBF4"/>
    <w:lvl w:ilvl="0" w:tplc="01BA886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F5C1F"/>
    <w:multiLevelType w:val="multilevel"/>
    <w:tmpl w:val="28DE1E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44F46D0"/>
    <w:multiLevelType w:val="hybridMultilevel"/>
    <w:tmpl w:val="AC3266A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2A1C34"/>
    <w:multiLevelType w:val="hybridMultilevel"/>
    <w:tmpl w:val="C3F6431A"/>
    <w:lvl w:ilvl="0" w:tplc="6898159E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8232A40"/>
    <w:multiLevelType w:val="hybridMultilevel"/>
    <w:tmpl w:val="109C87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D676F"/>
    <w:multiLevelType w:val="hybridMultilevel"/>
    <w:tmpl w:val="1722F0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07DDD"/>
    <w:multiLevelType w:val="hybridMultilevel"/>
    <w:tmpl w:val="D02230C0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A27417"/>
    <w:multiLevelType w:val="hybridMultilevel"/>
    <w:tmpl w:val="C8247F6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112909"/>
    <w:multiLevelType w:val="hybridMultilevel"/>
    <w:tmpl w:val="0CD46300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2E739D"/>
    <w:multiLevelType w:val="hybridMultilevel"/>
    <w:tmpl w:val="0CD46300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751146C"/>
    <w:multiLevelType w:val="hybridMultilevel"/>
    <w:tmpl w:val="CC14BB76"/>
    <w:lvl w:ilvl="0" w:tplc="09F8B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E34E4D"/>
    <w:multiLevelType w:val="hybridMultilevel"/>
    <w:tmpl w:val="2ECCC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2416BF"/>
    <w:multiLevelType w:val="hybridMultilevel"/>
    <w:tmpl w:val="B8F2A2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836C41"/>
    <w:multiLevelType w:val="hybridMultilevel"/>
    <w:tmpl w:val="C324DA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A28AC"/>
    <w:multiLevelType w:val="hybridMultilevel"/>
    <w:tmpl w:val="0CD46300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5F054C8"/>
    <w:multiLevelType w:val="hybridMultilevel"/>
    <w:tmpl w:val="6D7CD0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B7799"/>
    <w:multiLevelType w:val="hybridMultilevel"/>
    <w:tmpl w:val="040A5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FF011E"/>
    <w:multiLevelType w:val="hybridMultilevel"/>
    <w:tmpl w:val="3A1CC9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F66B22"/>
    <w:multiLevelType w:val="hybridMultilevel"/>
    <w:tmpl w:val="6CFEC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861398"/>
    <w:multiLevelType w:val="hybridMultilevel"/>
    <w:tmpl w:val="CB54EBE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3721F1"/>
    <w:multiLevelType w:val="hybridMultilevel"/>
    <w:tmpl w:val="5E565CCC"/>
    <w:lvl w:ilvl="0" w:tplc="192E6370">
      <w:start w:val="12"/>
      <w:numFmt w:val="bullet"/>
      <w:lvlText w:val=""/>
      <w:lvlJc w:val="left"/>
      <w:pPr>
        <w:ind w:left="396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5">
    <w:nsid w:val="5C894307"/>
    <w:multiLevelType w:val="hybridMultilevel"/>
    <w:tmpl w:val="469669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B34856"/>
    <w:multiLevelType w:val="hybridMultilevel"/>
    <w:tmpl w:val="8ED4FB2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FC5608B"/>
    <w:multiLevelType w:val="hybridMultilevel"/>
    <w:tmpl w:val="D32CC50E"/>
    <w:lvl w:ilvl="0" w:tplc="0C00B95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FA461F"/>
    <w:multiLevelType w:val="hybridMultilevel"/>
    <w:tmpl w:val="D0002B76"/>
    <w:lvl w:ilvl="0" w:tplc="0416001B">
      <w:start w:val="1"/>
      <w:numFmt w:val="low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F403E24"/>
    <w:multiLevelType w:val="hybridMultilevel"/>
    <w:tmpl w:val="FB8850FE"/>
    <w:lvl w:ilvl="0" w:tplc="161EE4E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5D0495"/>
    <w:multiLevelType w:val="hybridMultilevel"/>
    <w:tmpl w:val="F29C0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22"/>
  </w:num>
  <w:num w:numId="4">
    <w:abstractNumId w:val="8"/>
  </w:num>
  <w:num w:numId="5">
    <w:abstractNumId w:val="2"/>
  </w:num>
  <w:num w:numId="6">
    <w:abstractNumId w:val="4"/>
  </w:num>
  <w:num w:numId="7">
    <w:abstractNumId w:val="20"/>
  </w:num>
  <w:num w:numId="8">
    <w:abstractNumId w:val="5"/>
  </w:num>
  <w:num w:numId="9">
    <w:abstractNumId w:val="17"/>
  </w:num>
  <w:num w:numId="10">
    <w:abstractNumId w:val="0"/>
  </w:num>
  <w:num w:numId="11">
    <w:abstractNumId w:val="27"/>
  </w:num>
  <w:num w:numId="12">
    <w:abstractNumId w:val="7"/>
  </w:num>
  <w:num w:numId="13">
    <w:abstractNumId w:val="24"/>
  </w:num>
  <w:num w:numId="14">
    <w:abstractNumId w:val="30"/>
  </w:num>
  <w:num w:numId="15">
    <w:abstractNumId w:val="29"/>
  </w:num>
  <w:num w:numId="16">
    <w:abstractNumId w:val="11"/>
  </w:num>
  <w:num w:numId="17">
    <w:abstractNumId w:val="3"/>
  </w:num>
  <w:num w:numId="18">
    <w:abstractNumId w:val="26"/>
  </w:num>
  <w:num w:numId="19">
    <w:abstractNumId w:val="19"/>
  </w:num>
  <w:num w:numId="20">
    <w:abstractNumId w:val="21"/>
  </w:num>
  <w:num w:numId="21">
    <w:abstractNumId w:val="16"/>
  </w:num>
  <w:num w:numId="22">
    <w:abstractNumId w:val="10"/>
  </w:num>
  <w:num w:numId="23">
    <w:abstractNumId w:val="6"/>
  </w:num>
  <w:num w:numId="24">
    <w:abstractNumId w:val="9"/>
  </w:num>
  <w:num w:numId="25">
    <w:abstractNumId w:val="23"/>
  </w:num>
  <w:num w:numId="26">
    <w:abstractNumId w:val="25"/>
  </w:num>
  <w:num w:numId="27">
    <w:abstractNumId w:val="18"/>
  </w:num>
  <w:num w:numId="28">
    <w:abstractNumId w:val="14"/>
  </w:num>
  <w:num w:numId="29">
    <w:abstractNumId w:val="12"/>
  </w:num>
  <w:num w:numId="30">
    <w:abstractNumId w:val="13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1">
      <o:colormenu v:ext="edit" fillcolor="none" strokecolor="#ffc000"/>
    </o:shapedefaults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/>
  <w:rsids>
    <w:rsidRoot w:val="00F617C4"/>
    <w:rsid w:val="00003C2C"/>
    <w:rsid w:val="00004186"/>
    <w:rsid w:val="00006C1E"/>
    <w:rsid w:val="000108DE"/>
    <w:rsid w:val="000114B6"/>
    <w:rsid w:val="000114F9"/>
    <w:rsid w:val="00011C0B"/>
    <w:rsid w:val="00014A6A"/>
    <w:rsid w:val="00017394"/>
    <w:rsid w:val="00017974"/>
    <w:rsid w:val="0002050F"/>
    <w:rsid w:val="00020ADA"/>
    <w:rsid w:val="00020C84"/>
    <w:rsid w:val="00020E50"/>
    <w:rsid w:val="00021BD4"/>
    <w:rsid w:val="00022906"/>
    <w:rsid w:val="00023A6E"/>
    <w:rsid w:val="00025145"/>
    <w:rsid w:val="000267A3"/>
    <w:rsid w:val="000303A1"/>
    <w:rsid w:val="00030A18"/>
    <w:rsid w:val="00034D2A"/>
    <w:rsid w:val="00034F80"/>
    <w:rsid w:val="000355B6"/>
    <w:rsid w:val="00035795"/>
    <w:rsid w:val="0003586A"/>
    <w:rsid w:val="00036BE6"/>
    <w:rsid w:val="0004452A"/>
    <w:rsid w:val="000458B6"/>
    <w:rsid w:val="00045D6B"/>
    <w:rsid w:val="00052DCF"/>
    <w:rsid w:val="00054DC5"/>
    <w:rsid w:val="000550AA"/>
    <w:rsid w:val="00056813"/>
    <w:rsid w:val="00060003"/>
    <w:rsid w:val="00063668"/>
    <w:rsid w:val="00064DBA"/>
    <w:rsid w:val="00066988"/>
    <w:rsid w:val="00066BED"/>
    <w:rsid w:val="000675F5"/>
    <w:rsid w:val="00067775"/>
    <w:rsid w:val="00067ACF"/>
    <w:rsid w:val="00067B10"/>
    <w:rsid w:val="000721FB"/>
    <w:rsid w:val="0007367B"/>
    <w:rsid w:val="00074D58"/>
    <w:rsid w:val="00076BBD"/>
    <w:rsid w:val="0007715B"/>
    <w:rsid w:val="000771EF"/>
    <w:rsid w:val="00080D99"/>
    <w:rsid w:val="000819E9"/>
    <w:rsid w:val="00081F17"/>
    <w:rsid w:val="000820AC"/>
    <w:rsid w:val="0008297A"/>
    <w:rsid w:val="00087084"/>
    <w:rsid w:val="00087731"/>
    <w:rsid w:val="00091809"/>
    <w:rsid w:val="00091AD2"/>
    <w:rsid w:val="0009720D"/>
    <w:rsid w:val="00097473"/>
    <w:rsid w:val="0009762C"/>
    <w:rsid w:val="00097794"/>
    <w:rsid w:val="000A0DE9"/>
    <w:rsid w:val="000A2FDA"/>
    <w:rsid w:val="000A3060"/>
    <w:rsid w:val="000A4E04"/>
    <w:rsid w:val="000A5A63"/>
    <w:rsid w:val="000A66B5"/>
    <w:rsid w:val="000A6D20"/>
    <w:rsid w:val="000A6DA3"/>
    <w:rsid w:val="000A7341"/>
    <w:rsid w:val="000B1340"/>
    <w:rsid w:val="000B19C1"/>
    <w:rsid w:val="000B28E8"/>
    <w:rsid w:val="000B430D"/>
    <w:rsid w:val="000B532B"/>
    <w:rsid w:val="000B6541"/>
    <w:rsid w:val="000C08D9"/>
    <w:rsid w:val="000C241A"/>
    <w:rsid w:val="000C2B7E"/>
    <w:rsid w:val="000C4CC7"/>
    <w:rsid w:val="000C4E82"/>
    <w:rsid w:val="000C7FAF"/>
    <w:rsid w:val="000D0475"/>
    <w:rsid w:val="000D06F3"/>
    <w:rsid w:val="000D0EAE"/>
    <w:rsid w:val="000D1FD2"/>
    <w:rsid w:val="000D2080"/>
    <w:rsid w:val="000D20C9"/>
    <w:rsid w:val="000D39E5"/>
    <w:rsid w:val="000D5C53"/>
    <w:rsid w:val="000E02FD"/>
    <w:rsid w:val="000E0B86"/>
    <w:rsid w:val="000E19E0"/>
    <w:rsid w:val="000E5C9C"/>
    <w:rsid w:val="000E62E5"/>
    <w:rsid w:val="000E6C65"/>
    <w:rsid w:val="000F5D90"/>
    <w:rsid w:val="000F7051"/>
    <w:rsid w:val="00100C3B"/>
    <w:rsid w:val="001012BE"/>
    <w:rsid w:val="00101B53"/>
    <w:rsid w:val="0010226A"/>
    <w:rsid w:val="00102AE6"/>
    <w:rsid w:val="00105771"/>
    <w:rsid w:val="00106B1B"/>
    <w:rsid w:val="00106CE0"/>
    <w:rsid w:val="00106ED5"/>
    <w:rsid w:val="001077A0"/>
    <w:rsid w:val="001077E4"/>
    <w:rsid w:val="00110717"/>
    <w:rsid w:val="001124BB"/>
    <w:rsid w:val="0011380F"/>
    <w:rsid w:val="00113BEA"/>
    <w:rsid w:val="0011410D"/>
    <w:rsid w:val="00116085"/>
    <w:rsid w:val="00116088"/>
    <w:rsid w:val="001161B8"/>
    <w:rsid w:val="0011683B"/>
    <w:rsid w:val="00116972"/>
    <w:rsid w:val="00116B2F"/>
    <w:rsid w:val="001178BA"/>
    <w:rsid w:val="0012061A"/>
    <w:rsid w:val="00121861"/>
    <w:rsid w:val="00121D03"/>
    <w:rsid w:val="001246A6"/>
    <w:rsid w:val="00125B5B"/>
    <w:rsid w:val="00126BD8"/>
    <w:rsid w:val="00126F03"/>
    <w:rsid w:val="001279CE"/>
    <w:rsid w:val="00127EA5"/>
    <w:rsid w:val="00130A64"/>
    <w:rsid w:val="00130FD9"/>
    <w:rsid w:val="00131CC2"/>
    <w:rsid w:val="00131E16"/>
    <w:rsid w:val="0013233E"/>
    <w:rsid w:val="001323A2"/>
    <w:rsid w:val="00132B23"/>
    <w:rsid w:val="00133508"/>
    <w:rsid w:val="00133530"/>
    <w:rsid w:val="00134F17"/>
    <w:rsid w:val="00135382"/>
    <w:rsid w:val="001368F9"/>
    <w:rsid w:val="00137624"/>
    <w:rsid w:val="001376A2"/>
    <w:rsid w:val="00137F6F"/>
    <w:rsid w:val="0014555B"/>
    <w:rsid w:val="0014608B"/>
    <w:rsid w:val="0014679F"/>
    <w:rsid w:val="0015031D"/>
    <w:rsid w:val="00150AF9"/>
    <w:rsid w:val="00150EC5"/>
    <w:rsid w:val="001529FC"/>
    <w:rsid w:val="00153E9E"/>
    <w:rsid w:val="001546BB"/>
    <w:rsid w:val="00154992"/>
    <w:rsid w:val="00154DEB"/>
    <w:rsid w:val="00154F72"/>
    <w:rsid w:val="00155C31"/>
    <w:rsid w:val="00155F7A"/>
    <w:rsid w:val="00156070"/>
    <w:rsid w:val="0015742D"/>
    <w:rsid w:val="001606E8"/>
    <w:rsid w:val="00161797"/>
    <w:rsid w:val="00161B8F"/>
    <w:rsid w:val="00162718"/>
    <w:rsid w:val="0016627D"/>
    <w:rsid w:val="00166515"/>
    <w:rsid w:val="0017019F"/>
    <w:rsid w:val="00171512"/>
    <w:rsid w:val="0017167C"/>
    <w:rsid w:val="001807D1"/>
    <w:rsid w:val="001817B9"/>
    <w:rsid w:val="001819B5"/>
    <w:rsid w:val="001825E5"/>
    <w:rsid w:val="0018283B"/>
    <w:rsid w:val="00183978"/>
    <w:rsid w:val="00183D91"/>
    <w:rsid w:val="0018407F"/>
    <w:rsid w:val="00184EA1"/>
    <w:rsid w:val="00191066"/>
    <w:rsid w:val="00192A8F"/>
    <w:rsid w:val="00193B52"/>
    <w:rsid w:val="00194671"/>
    <w:rsid w:val="00194D97"/>
    <w:rsid w:val="001956D7"/>
    <w:rsid w:val="00196112"/>
    <w:rsid w:val="001A06D4"/>
    <w:rsid w:val="001A3E05"/>
    <w:rsid w:val="001A421B"/>
    <w:rsid w:val="001A42FC"/>
    <w:rsid w:val="001A4746"/>
    <w:rsid w:val="001A52E6"/>
    <w:rsid w:val="001B0271"/>
    <w:rsid w:val="001B1093"/>
    <w:rsid w:val="001B17B9"/>
    <w:rsid w:val="001B6A3E"/>
    <w:rsid w:val="001B761F"/>
    <w:rsid w:val="001B7790"/>
    <w:rsid w:val="001C0CCF"/>
    <w:rsid w:val="001C21D6"/>
    <w:rsid w:val="001C25CF"/>
    <w:rsid w:val="001C45F2"/>
    <w:rsid w:val="001C68F2"/>
    <w:rsid w:val="001C73FD"/>
    <w:rsid w:val="001D16D8"/>
    <w:rsid w:val="001D206F"/>
    <w:rsid w:val="001D5ED2"/>
    <w:rsid w:val="001D6E6B"/>
    <w:rsid w:val="001D7808"/>
    <w:rsid w:val="001E046D"/>
    <w:rsid w:val="001E19A4"/>
    <w:rsid w:val="001E302A"/>
    <w:rsid w:val="001E3D20"/>
    <w:rsid w:val="001E4932"/>
    <w:rsid w:val="001E5240"/>
    <w:rsid w:val="001E6864"/>
    <w:rsid w:val="001F036A"/>
    <w:rsid w:val="001F0A35"/>
    <w:rsid w:val="001F0D0C"/>
    <w:rsid w:val="001F29E3"/>
    <w:rsid w:val="001F29FC"/>
    <w:rsid w:val="001F406B"/>
    <w:rsid w:val="001F4565"/>
    <w:rsid w:val="001F5BF1"/>
    <w:rsid w:val="001F69D1"/>
    <w:rsid w:val="001F7126"/>
    <w:rsid w:val="00203B57"/>
    <w:rsid w:val="0020498C"/>
    <w:rsid w:val="002060A1"/>
    <w:rsid w:val="002065A1"/>
    <w:rsid w:val="00207405"/>
    <w:rsid w:val="0021053E"/>
    <w:rsid w:val="00210582"/>
    <w:rsid w:val="00216B36"/>
    <w:rsid w:val="00216DD0"/>
    <w:rsid w:val="00227A64"/>
    <w:rsid w:val="00227E7F"/>
    <w:rsid w:val="00231633"/>
    <w:rsid w:val="00231A33"/>
    <w:rsid w:val="00232018"/>
    <w:rsid w:val="0023257C"/>
    <w:rsid w:val="00232FD0"/>
    <w:rsid w:val="00233853"/>
    <w:rsid w:val="00234A4F"/>
    <w:rsid w:val="00237EFF"/>
    <w:rsid w:val="002409C3"/>
    <w:rsid w:val="00241719"/>
    <w:rsid w:val="0024243D"/>
    <w:rsid w:val="00242A45"/>
    <w:rsid w:val="00243AB0"/>
    <w:rsid w:val="00244787"/>
    <w:rsid w:val="00251297"/>
    <w:rsid w:val="002547E9"/>
    <w:rsid w:val="00254EE0"/>
    <w:rsid w:val="00257500"/>
    <w:rsid w:val="0026009F"/>
    <w:rsid w:val="0026071E"/>
    <w:rsid w:val="0026148E"/>
    <w:rsid w:val="00262388"/>
    <w:rsid w:val="0026288C"/>
    <w:rsid w:val="00264436"/>
    <w:rsid w:val="00265F14"/>
    <w:rsid w:val="002664D3"/>
    <w:rsid w:val="002665AC"/>
    <w:rsid w:val="00266CE9"/>
    <w:rsid w:val="00271493"/>
    <w:rsid w:val="002744EF"/>
    <w:rsid w:val="00274AE6"/>
    <w:rsid w:val="0027510E"/>
    <w:rsid w:val="002763E7"/>
    <w:rsid w:val="00277081"/>
    <w:rsid w:val="002803C8"/>
    <w:rsid w:val="00281B4C"/>
    <w:rsid w:val="0028235B"/>
    <w:rsid w:val="002823FE"/>
    <w:rsid w:val="00284A54"/>
    <w:rsid w:val="00285C54"/>
    <w:rsid w:val="00287908"/>
    <w:rsid w:val="00291380"/>
    <w:rsid w:val="00293017"/>
    <w:rsid w:val="00293B78"/>
    <w:rsid w:val="002949A5"/>
    <w:rsid w:val="002951B0"/>
    <w:rsid w:val="00295B04"/>
    <w:rsid w:val="0029635D"/>
    <w:rsid w:val="002963F5"/>
    <w:rsid w:val="00297926"/>
    <w:rsid w:val="002A00DB"/>
    <w:rsid w:val="002A0711"/>
    <w:rsid w:val="002A1CF8"/>
    <w:rsid w:val="002A298F"/>
    <w:rsid w:val="002A51DD"/>
    <w:rsid w:val="002A71CB"/>
    <w:rsid w:val="002B138B"/>
    <w:rsid w:val="002B1B09"/>
    <w:rsid w:val="002B4004"/>
    <w:rsid w:val="002B4472"/>
    <w:rsid w:val="002B776E"/>
    <w:rsid w:val="002C17A6"/>
    <w:rsid w:val="002C29D4"/>
    <w:rsid w:val="002C2C07"/>
    <w:rsid w:val="002C2FBF"/>
    <w:rsid w:val="002C34B6"/>
    <w:rsid w:val="002C4662"/>
    <w:rsid w:val="002C4753"/>
    <w:rsid w:val="002C4DF2"/>
    <w:rsid w:val="002C5967"/>
    <w:rsid w:val="002C5C63"/>
    <w:rsid w:val="002C6F7B"/>
    <w:rsid w:val="002C743E"/>
    <w:rsid w:val="002D0B97"/>
    <w:rsid w:val="002D242D"/>
    <w:rsid w:val="002D2B31"/>
    <w:rsid w:val="002D6B68"/>
    <w:rsid w:val="002D730C"/>
    <w:rsid w:val="002E032B"/>
    <w:rsid w:val="002E2AAA"/>
    <w:rsid w:val="002E36E0"/>
    <w:rsid w:val="002E3E30"/>
    <w:rsid w:val="002E44E2"/>
    <w:rsid w:val="002E6ED1"/>
    <w:rsid w:val="002E75AF"/>
    <w:rsid w:val="002E786B"/>
    <w:rsid w:val="002F039D"/>
    <w:rsid w:val="002F09E0"/>
    <w:rsid w:val="002F1B08"/>
    <w:rsid w:val="002F2C08"/>
    <w:rsid w:val="002F3D42"/>
    <w:rsid w:val="002F4554"/>
    <w:rsid w:val="002F5459"/>
    <w:rsid w:val="002F574C"/>
    <w:rsid w:val="002F5EEE"/>
    <w:rsid w:val="002F6083"/>
    <w:rsid w:val="002F69C1"/>
    <w:rsid w:val="002F6A47"/>
    <w:rsid w:val="002F73E5"/>
    <w:rsid w:val="00301556"/>
    <w:rsid w:val="003022B9"/>
    <w:rsid w:val="003104A1"/>
    <w:rsid w:val="00311379"/>
    <w:rsid w:val="0031175B"/>
    <w:rsid w:val="00312CC6"/>
    <w:rsid w:val="00315B09"/>
    <w:rsid w:val="00315E7C"/>
    <w:rsid w:val="0031620D"/>
    <w:rsid w:val="00317652"/>
    <w:rsid w:val="0032146D"/>
    <w:rsid w:val="003224B9"/>
    <w:rsid w:val="003241A3"/>
    <w:rsid w:val="0032769E"/>
    <w:rsid w:val="00327EC0"/>
    <w:rsid w:val="0033109A"/>
    <w:rsid w:val="003337F7"/>
    <w:rsid w:val="003343FA"/>
    <w:rsid w:val="00342F53"/>
    <w:rsid w:val="003437E6"/>
    <w:rsid w:val="00343A12"/>
    <w:rsid w:val="00343EE4"/>
    <w:rsid w:val="003449D4"/>
    <w:rsid w:val="003455DE"/>
    <w:rsid w:val="00347D41"/>
    <w:rsid w:val="00352ED2"/>
    <w:rsid w:val="003554BD"/>
    <w:rsid w:val="00356724"/>
    <w:rsid w:val="00356EAC"/>
    <w:rsid w:val="00357B10"/>
    <w:rsid w:val="003600A4"/>
    <w:rsid w:val="0036273A"/>
    <w:rsid w:val="003630FE"/>
    <w:rsid w:val="00363279"/>
    <w:rsid w:val="00364088"/>
    <w:rsid w:val="003649E6"/>
    <w:rsid w:val="003650F0"/>
    <w:rsid w:val="00365781"/>
    <w:rsid w:val="0036638B"/>
    <w:rsid w:val="0037002C"/>
    <w:rsid w:val="0037393C"/>
    <w:rsid w:val="00375E5D"/>
    <w:rsid w:val="00380701"/>
    <w:rsid w:val="00382569"/>
    <w:rsid w:val="00385448"/>
    <w:rsid w:val="003856B7"/>
    <w:rsid w:val="0038598C"/>
    <w:rsid w:val="00386253"/>
    <w:rsid w:val="00386892"/>
    <w:rsid w:val="003904E9"/>
    <w:rsid w:val="00392B03"/>
    <w:rsid w:val="003940F5"/>
    <w:rsid w:val="0039426C"/>
    <w:rsid w:val="00394BBE"/>
    <w:rsid w:val="0039601D"/>
    <w:rsid w:val="003961BE"/>
    <w:rsid w:val="003961C5"/>
    <w:rsid w:val="003A24FA"/>
    <w:rsid w:val="003A4681"/>
    <w:rsid w:val="003A6A09"/>
    <w:rsid w:val="003B2BDD"/>
    <w:rsid w:val="003B381B"/>
    <w:rsid w:val="003B47F7"/>
    <w:rsid w:val="003B4CF4"/>
    <w:rsid w:val="003B67BE"/>
    <w:rsid w:val="003B732A"/>
    <w:rsid w:val="003C05DE"/>
    <w:rsid w:val="003C42BB"/>
    <w:rsid w:val="003C436D"/>
    <w:rsid w:val="003C5D50"/>
    <w:rsid w:val="003C5F1A"/>
    <w:rsid w:val="003C6663"/>
    <w:rsid w:val="003C6D51"/>
    <w:rsid w:val="003C7201"/>
    <w:rsid w:val="003D0960"/>
    <w:rsid w:val="003D2A74"/>
    <w:rsid w:val="003D40FE"/>
    <w:rsid w:val="003D4726"/>
    <w:rsid w:val="003D7BD6"/>
    <w:rsid w:val="003E4FAB"/>
    <w:rsid w:val="003E6DA2"/>
    <w:rsid w:val="003E7ED9"/>
    <w:rsid w:val="003F0F2A"/>
    <w:rsid w:val="003F2543"/>
    <w:rsid w:val="003F443F"/>
    <w:rsid w:val="003F4446"/>
    <w:rsid w:val="003F488F"/>
    <w:rsid w:val="003F52FF"/>
    <w:rsid w:val="003F694B"/>
    <w:rsid w:val="003F716F"/>
    <w:rsid w:val="00403A40"/>
    <w:rsid w:val="00404B8E"/>
    <w:rsid w:val="00404DFE"/>
    <w:rsid w:val="0040716A"/>
    <w:rsid w:val="00407548"/>
    <w:rsid w:val="00410837"/>
    <w:rsid w:val="00411EFE"/>
    <w:rsid w:val="00412A0B"/>
    <w:rsid w:val="00413226"/>
    <w:rsid w:val="00414704"/>
    <w:rsid w:val="00415164"/>
    <w:rsid w:val="00415D6F"/>
    <w:rsid w:val="004164B9"/>
    <w:rsid w:val="00421C97"/>
    <w:rsid w:val="00422282"/>
    <w:rsid w:val="004242B9"/>
    <w:rsid w:val="00426813"/>
    <w:rsid w:val="004306FD"/>
    <w:rsid w:val="004319F5"/>
    <w:rsid w:val="00432481"/>
    <w:rsid w:val="00432A9A"/>
    <w:rsid w:val="00433BEA"/>
    <w:rsid w:val="00436E56"/>
    <w:rsid w:val="004400C3"/>
    <w:rsid w:val="004404F9"/>
    <w:rsid w:val="004416CD"/>
    <w:rsid w:val="004431CC"/>
    <w:rsid w:val="00444670"/>
    <w:rsid w:val="004451D4"/>
    <w:rsid w:val="004455A5"/>
    <w:rsid w:val="004457C6"/>
    <w:rsid w:val="00445967"/>
    <w:rsid w:val="00447CFB"/>
    <w:rsid w:val="004509B8"/>
    <w:rsid w:val="004529C9"/>
    <w:rsid w:val="00453102"/>
    <w:rsid w:val="004546E6"/>
    <w:rsid w:val="00454F6D"/>
    <w:rsid w:val="0045623A"/>
    <w:rsid w:val="00456CC1"/>
    <w:rsid w:val="00457380"/>
    <w:rsid w:val="00462080"/>
    <w:rsid w:val="00464669"/>
    <w:rsid w:val="00464827"/>
    <w:rsid w:val="00465924"/>
    <w:rsid w:val="00466265"/>
    <w:rsid w:val="00466B1A"/>
    <w:rsid w:val="00466C0B"/>
    <w:rsid w:val="00467C1C"/>
    <w:rsid w:val="00467D36"/>
    <w:rsid w:val="00470667"/>
    <w:rsid w:val="004707B4"/>
    <w:rsid w:val="00472AFC"/>
    <w:rsid w:val="004751A0"/>
    <w:rsid w:val="00476437"/>
    <w:rsid w:val="00480353"/>
    <w:rsid w:val="0048090C"/>
    <w:rsid w:val="00480B79"/>
    <w:rsid w:val="004819E6"/>
    <w:rsid w:val="00483F45"/>
    <w:rsid w:val="00484AFC"/>
    <w:rsid w:val="00485AFF"/>
    <w:rsid w:val="004861E1"/>
    <w:rsid w:val="00486250"/>
    <w:rsid w:val="00486BBE"/>
    <w:rsid w:val="00487069"/>
    <w:rsid w:val="00490788"/>
    <w:rsid w:val="00491031"/>
    <w:rsid w:val="00493D89"/>
    <w:rsid w:val="00494CC5"/>
    <w:rsid w:val="00494DE3"/>
    <w:rsid w:val="00496172"/>
    <w:rsid w:val="004A0B16"/>
    <w:rsid w:val="004A1371"/>
    <w:rsid w:val="004A1EF0"/>
    <w:rsid w:val="004A32D5"/>
    <w:rsid w:val="004A5E15"/>
    <w:rsid w:val="004A6A26"/>
    <w:rsid w:val="004A77E4"/>
    <w:rsid w:val="004B1C91"/>
    <w:rsid w:val="004B2AD2"/>
    <w:rsid w:val="004B2BEE"/>
    <w:rsid w:val="004B3335"/>
    <w:rsid w:val="004B42D4"/>
    <w:rsid w:val="004B48FC"/>
    <w:rsid w:val="004B4994"/>
    <w:rsid w:val="004B541C"/>
    <w:rsid w:val="004B6753"/>
    <w:rsid w:val="004B7108"/>
    <w:rsid w:val="004C2C1F"/>
    <w:rsid w:val="004D12DB"/>
    <w:rsid w:val="004D1CE0"/>
    <w:rsid w:val="004D23CF"/>
    <w:rsid w:val="004D4ED7"/>
    <w:rsid w:val="004D6B65"/>
    <w:rsid w:val="004E17FC"/>
    <w:rsid w:val="004E386D"/>
    <w:rsid w:val="004E763C"/>
    <w:rsid w:val="004F0A09"/>
    <w:rsid w:val="004F1C3F"/>
    <w:rsid w:val="004F1DE7"/>
    <w:rsid w:val="004F235E"/>
    <w:rsid w:val="005001A3"/>
    <w:rsid w:val="00500474"/>
    <w:rsid w:val="005020C0"/>
    <w:rsid w:val="00503821"/>
    <w:rsid w:val="00504DC6"/>
    <w:rsid w:val="005069AE"/>
    <w:rsid w:val="00510012"/>
    <w:rsid w:val="00511231"/>
    <w:rsid w:val="00512A84"/>
    <w:rsid w:val="005144F1"/>
    <w:rsid w:val="00514FA8"/>
    <w:rsid w:val="0051571E"/>
    <w:rsid w:val="00517CE9"/>
    <w:rsid w:val="005219F1"/>
    <w:rsid w:val="00521F4C"/>
    <w:rsid w:val="00523694"/>
    <w:rsid w:val="00524097"/>
    <w:rsid w:val="005241B4"/>
    <w:rsid w:val="005248E8"/>
    <w:rsid w:val="00526473"/>
    <w:rsid w:val="0052664F"/>
    <w:rsid w:val="00530AA9"/>
    <w:rsid w:val="005330EF"/>
    <w:rsid w:val="00533AA8"/>
    <w:rsid w:val="00533C26"/>
    <w:rsid w:val="0053436F"/>
    <w:rsid w:val="00534A30"/>
    <w:rsid w:val="005357D1"/>
    <w:rsid w:val="0054147D"/>
    <w:rsid w:val="00542C61"/>
    <w:rsid w:val="00543018"/>
    <w:rsid w:val="00543F2D"/>
    <w:rsid w:val="00546018"/>
    <w:rsid w:val="00547A9A"/>
    <w:rsid w:val="00552A22"/>
    <w:rsid w:val="005557DB"/>
    <w:rsid w:val="00555A70"/>
    <w:rsid w:val="00557C8E"/>
    <w:rsid w:val="005643F8"/>
    <w:rsid w:val="00564E0D"/>
    <w:rsid w:val="00566627"/>
    <w:rsid w:val="00567449"/>
    <w:rsid w:val="005674E1"/>
    <w:rsid w:val="00567D5B"/>
    <w:rsid w:val="005705B8"/>
    <w:rsid w:val="00571F6A"/>
    <w:rsid w:val="00572658"/>
    <w:rsid w:val="005737D8"/>
    <w:rsid w:val="00573A04"/>
    <w:rsid w:val="00573B97"/>
    <w:rsid w:val="00573C63"/>
    <w:rsid w:val="005742B6"/>
    <w:rsid w:val="00576EE2"/>
    <w:rsid w:val="005770AB"/>
    <w:rsid w:val="005774FD"/>
    <w:rsid w:val="00577714"/>
    <w:rsid w:val="005779DD"/>
    <w:rsid w:val="00580E47"/>
    <w:rsid w:val="00581B7B"/>
    <w:rsid w:val="00582246"/>
    <w:rsid w:val="005824F6"/>
    <w:rsid w:val="005832F9"/>
    <w:rsid w:val="0058370F"/>
    <w:rsid w:val="00583E12"/>
    <w:rsid w:val="00583E1B"/>
    <w:rsid w:val="00584EC5"/>
    <w:rsid w:val="005862FF"/>
    <w:rsid w:val="0058770D"/>
    <w:rsid w:val="00590DF0"/>
    <w:rsid w:val="00591A2C"/>
    <w:rsid w:val="00591FE2"/>
    <w:rsid w:val="005922E9"/>
    <w:rsid w:val="005923B3"/>
    <w:rsid w:val="00593578"/>
    <w:rsid w:val="00594548"/>
    <w:rsid w:val="005970C4"/>
    <w:rsid w:val="005A10B9"/>
    <w:rsid w:val="005A24DD"/>
    <w:rsid w:val="005A3673"/>
    <w:rsid w:val="005A446E"/>
    <w:rsid w:val="005A53BE"/>
    <w:rsid w:val="005A6DE5"/>
    <w:rsid w:val="005B033B"/>
    <w:rsid w:val="005B2A3D"/>
    <w:rsid w:val="005B4338"/>
    <w:rsid w:val="005B446D"/>
    <w:rsid w:val="005B596E"/>
    <w:rsid w:val="005B5B66"/>
    <w:rsid w:val="005B7EDF"/>
    <w:rsid w:val="005C7B12"/>
    <w:rsid w:val="005D0810"/>
    <w:rsid w:val="005D0E52"/>
    <w:rsid w:val="005D2FE5"/>
    <w:rsid w:val="005D37F3"/>
    <w:rsid w:val="005D4A3C"/>
    <w:rsid w:val="005D5EC3"/>
    <w:rsid w:val="005D6DB8"/>
    <w:rsid w:val="005E2452"/>
    <w:rsid w:val="005E4970"/>
    <w:rsid w:val="005E56CC"/>
    <w:rsid w:val="005E5A0B"/>
    <w:rsid w:val="005F28AD"/>
    <w:rsid w:val="005F2D7E"/>
    <w:rsid w:val="005F3AA2"/>
    <w:rsid w:val="005F4D58"/>
    <w:rsid w:val="005F4E26"/>
    <w:rsid w:val="005F61B3"/>
    <w:rsid w:val="006016F9"/>
    <w:rsid w:val="00601776"/>
    <w:rsid w:val="00604207"/>
    <w:rsid w:val="0060524F"/>
    <w:rsid w:val="00605A66"/>
    <w:rsid w:val="006073C5"/>
    <w:rsid w:val="0060790A"/>
    <w:rsid w:val="00610431"/>
    <w:rsid w:val="00612278"/>
    <w:rsid w:val="00612555"/>
    <w:rsid w:val="00613503"/>
    <w:rsid w:val="006141FB"/>
    <w:rsid w:val="006143F1"/>
    <w:rsid w:val="00614EC6"/>
    <w:rsid w:val="00616149"/>
    <w:rsid w:val="00620153"/>
    <w:rsid w:val="006215DC"/>
    <w:rsid w:val="00624BD4"/>
    <w:rsid w:val="00625E59"/>
    <w:rsid w:val="00631023"/>
    <w:rsid w:val="0064251C"/>
    <w:rsid w:val="00644501"/>
    <w:rsid w:val="00646320"/>
    <w:rsid w:val="006515FD"/>
    <w:rsid w:val="00651BA8"/>
    <w:rsid w:val="006535C7"/>
    <w:rsid w:val="0065436D"/>
    <w:rsid w:val="00655178"/>
    <w:rsid w:val="00661035"/>
    <w:rsid w:val="00661093"/>
    <w:rsid w:val="0066503B"/>
    <w:rsid w:val="00666850"/>
    <w:rsid w:val="00667216"/>
    <w:rsid w:val="00667583"/>
    <w:rsid w:val="00673552"/>
    <w:rsid w:val="00673660"/>
    <w:rsid w:val="0067490B"/>
    <w:rsid w:val="00675C8C"/>
    <w:rsid w:val="00680A24"/>
    <w:rsid w:val="00683311"/>
    <w:rsid w:val="0068470E"/>
    <w:rsid w:val="00687AFF"/>
    <w:rsid w:val="0069011E"/>
    <w:rsid w:val="006902FD"/>
    <w:rsid w:val="00690C1F"/>
    <w:rsid w:val="006929D8"/>
    <w:rsid w:val="006966D9"/>
    <w:rsid w:val="006A1408"/>
    <w:rsid w:val="006A49CE"/>
    <w:rsid w:val="006A7153"/>
    <w:rsid w:val="006B2137"/>
    <w:rsid w:val="006B535D"/>
    <w:rsid w:val="006B6A65"/>
    <w:rsid w:val="006C0B57"/>
    <w:rsid w:val="006C13BC"/>
    <w:rsid w:val="006C30B2"/>
    <w:rsid w:val="006C3649"/>
    <w:rsid w:val="006C446E"/>
    <w:rsid w:val="006C451C"/>
    <w:rsid w:val="006C4581"/>
    <w:rsid w:val="006C48CB"/>
    <w:rsid w:val="006C5252"/>
    <w:rsid w:val="006C5AF2"/>
    <w:rsid w:val="006C5DEB"/>
    <w:rsid w:val="006C744C"/>
    <w:rsid w:val="006D0302"/>
    <w:rsid w:val="006D454E"/>
    <w:rsid w:val="006D4C24"/>
    <w:rsid w:val="006D5113"/>
    <w:rsid w:val="006D6D88"/>
    <w:rsid w:val="006D7590"/>
    <w:rsid w:val="006E1ABC"/>
    <w:rsid w:val="006E6E9A"/>
    <w:rsid w:val="006F06AE"/>
    <w:rsid w:val="006F2E21"/>
    <w:rsid w:val="006F2E60"/>
    <w:rsid w:val="006F4951"/>
    <w:rsid w:val="006F722A"/>
    <w:rsid w:val="006F7F2E"/>
    <w:rsid w:val="007011F5"/>
    <w:rsid w:val="007014F5"/>
    <w:rsid w:val="00701AFB"/>
    <w:rsid w:val="00703A28"/>
    <w:rsid w:val="00705901"/>
    <w:rsid w:val="00705D2C"/>
    <w:rsid w:val="00707887"/>
    <w:rsid w:val="00711FC3"/>
    <w:rsid w:val="00715012"/>
    <w:rsid w:val="00715FE7"/>
    <w:rsid w:val="00716249"/>
    <w:rsid w:val="00716B93"/>
    <w:rsid w:val="00716C73"/>
    <w:rsid w:val="00717FD8"/>
    <w:rsid w:val="00720F99"/>
    <w:rsid w:val="0072123B"/>
    <w:rsid w:val="0072173F"/>
    <w:rsid w:val="00721A47"/>
    <w:rsid w:val="00721B4E"/>
    <w:rsid w:val="007220A1"/>
    <w:rsid w:val="0072265E"/>
    <w:rsid w:val="00722F05"/>
    <w:rsid w:val="0072359E"/>
    <w:rsid w:val="00723E5C"/>
    <w:rsid w:val="007247D4"/>
    <w:rsid w:val="0072490D"/>
    <w:rsid w:val="00724CDB"/>
    <w:rsid w:val="007260CB"/>
    <w:rsid w:val="007262FB"/>
    <w:rsid w:val="007268BD"/>
    <w:rsid w:val="0073269B"/>
    <w:rsid w:val="00732DB6"/>
    <w:rsid w:val="00734371"/>
    <w:rsid w:val="00734D76"/>
    <w:rsid w:val="00735001"/>
    <w:rsid w:val="0073719D"/>
    <w:rsid w:val="007423DA"/>
    <w:rsid w:val="0074513C"/>
    <w:rsid w:val="007454BE"/>
    <w:rsid w:val="007503D5"/>
    <w:rsid w:val="00752C63"/>
    <w:rsid w:val="00752F03"/>
    <w:rsid w:val="00753901"/>
    <w:rsid w:val="00753CAF"/>
    <w:rsid w:val="0075501C"/>
    <w:rsid w:val="00756860"/>
    <w:rsid w:val="007600FE"/>
    <w:rsid w:val="0076162E"/>
    <w:rsid w:val="00766537"/>
    <w:rsid w:val="0076658B"/>
    <w:rsid w:val="0076683B"/>
    <w:rsid w:val="007673DC"/>
    <w:rsid w:val="0077012E"/>
    <w:rsid w:val="00771803"/>
    <w:rsid w:val="00772447"/>
    <w:rsid w:val="00772D8A"/>
    <w:rsid w:val="0077397E"/>
    <w:rsid w:val="00773A59"/>
    <w:rsid w:val="00773D8A"/>
    <w:rsid w:val="00774082"/>
    <w:rsid w:val="00774B6F"/>
    <w:rsid w:val="00774FC5"/>
    <w:rsid w:val="00775BD2"/>
    <w:rsid w:val="00776747"/>
    <w:rsid w:val="00777A5C"/>
    <w:rsid w:val="00780993"/>
    <w:rsid w:val="00782493"/>
    <w:rsid w:val="007825E2"/>
    <w:rsid w:val="00783F4E"/>
    <w:rsid w:val="00786A04"/>
    <w:rsid w:val="00787240"/>
    <w:rsid w:val="007873D4"/>
    <w:rsid w:val="007935FD"/>
    <w:rsid w:val="007947B0"/>
    <w:rsid w:val="00794F8D"/>
    <w:rsid w:val="00797072"/>
    <w:rsid w:val="007A03BC"/>
    <w:rsid w:val="007A0949"/>
    <w:rsid w:val="007A0E2E"/>
    <w:rsid w:val="007A0FBF"/>
    <w:rsid w:val="007A23F2"/>
    <w:rsid w:val="007A490C"/>
    <w:rsid w:val="007A4D87"/>
    <w:rsid w:val="007A552C"/>
    <w:rsid w:val="007A7118"/>
    <w:rsid w:val="007B054B"/>
    <w:rsid w:val="007B068B"/>
    <w:rsid w:val="007B15F7"/>
    <w:rsid w:val="007B17CA"/>
    <w:rsid w:val="007B240E"/>
    <w:rsid w:val="007B3D87"/>
    <w:rsid w:val="007B65FA"/>
    <w:rsid w:val="007B7C82"/>
    <w:rsid w:val="007C01C3"/>
    <w:rsid w:val="007C034F"/>
    <w:rsid w:val="007C0370"/>
    <w:rsid w:val="007C0EED"/>
    <w:rsid w:val="007C1EE0"/>
    <w:rsid w:val="007C33E0"/>
    <w:rsid w:val="007C495F"/>
    <w:rsid w:val="007C65EC"/>
    <w:rsid w:val="007C6608"/>
    <w:rsid w:val="007D296A"/>
    <w:rsid w:val="007D2A64"/>
    <w:rsid w:val="007D2F2C"/>
    <w:rsid w:val="007D3FA1"/>
    <w:rsid w:val="007D6AE1"/>
    <w:rsid w:val="007E16F5"/>
    <w:rsid w:val="007E1C3F"/>
    <w:rsid w:val="007E22FF"/>
    <w:rsid w:val="007E35FB"/>
    <w:rsid w:val="007E3664"/>
    <w:rsid w:val="007E5CA5"/>
    <w:rsid w:val="007E6848"/>
    <w:rsid w:val="007E7787"/>
    <w:rsid w:val="007F1043"/>
    <w:rsid w:val="007F549F"/>
    <w:rsid w:val="007F62E6"/>
    <w:rsid w:val="007F7C81"/>
    <w:rsid w:val="0080005F"/>
    <w:rsid w:val="00804C43"/>
    <w:rsid w:val="008062D8"/>
    <w:rsid w:val="00815480"/>
    <w:rsid w:val="008159A8"/>
    <w:rsid w:val="008167E1"/>
    <w:rsid w:val="00817F97"/>
    <w:rsid w:val="00824441"/>
    <w:rsid w:val="00825B0A"/>
    <w:rsid w:val="00826A25"/>
    <w:rsid w:val="0082770F"/>
    <w:rsid w:val="008278B3"/>
    <w:rsid w:val="00827A7A"/>
    <w:rsid w:val="00831333"/>
    <w:rsid w:val="00831389"/>
    <w:rsid w:val="00831C1E"/>
    <w:rsid w:val="00832682"/>
    <w:rsid w:val="008328DC"/>
    <w:rsid w:val="008336BB"/>
    <w:rsid w:val="00835C99"/>
    <w:rsid w:val="00836EEA"/>
    <w:rsid w:val="0084127B"/>
    <w:rsid w:val="008440E2"/>
    <w:rsid w:val="00844E4C"/>
    <w:rsid w:val="0084587E"/>
    <w:rsid w:val="00845F82"/>
    <w:rsid w:val="0084644C"/>
    <w:rsid w:val="00846A0D"/>
    <w:rsid w:val="0084746D"/>
    <w:rsid w:val="00850445"/>
    <w:rsid w:val="008505B7"/>
    <w:rsid w:val="00850D54"/>
    <w:rsid w:val="00852E93"/>
    <w:rsid w:val="00854AA5"/>
    <w:rsid w:val="008566A4"/>
    <w:rsid w:val="00857D11"/>
    <w:rsid w:val="008607D6"/>
    <w:rsid w:val="00861225"/>
    <w:rsid w:val="00865870"/>
    <w:rsid w:val="0087285A"/>
    <w:rsid w:val="008730F6"/>
    <w:rsid w:val="008731E8"/>
    <w:rsid w:val="0087579D"/>
    <w:rsid w:val="0087672B"/>
    <w:rsid w:val="00880684"/>
    <w:rsid w:val="008833DD"/>
    <w:rsid w:val="00884A89"/>
    <w:rsid w:val="0088531D"/>
    <w:rsid w:val="00885E60"/>
    <w:rsid w:val="008866E5"/>
    <w:rsid w:val="008868AE"/>
    <w:rsid w:val="008911C8"/>
    <w:rsid w:val="00891503"/>
    <w:rsid w:val="00891F9C"/>
    <w:rsid w:val="00892925"/>
    <w:rsid w:val="00893B56"/>
    <w:rsid w:val="00896933"/>
    <w:rsid w:val="00897124"/>
    <w:rsid w:val="008A1212"/>
    <w:rsid w:val="008A1D3E"/>
    <w:rsid w:val="008A3FE6"/>
    <w:rsid w:val="008A6C36"/>
    <w:rsid w:val="008A7E8B"/>
    <w:rsid w:val="008B16C7"/>
    <w:rsid w:val="008B2380"/>
    <w:rsid w:val="008B2D2E"/>
    <w:rsid w:val="008B2F3F"/>
    <w:rsid w:val="008B31C6"/>
    <w:rsid w:val="008B3337"/>
    <w:rsid w:val="008B3513"/>
    <w:rsid w:val="008B4AC2"/>
    <w:rsid w:val="008B4BD8"/>
    <w:rsid w:val="008B6AEA"/>
    <w:rsid w:val="008B7074"/>
    <w:rsid w:val="008B7CF7"/>
    <w:rsid w:val="008B7CFF"/>
    <w:rsid w:val="008C1126"/>
    <w:rsid w:val="008C37DD"/>
    <w:rsid w:val="008C3B3D"/>
    <w:rsid w:val="008C4762"/>
    <w:rsid w:val="008C52E3"/>
    <w:rsid w:val="008C6CB7"/>
    <w:rsid w:val="008D15AF"/>
    <w:rsid w:val="008D2E9A"/>
    <w:rsid w:val="008D5A58"/>
    <w:rsid w:val="008D6AB5"/>
    <w:rsid w:val="008D6C28"/>
    <w:rsid w:val="008E1F07"/>
    <w:rsid w:val="008E3942"/>
    <w:rsid w:val="008E7970"/>
    <w:rsid w:val="008F2503"/>
    <w:rsid w:val="008F6CD0"/>
    <w:rsid w:val="008F7A0B"/>
    <w:rsid w:val="008F7A8D"/>
    <w:rsid w:val="00900547"/>
    <w:rsid w:val="00901549"/>
    <w:rsid w:val="00902146"/>
    <w:rsid w:val="00902595"/>
    <w:rsid w:val="00903FE4"/>
    <w:rsid w:val="00905B5C"/>
    <w:rsid w:val="00906956"/>
    <w:rsid w:val="00906DA5"/>
    <w:rsid w:val="00913068"/>
    <w:rsid w:val="0091580B"/>
    <w:rsid w:val="00915ECD"/>
    <w:rsid w:val="00917D7C"/>
    <w:rsid w:val="00922067"/>
    <w:rsid w:val="00923EA5"/>
    <w:rsid w:val="00924DDC"/>
    <w:rsid w:val="00932DEB"/>
    <w:rsid w:val="009340FD"/>
    <w:rsid w:val="00934529"/>
    <w:rsid w:val="00934BBF"/>
    <w:rsid w:val="00936834"/>
    <w:rsid w:val="00937AD1"/>
    <w:rsid w:val="00942C59"/>
    <w:rsid w:val="009449A9"/>
    <w:rsid w:val="00944AE3"/>
    <w:rsid w:val="00945910"/>
    <w:rsid w:val="00945EC1"/>
    <w:rsid w:val="00950F9C"/>
    <w:rsid w:val="009523E4"/>
    <w:rsid w:val="0095246E"/>
    <w:rsid w:val="0095255E"/>
    <w:rsid w:val="009556B5"/>
    <w:rsid w:val="00960331"/>
    <w:rsid w:val="00961FE2"/>
    <w:rsid w:val="00964DF0"/>
    <w:rsid w:val="00964DFC"/>
    <w:rsid w:val="00965BA2"/>
    <w:rsid w:val="009726C0"/>
    <w:rsid w:val="00972BC3"/>
    <w:rsid w:val="00972EC3"/>
    <w:rsid w:val="009730B6"/>
    <w:rsid w:val="00973423"/>
    <w:rsid w:val="00973714"/>
    <w:rsid w:val="00976A57"/>
    <w:rsid w:val="00977923"/>
    <w:rsid w:val="00977B09"/>
    <w:rsid w:val="009805EF"/>
    <w:rsid w:val="00980BB7"/>
    <w:rsid w:val="009837FD"/>
    <w:rsid w:val="0098393E"/>
    <w:rsid w:val="009852CB"/>
    <w:rsid w:val="009859BB"/>
    <w:rsid w:val="0098706E"/>
    <w:rsid w:val="00991A3C"/>
    <w:rsid w:val="00992324"/>
    <w:rsid w:val="00992CCE"/>
    <w:rsid w:val="00996378"/>
    <w:rsid w:val="009A01D6"/>
    <w:rsid w:val="009A153A"/>
    <w:rsid w:val="009A190C"/>
    <w:rsid w:val="009A3CDD"/>
    <w:rsid w:val="009A47A5"/>
    <w:rsid w:val="009A63AB"/>
    <w:rsid w:val="009A7037"/>
    <w:rsid w:val="009A7096"/>
    <w:rsid w:val="009B02AE"/>
    <w:rsid w:val="009B52C7"/>
    <w:rsid w:val="009B67CA"/>
    <w:rsid w:val="009B7DCF"/>
    <w:rsid w:val="009C13D4"/>
    <w:rsid w:val="009C3259"/>
    <w:rsid w:val="009C3345"/>
    <w:rsid w:val="009C5871"/>
    <w:rsid w:val="009C7819"/>
    <w:rsid w:val="009D0C60"/>
    <w:rsid w:val="009D44D4"/>
    <w:rsid w:val="009D7F6C"/>
    <w:rsid w:val="009E0221"/>
    <w:rsid w:val="009E134B"/>
    <w:rsid w:val="009E18E6"/>
    <w:rsid w:val="009E1A31"/>
    <w:rsid w:val="009E1CF3"/>
    <w:rsid w:val="009E2A0B"/>
    <w:rsid w:val="009E40EF"/>
    <w:rsid w:val="009E5565"/>
    <w:rsid w:val="009E6A56"/>
    <w:rsid w:val="009F1326"/>
    <w:rsid w:val="009F1D50"/>
    <w:rsid w:val="009F2036"/>
    <w:rsid w:val="009F2E24"/>
    <w:rsid w:val="009F43D6"/>
    <w:rsid w:val="009F4AD3"/>
    <w:rsid w:val="009F5804"/>
    <w:rsid w:val="009F611C"/>
    <w:rsid w:val="00A01BA3"/>
    <w:rsid w:val="00A021BC"/>
    <w:rsid w:val="00A0354C"/>
    <w:rsid w:val="00A03A30"/>
    <w:rsid w:val="00A03E47"/>
    <w:rsid w:val="00A06EB0"/>
    <w:rsid w:val="00A10788"/>
    <w:rsid w:val="00A11D1E"/>
    <w:rsid w:val="00A13416"/>
    <w:rsid w:val="00A14EC6"/>
    <w:rsid w:val="00A168F4"/>
    <w:rsid w:val="00A1792C"/>
    <w:rsid w:val="00A22EA8"/>
    <w:rsid w:val="00A258ED"/>
    <w:rsid w:val="00A25EFE"/>
    <w:rsid w:val="00A26DE5"/>
    <w:rsid w:val="00A27E44"/>
    <w:rsid w:val="00A27F29"/>
    <w:rsid w:val="00A30305"/>
    <w:rsid w:val="00A32EE8"/>
    <w:rsid w:val="00A377F8"/>
    <w:rsid w:val="00A37CA1"/>
    <w:rsid w:val="00A37D2D"/>
    <w:rsid w:val="00A40501"/>
    <w:rsid w:val="00A40A8E"/>
    <w:rsid w:val="00A41686"/>
    <w:rsid w:val="00A42AC3"/>
    <w:rsid w:val="00A43B12"/>
    <w:rsid w:val="00A43BB3"/>
    <w:rsid w:val="00A44C6E"/>
    <w:rsid w:val="00A455D4"/>
    <w:rsid w:val="00A4601F"/>
    <w:rsid w:val="00A460FB"/>
    <w:rsid w:val="00A468C7"/>
    <w:rsid w:val="00A516E6"/>
    <w:rsid w:val="00A54103"/>
    <w:rsid w:val="00A55F3E"/>
    <w:rsid w:val="00A56C9C"/>
    <w:rsid w:val="00A56EAD"/>
    <w:rsid w:val="00A601B2"/>
    <w:rsid w:val="00A60A57"/>
    <w:rsid w:val="00A60D1D"/>
    <w:rsid w:val="00A60ECA"/>
    <w:rsid w:val="00A61A14"/>
    <w:rsid w:val="00A6216C"/>
    <w:rsid w:val="00A6328F"/>
    <w:rsid w:val="00A65270"/>
    <w:rsid w:val="00A67DD6"/>
    <w:rsid w:val="00A7014E"/>
    <w:rsid w:val="00A70222"/>
    <w:rsid w:val="00A7088E"/>
    <w:rsid w:val="00A70FCD"/>
    <w:rsid w:val="00A76081"/>
    <w:rsid w:val="00A838C2"/>
    <w:rsid w:val="00A85412"/>
    <w:rsid w:val="00A862E3"/>
    <w:rsid w:val="00A924FE"/>
    <w:rsid w:val="00A93E43"/>
    <w:rsid w:val="00A94099"/>
    <w:rsid w:val="00A95DAB"/>
    <w:rsid w:val="00A96807"/>
    <w:rsid w:val="00A96943"/>
    <w:rsid w:val="00A97E65"/>
    <w:rsid w:val="00A97EFB"/>
    <w:rsid w:val="00AA0A12"/>
    <w:rsid w:val="00AA2AEE"/>
    <w:rsid w:val="00AA318F"/>
    <w:rsid w:val="00AA3A50"/>
    <w:rsid w:val="00AA4F0D"/>
    <w:rsid w:val="00AA695D"/>
    <w:rsid w:val="00AB138C"/>
    <w:rsid w:val="00AB13B7"/>
    <w:rsid w:val="00AB1762"/>
    <w:rsid w:val="00AB296A"/>
    <w:rsid w:val="00AB32B2"/>
    <w:rsid w:val="00AB344F"/>
    <w:rsid w:val="00AB3D4F"/>
    <w:rsid w:val="00AB6B66"/>
    <w:rsid w:val="00AC1A1F"/>
    <w:rsid w:val="00AC2F8E"/>
    <w:rsid w:val="00AC4DC1"/>
    <w:rsid w:val="00AC7386"/>
    <w:rsid w:val="00AD34CE"/>
    <w:rsid w:val="00AD3FCC"/>
    <w:rsid w:val="00AD40B1"/>
    <w:rsid w:val="00AE14A7"/>
    <w:rsid w:val="00AE1AF7"/>
    <w:rsid w:val="00AE241F"/>
    <w:rsid w:val="00AE24E8"/>
    <w:rsid w:val="00AE2F78"/>
    <w:rsid w:val="00AE2F9C"/>
    <w:rsid w:val="00AE5694"/>
    <w:rsid w:val="00AE6881"/>
    <w:rsid w:val="00AE7278"/>
    <w:rsid w:val="00AF0576"/>
    <w:rsid w:val="00AF07A5"/>
    <w:rsid w:val="00AF1482"/>
    <w:rsid w:val="00AF31FD"/>
    <w:rsid w:val="00AF63BE"/>
    <w:rsid w:val="00AF65E8"/>
    <w:rsid w:val="00B006E3"/>
    <w:rsid w:val="00B02303"/>
    <w:rsid w:val="00B025CC"/>
    <w:rsid w:val="00B032D5"/>
    <w:rsid w:val="00B054B1"/>
    <w:rsid w:val="00B05BDB"/>
    <w:rsid w:val="00B06D91"/>
    <w:rsid w:val="00B0761A"/>
    <w:rsid w:val="00B078F4"/>
    <w:rsid w:val="00B07EB2"/>
    <w:rsid w:val="00B10B17"/>
    <w:rsid w:val="00B113CB"/>
    <w:rsid w:val="00B11CD0"/>
    <w:rsid w:val="00B132DB"/>
    <w:rsid w:val="00B14BFC"/>
    <w:rsid w:val="00B154F4"/>
    <w:rsid w:val="00B155A4"/>
    <w:rsid w:val="00B156C9"/>
    <w:rsid w:val="00B1595C"/>
    <w:rsid w:val="00B15DCD"/>
    <w:rsid w:val="00B16583"/>
    <w:rsid w:val="00B17C1F"/>
    <w:rsid w:val="00B17D68"/>
    <w:rsid w:val="00B22A3F"/>
    <w:rsid w:val="00B22C43"/>
    <w:rsid w:val="00B23326"/>
    <w:rsid w:val="00B2430B"/>
    <w:rsid w:val="00B24456"/>
    <w:rsid w:val="00B2455A"/>
    <w:rsid w:val="00B24BA4"/>
    <w:rsid w:val="00B2515C"/>
    <w:rsid w:val="00B267A9"/>
    <w:rsid w:val="00B31314"/>
    <w:rsid w:val="00B31B5C"/>
    <w:rsid w:val="00B32490"/>
    <w:rsid w:val="00B32BD6"/>
    <w:rsid w:val="00B32D1A"/>
    <w:rsid w:val="00B338CE"/>
    <w:rsid w:val="00B350AC"/>
    <w:rsid w:val="00B358CD"/>
    <w:rsid w:val="00B378B8"/>
    <w:rsid w:val="00B403BF"/>
    <w:rsid w:val="00B42544"/>
    <w:rsid w:val="00B43068"/>
    <w:rsid w:val="00B43D09"/>
    <w:rsid w:val="00B45AC4"/>
    <w:rsid w:val="00B45E4A"/>
    <w:rsid w:val="00B45E9C"/>
    <w:rsid w:val="00B473BE"/>
    <w:rsid w:val="00B50C0E"/>
    <w:rsid w:val="00B5374D"/>
    <w:rsid w:val="00B53EC1"/>
    <w:rsid w:val="00B540F5"/>
    <w:rsid w:val="00B5425A"/>
    <w:rsid w:val="00B5475E"/>
    <w:rsid w:val="00B55673"/>
    <w:rsid w:val="00B5760C"/>
    <w:rsid w:val="00B57C72"/>
    <w:rsid w:val="00B60DDE"/>
    <w:rsid w:val="00B61154"/>
    <w:rsid w:val="00B614BC"/>
    <w:rsid w:val="00B6344A"/>
    <w:rsid w:val="00B654E0"/>
    <w:rsid w:val="00B6601B"/>
    <w:rsid w:val="00B663D6"/>
    <w:rsid w:val="00B700AC"/>
    <w:rsid w:val="00B70E54"/>
    <w:rsid w:val="00B72653"/>
    <w:rsid w:val="00B7483F"/>
    <w:rsid w:val="00B81015"/>
    <w:rsid w:val="00B81391"/>
    <w:rsid w:val="00B834D4"/>
    <w:rsid w:val="00B83885"/>
    <w:rsid w:val="00B844F7"/>
    <w:rsid w:val="00B85FC1"/>
    <w:rsid w:val="00B87227"/>
    <w:rsid w:val="00B90CEA"/>
    <w:rsid w:val="00B9101C"/>
    <w:rsid w:val="00B914D3"/>
    <w:rsid w:val="00B91BD3"/>
    <w:rsid w:val="00B91EC9"/>
    <w:rsid w:val="00B92D88"/>
    <w:rsid w:val="00B9640A"/>
    <w:rsid w:val="00B97171"/>
    <w:rsid w:val="00B97D28"/>
    <w:rsid w:val="00BA054A"/>
    <w:rsid w:val="00BA2FF7"/>
    <w:rsid w:val="00BA420B"/>
    <w:rsid w:val="00BA4AAA"/>
    <w:rsid w:val="00BA5BE7"/>
    <w:rsid w:val="00BB1754"/>
    <w:rsid w:val="00BB23CF"/>
    <w:rsid w:val="00BB33C7"/>
    <w:rsid w:val="00BB730C"/>
    <w:rsid w:val="00BC07E3"/>
    <w:rsid w:val="00BC1A90"/>
    <w:rsid w:val="00BC1EFC"/>
    <w:rsid w:val="00BC3A03"/>
    <w:rsid w:val="00BC5E5C"/>
    <w:rsid w:val="00BC70CC"/>
    <w:rsid w:val="00BC7177"/>
    <w:rsid w:val="00BC7C46"/>
    <w:rsid w:val="00BD0ACA"/>
    <w:rsid w:val="00BD0BA3"/>
    <w:rsid w:val="00BD1066"/>
    <w:rsid w:val="00BD17EB"/>
    <w:rsid w:val="00BD2CF0"/>
    <w:rsid w:val="00BD43AE"/>
    <w:rsid w:val="00BD57F3"/>
    <w:rsid w:val="00BD5926"/>
    <w:rsid w:val="00BD59AB"/>
    <w:rsid w:val="00BD5D28"/>
    <w:rsid w:val="00BD649D"/>
    <w:rsid w:val="00BD692E"/>
    <w:rsid w:val="00BD6FAB"/>
    <w:rsid w:val="00BE1294"/>
    <w:rsid w:val="00BE7245"/>
    <w:rsid w:val="00BE7CC4"/>
    <w:rsid w:val="00BF0AFD"/>
    <w:rsid w:val="00BF1FB3"/>
    <w:rsid w:val="00BF3D34"/>
    <w:rsid w:val="00BF67F9"/>
    <w:rsid w:val="00C003DC"/>
    <w:rsid w:val="00C01707"/>
    <w:rsid w:val="00C01B09"/>
    <w:rsid w:val="00C02E1B"/>
    <w:rsid w:val="00C04AC6"/>
    <w:rsid w:val="00C0671D"/>
    <w:rsid w:val="00C07A80"/>
    <w:rsid w:val="00C10470"/>
    <w:rsid w:val="00C11BB7"/>
    <w:rsid w:val="00C11EB3"/>
    <w:rsid w:val="00C13579"/>
    <w:rsid w:val="00C13E17"/>
    <w:rsid w:val="00C17043"/>
    <w:rsid w:val="00C17203"/>
    <w:rsid w:val="00C25C16"/>
    <w:rsid w:val="00C341F9"/>
    <w:rsid w:val="00C35FF6"/>
    <w:rsid w:val="00C362E7"/>
    <w:rsid w:val="00C36714"/>
    <w:rsid w:val="00C42A30"/>
    <w:rsid w:val="00C43735"/>
    <w:rsid w:val="00C444D6"/>
    <w:rsid w:val="00C45628"/>
    <w:rsid w:val="00C45725"/>
    <w:rsid w:val="00C47387"/>
    <w:rsid w:val="00C476D1"/>
    <w:rsid w:val="00C47AFA"/>
    <w:rsid w:val="00C47F07"/>
    <w:rsid w:val="00C5233B"/>
    <w:rsid w:val="00C53E73"/>
    <w:rsid w:val="00C54A4F"/>
    <w:rsid w:val="00C54E94"/>
    <w:rsid w:val="00C57D14"/>
    <w:rsid w:val="00C613EC"/>
    <w:rsid w:val="00C618AF"/>
    <w:rsid w:val="00C62AD9"/>
    <w:rsid w:val="00C65699"/>
    <w:rsid w:val="00C6599A"/>
    <w:rsid w:val="00C66581"/>
    <w:rsid w:val="00C712AD"/>
    <w:rsid w:val="00C7138D"/>
    <w:rsid w:val="00C71DA3"/>
    <w:rsid w:val="00C72DE2"/>
    <w:rsid w:val="00C72E1A"/>
    <w:rsid w:val="00C72F92"/>
    <w:rsid w:val="00C744E9"/>
    <w:rsid w:val="00C74C3C"/>
    <w:rsid w:val="00C7521C"/>
    <w:rsid w:val="00C774E3"/>
    <w:rsid w:val="00C77EF1"/>
    <w:rsid w:val="00C804D7"/>
    <w:rsid w:val="00C80F23"/>
    <w:rsid w:val="00C86D24"/>
    <w:rsid w:val="00C86FDD"/>
    <w:rsid w:val="00C8702D"/>
    <w:rsid w:val="00C94B6B"/>
    <w:rsid w:val="00C95D04"/>
    <w:rsid w:val="00C967C2"/>
    <w:rsid w:val="00CA15BF"/>
    <w:rsid w:val="00CA382F"/>
    <w:rsid w:val="00CA63F9"/>
    <w:rsid w:val="00CB2828"/>
    <w:rsid w:val="00CB3057"/>
    <w:rsid w:val="00CB3609"/>
    <w:rsid w:val="00CB6EF0"/>
    <w:rsid w:val="00CB6F04"/>
    <w:rsid w:val="00CC0EDF"/>
    <w:rsid w:val="00CC1601"/>
    <w:rsid w:val="00CC407D"/>
    <w:rsid w:val="00CC4799"/>
    <w:rsid w:val="00CC4C26"/>
    <w:rsid w:val="00CC4EE8"/>
    <w:rsid w:val="00CC66F2"/>
    <w:rsid w:val="00CC6BF1"/>
    <w:rsid w:val="00CC7D2F"/>
    <w:rsid w:val="00CD14F3"/>
    <w:rsid w:val="00CD3961"/>
    <w:rsid w:val="00CD676E"/>
    <w:rsid w:val="00CD73FC"/>
    <w:rsid w:val="00CE0E08"/>
    <w:rsid w:val="00CE1BB6"/>
    <w:rsid w:val="00CE3273"/>
    <w:rsid w:val="00CE5DFD"/>
    <w:rsid w:val="00CE6863"/>
    <w:rsid w:val="00CE6A76"/>
    <w:rsid w:val="00CE7B09"/>
    <w:rsid w:val="00CF0E55"/>
    <w:rsid w:val="00CF28F0"/>
    <w:rsid w:val="00CF32FE"/>
    <w:rsid w:val="00CF4A82"/>
    <w:rsid w:val="00CF526A"/>
    <w:rsid w:val="00CF5915"/>
    <w:rsid w:val="00CF5FC0"/>
    <w:rsid w:val="00CF7690"/>
    <w:rsid w:val="00D00544"/>
    <w:rsid w:val="00D0191E"/>
    <w:rsid w:val="00D02B0A"/>
    <w:rsid w:val="00D03110"/>
    <w:rsid w:val="00D05908"/>
    <w:rsid w:val="00D06F7F"/>
    <w:rsid w:val="00D07B34"/>
    <w:rsid w:val="00D173ED"/>
    <w:rsid w:val="00D17CDC"/>
    <w:rsid w:val="00D200BF"/>
    <w:rsid w:val="00D21054"/>
    <w:rsid w:val="00D21530"/>
    <w:rsid w:val="00D22FD1"/>
    <w:rsid w:val="00D232E6"/>
    <w:rsid w:val="00D24A9F"/>
    <w:rsid w:val="00D25142"/>
    <w:rsid w:val="00D25C7D"/>
    <w:rsid w:val="00D25F30"/>
    <w:rsid w:val="00D2661B"/>
    <w:rsid w:val="00D267DB"/>
    <w:rsid w:val="00D34457"/>
    <w:rsid w:val="00D3497A"/>
    <w:rsid w:val="00D34E96"/>
    <w:rsid w:val="00D37124"/>
    <w:rsid w:val="00D376CA"/>
    <w:rsid w:val="00D37CA8"/>
    <w:rsid w:val="00D41BC2"/>
    <w:rsid w:val="00D41D25"/>
    <w:rsid w:val="00D42212"/>
    <w:rsid w:val="00D43098"/>
    <w:rsid w:val="00D4341D"/>
    <w:rsid w:val="00D45C03"/>
    <w:rsid w:val="00D4719A"/>
    <w:rsid w:val="00D511B1"/>
    <w:rsid w:val="00D51828"/>
    <w:rsid w:val="00D53B0E"/>
    <w:rsid w:val="00D54539"/>
    <w:rsid w:val="00D564F9"/>
    <w:rsid w:val="00D57ED2"/>
    <w:rsid w:val="00D6198C"/>
    <w:rsid w:val="00D64A8A"/>
    <w:rsid w:val="00D676B4"/>
    <w:rsid w:val="00D704A6"/>
    <w:rsid w:val="00D719BD"/>
    <w:rsid w:val="00D72299"/>
    <w:rsid w:val="00D72B5E"/>
    <w:rsid w:val="00D73942"/>
    <w:rsid w:val="00D73FDC"/>
    <w:rsid w:val="00D7568E"/>
    <w:rsid w:val="00D75A49"/>
    <w:rsid w:val="00D76EE4"/>
    <w:rsid w:val="00D83267"/>
    <w:rsid w:val="00D83BC1"/>
    <w:rsid w:val="00D8497F"/>
    <w:rsid w:val="00D84BAF"/>
    <w:rsid w:val="00D852EB"/>
    <w:rsid w:val="00D861DF"/>
    <w:rsid w:val="00D86FBF"/>
    <w:rsid w:val="00D9090A"/>
    <w:rsid w:val="00D91C15"/>
    <w:rsid w:val="00D91ECA"/>
    <w:rsid w:val="00D933F6"/>
    <w:rsid w:val="00D93858"/>
    <w:rsid w:val="00D93EB0"/>
    <w:rsid w:val="00D96828"/>
    <w:rsid w:val="00D96AF1"/>
    <w:rsid w:val="00DA177A"/>
    <w:rsid w:val="00DA17C8"/>
    <w:rsid w:val="00DA1DA7"/>
    <w:rsid w:val="00DA5429"/>
    <w:rsid w:val="00DA60B3"/>
    <w:rsid w:val="00DA67C6"/>
    <w:rsid w:val="00DA6EF1"/>
    <w:rsid w:val="00DA7023"/>
    <w:rsid w:val="00DA740F"/>
    <w:rsid w:val="00DB1489"/>
    <w:rsid w:val="00DB31A2"/>
    <w:rsid w:val="00DB458F"/>
    <w:rsid w:val="00DB4674"/>
    <w:rsid w:val="00DB46C3"/>
    <w:rsid w:val="00DB56F3"/>
    <w:rsid w:val="00DB5846"/>
    <w:rsid w:val="00DC0843"/>
    <w:rsid w:val="00DC3262"/>
    <w:rsid w:val="00DC55C1"/>
    <w:rsid w:val="00DC580B"/>
    <w:rsid w:val="00DC6CB1"/>
    <w:rsid w:val="00DC6D4E"/>
    <w:rsid w:val="00DC6E8E"/>
    <w:rsid w:val="00DD0B1C"/>
    <w:rsid w:val="00DD290E"/>
    <w:rsid w:val="00DD2989"/>
    <w:rsid w:val="00DD3C05"/>
    <w:rsid w:val="00DD4658"/>
    <w:rsid w:val="00DD4731"/>
    <w:rsid w:val="00DD4CC9"/>
    <w:rsid w:val="00DD5BD4"/>
    <w:rsid w:val="00DD6AA2"/>
    <w:rsid w:val="00DD6E5B"/>
    <w:rsid w:val="00DD71DE"/>
    <w:rsid w:val="00DE09D4"/>
    <w:rsid w:val="00DE0CBA"/>
    <w:rsid w:val="00DE230F"/>
    <w:rsid w:val="00DE2A0C"/>
    <w:rsid w:val="00DE42C8"/>
    <w:rsid w:val="00DE4AF6"/>
    <w:rsid w:val="00DE5BCC"/>
    <w:rsid w:val="00DE7A91"/>
    <w:rsid w:val="00DF054F"/>
    <w:rsid w:val="00DF0B44"/>
    <w:rsid w:val="00E03AAC"/>
    <w:rsid w:val="00E03AFA"/>
    <w:rsid w:val="00E06BCA"/>
    <w:rsid w:val="00E07225"/>
    <w:rsid w:val="00E10BBB"/>
    <w:rsid w:val="00E1148F"/>
    <w:rsid w:val="00E12EB3"/>
    <w:rsid w:val="00E15F39"/>
    <w:rsid w:val="00E16009"/>
    <w:rsid w:val="00E16415"/>
    <w:rsid w:val="00E217CC"/>
    <w:rsid w:val="00E22050"/>
    <w:rsid w:val="00E236A4"/>
    <w:rsid w:val="00E237C8"/>
    <w:rsid w:val="00E23E52"/>
    <w:rsid w:val="00E2452F"/>
    <w:rsid w:val="00E31400"/>
    <w:rsid w:val="00E32346"/>
    <w:rsid w:val="00E32949"/>
    <w:rsid w:val="00E33E4D"/>
    <w:rsid w:val="00E348AB"/>
    <w:rsid w:val="00E34DA0"/>
    <w:rsid w:val="00E35906"/>
    <w:rsid w:val="00E36099"/>
    <w:rsid w:val="00E36347"/>
    <w:rsid w:val="00E36911"/>
    <w:rsid w:val="00E36B9A"/>
    <w:rsid w:val="00E36F88"/>
    <w:rsid w:val="00E37264"/>
    <w:rsid w:val="00E41B65"/>
    <w:rsid w:val="00E42EAD"/>
    <w:rsid w:val="00E44F03"/>
    <w:rsid w:val="00E45970"/>
    <w:rsid w:val="00E46031"/>
    <w:rsid w:val="00E472FB"/>
    <w:rsid w:val="00E5054A"/>
    <w:rsid w:val="00E5477E"/>
    <w:rsid w:val="00E556EE"/>
    <w:rsid w:val="00E562A9"/>
    <w:rsid w:val="00E579B5"/>
    <w:rsid w:val="00E60398"/>
    <w:rsid w:val="00E616E1"/>
    <w:rsid w:val="00E64596"/>
    <w:rsid w:val="00E677BF"/>
    <w:rsid w:val="00E703EB"/>
    <w:rsid w:val="00E705E7"/>
    <w:rsid w:val="00E7232B"/>
    <w:rsid w:val="00E75FA0"/>
    <w:rsid w:val="00E8133A"/>
    <w:rsid w:val="00E83210"/>
    <w:rsid w:val="00E84D42"/>
    <w:rsid w:val="00E84F3E"/>
    <w:rsid w:val="00E85386"/>
    <w:rsid w:val="00E8548F"/>
    <w:rsid w:val="00E8566C"/>
    <w:rsid w:val="00E85D34"/>
    <w:rsid w:val="00E86E43"/>
    <w:rsid w:val="00E87AFE"/>
    <w:rsid w:val="00E90710"/>
    <w:rsid w:val="00E90CD3"/>
    <w:rsid w:val="00E927AA"/>
    <w:rsid w:val="00E9412D"/>
    <w:rsid w:val="00E95235"/>
    <w:rsid w:val="00E96442"/>
    <w:rsid w:val="00E966B5"/>
    <w:rsid w:val="00EA00F6"/>
    <w:rsid w:val="00EA0959"/>
    <w:rsid w:val="00EA1C6B"/>
    <w:rsid w:val="00EA1DA8"/>
    <w:rsid w:val="00EA70C2"/>
    <w:rsid w:val="00EA7BB9"/>
    <w:rsid w:val="00EB157D"/>
    <w:rsid w:val="00EB3D45"/>
    <w:rsid w:val="00EB43C9"/>
    <w:rsid w:val="00EB4A25"/>
    <w:rsid w:val="00EB4D48"/>
    <w:rsid w:val="00EB535F"/>
    <w:rsid w:val="00EB7A1D"/>
    <w:rsid w:val="00EB7CEE"/>
    <w:rsid w:val="00EC1C66"/>
    <w:rsid w:val="00EC22B4"/>
    <w:rsid w:val="00EC292F"/>
    <w:rsid w:val="00EC2A00"/>
    <w:rsid w:val="00EC39D8"/>
    <w:rsid w:val="00EC40C2"/>
    <w:rsid w:val="00EC5361"/>
    <w:rsid w:val="00EC5FB3"/>
    <w:rsid w:val="00EC6148"/>
    <w:rsid w:val="00EC648F"/>
    <w:rsid w:val="00EC6803"/>
    <w:rsid w:val="00ED0644"/>
    <w:rsid w:val="00ED0D38"/>
    <w:rsid w:val="00ED19E8"/>
    <w:rsid w:val="00ED290E"/>
    <w:rsid w:val="00ED49AE"/>
    <w:rsid w:val="00ED5046"/>
    <w:rsid w:val="00ED6824"/>
    <w:rsid w:val="00ED6CF9"/>
    <w:rsid w:val="00EE1A21"/>
    <w:rsid w:val="00EE2F4D"/>
    <w:rsid w:val="00EE38BA"/>
    <w:rsid w:val="00EE5309"/>
    <w:rsid w:val="00EE5D16"/>
    <w:rsid w:val="00EE7F6E"/>
    <w:rsid w:val="00EF39F1"/>
    <w:rsid w:val="00EF5C80"/>
    <w:rsid w:val="00EF6810"/>
    <w:rsid w:val="00F0050D"/>
    <w:rsid w:val="00F03DF3"/>
    <w:rsid w:val="00F0421E"/>
    <w:rsid w:val="00F04B30"/>
    <w:rsid w:val="00F0577E"/>
    <w:rsid w:val="00F06BD7"/>
    <w:rsid w:val="00F071C2"/>
    <w:rsid w:val="00F10998"/>
    <w:rsid w:val="00F10FBC"/>
    <w:rsid w:val="00F11A3D"/>
    <w:rsid w:val="00F130BB"/>
    <w:rsid w:val="00F1436B"/>
    <w:rsid w:val="00F1535B"/>
    <w:rsid w:val="00F153B2"/>
    <w:rsid w:val="00F1553E"/>
    <w:rsid w:val="00F20BA9"/>
    <w:rsid w:val="00F21810"/>
    <w:rsid w:val="00F226ED"/>
    <w:rsid w:val="00F2408E"/>
    <w:rsid w:val="00F2482B"/>
    <w:rsid w:val="00F25440"/>
    <w:rsid w:val="00F27447"/>
    <w:rsid w:val="00F27D10"/>
    <w:rsid w:val="00F325BC"/>
    <w:rsid w:val="00F37ED7"/>
    <w:rsid w:val="00F41EE9"/>
    <w:rsid w:val="00F42694"/>
    <w:rsid w:val="00F42792"/>
    <w:rsid w:val="00F42EC4"/>
    <w:rsid w:val="00F43196"/>
    <w:rsid w:val="00F4323F"/>
    <w:rsid w:val="00F43FB5"/>
    <w:rsid w:val="00F459C0"/>
    <w:rsid w:val="00F45A54"/>
    <w:rsid w:val="00F507FE"/>
    <w:rsid w:val="00F50D23"/>
    <w:rsid w:val="00F519E3"/>
    <w:rsid w:val="00F51BF5"/>
    <w:rsid w:val="00F51CA8"/>
    <w:rsid w:val="00F521F6"/>
    <w:rsid w:val="00F53373"/>
    <w:rsid w:val="00F559F2"/>
    <w:rsid w:val="00F55D93"/>
    <w:rsid w:val="00F617C4"/>
    <w:rsid w:val="00F6457B"/>
    <w:rsid w:val="00F64795"/>
    <w:rsid w:val="00F65354"/>
    <w:rsid w:val="00F717CC"/>
    <w:rsid w:val="00F7181C"/>
    <w:rsid w:val="00F73689"/>
    <w:rsid w:val="00F73968"/>
    <w:rsid w:val="00F73DFB"/>
    <w:rsid w:val="00F74A9C"/>
    <w:rsid w:val="00F74C51"/>
    <w:rsid w:val="00F7583E"/>
    <w:rsid w:val="00F75C5B"/>
    <w:rsid w:val="00F77800"/>
    <w:rsid w:val="00F77C17"/>
    <w:rsid w:val="00F80B15"/>
    <w:rsid w:val="00F8118C"/>
    <w:rsid w:val="00F81A01"/>
    <w:rsid w:val="00F8277B"/>
    <w:rsid w:val="00F845D3"/>
    <w:rsid w:val="00F84CBD"/>
    <w:rsid w:val="00F85E03"/>
    <w:rsid w:val="00F8623E"/>
    <w:rsid w:val="00F86A87"/>
    <w:rsid w:val="00F86EF6"/>
    <w:rsid w:val="00F91120"/>
    <w:rsid w:val="00F91D3B"/>
    <w:rsid w:val="00F92828"/>
    <w:rsid w:val="00F93B97"/>
    <w:rsid w:val="00F94A5E"/>
    <w:rsid w:val="00F94E66"/>
    <w:rsid w:val="00F95B0D"/>
    <w:rsid w:val="00F961A7"/>
    <w:rsid w:val="00F97F5D"/>
    <w:rsid w:val="00FA32E9"/>
    <w:rsid w:val="00FA4B9F"/>
    <w:rsid w:val="00FA4D6E"/>
    <w:rsid w:val="00FA5236"/>
    <w:rsid w:val="00FA7517"/>
    <w:rsid w:val="00FB0E49"/>
    <w:rsid w:val="00FB34D5"/>
    <w:rsid w:val="00FB3C2A"/>
    <w:rsid w:val="00FB6197"/>
    <w:rsid w:val="00FB74B4"/>
    <w:rsid w:val="00FC0350"/>
    <w:rsid w:val="00FC144E"/>
    <w:rsid w:val="00FC14B2"/>
    <w:rsid w:val="00FC172D"/>
    <w:rsid w:val="00FC343C"/>
    <w:rsid w:val="00FC452A"/>
    <w:rsid w:val="00FC5848"/>
    <w:rsid w:val="00FC6FAD"/>
    <w:rsid w:val="00FD046A"/>
    <w:rsid w:val="00FD07F5"/>
    <w:rsid w:val="00FD3006"/>
    <w:rsid w:val="00FD3FB7"/>
    <w:rsid w:val="00FD446F"/>
    <w:rsid w:val="00FD5325"/>
    <w:rsid w:val="00FD5568"/>
    <w:rsid w:val="00FE2696"/>
    <w:rsid w:val="00FE4C79"/>
    <w:rsid w:val="00FE5BE2"/>
    <w:rsid w:val="00FE6185"/>
    <w:rsid w:val="00FF0647"/>
    <w:rsid w:val="00FF2BF7"/>
    <w:rsid w:val="00FF2EE1"/>
    <w:rsid w:val="00FF347F"/>
    <w:rsid w:val="00FF38DA"/>
    <w:rsid w:val="00FF413B"/>
    <w:rsid w:val="00FF6303"/>
    <w:rsid w:val="00FF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1">
      <o:colormenu v:ext="edit" fillcolor="none" stroke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7C4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617C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17C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17C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17C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617C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617C4"/>
    <w:rPr>
      <w:rFonts w:ascii="Cambria" w:eastAsia="Times New Roman" w:hAnsi="Cambria" w:cs="Times New Roman"/>
      <w:b/>
      <w:bCs/>
      <w:color w:val="4F81BD"/>
    </w:rPr>
  </w:style>
  <w:style w:type="paragraph" w:customStyle="1" w:styleId="VolumedoBoletimInformativo">
    <w:name w:val="Volume do Boletim Informativo"/>
    <w:basedOn w:val="Normal"/>
    <w:qFormat/>
    <w:rsid w:val="00F617C4"/>
    <w:pPr>
      <w:spacing w:after="0" w:line="240" w:lineRule="auto"/>
      <w:jc w:val="right"/>
    </w:pPr>
    <w:rPr>
      <w:rFonts w:ascii="Cambria" w:hAnsi="Cambria"/>
      <w:b/>
      <w:color w:val="FFFFFF"/>
      <w:sz w:val="20"/>
      <w:lang w:val="en-US"/>
    </w:rPr>
  </w:style>
  <w:style w:type="paragraph" w:customStyle="1" w:styleId="NomedaEmpresa-Capa">
    <w:name w:val="Nome da Empresa - Capa"/>
    <w:basedOn w:val="Normal"/>
    <w:link w:val="NomedaEmpresa-CarCapa"/>
    <w:qFormat/>
    <w:rsid w:val="00F617C4"/>
    <w:pPr>
      <w:spacing w:after="0" w:line="240" w:lineRule="auto"/>
    </w:pPr>
    <w:rPr>
      <w:rFonts w:ascii="Cambria" w:hAnsi="Cambria"/>
      <w:sz w:val="17"/>
      <w:lang w:val="en-US"/>
    </w:rPr>
  </w:style>
  <w:style w:type="character" w:customStyle="1" w:styleId="NomedaEmpresa-CarCapa">
    <w:name w:val="Nome da Empresa - Car Capa"/>
    <w:basedOn w:val="Fontepargpadro"/>
    <w:link w:val="NomedaEmpresa-Capa"/>
    <w:rsid w:val="00F617C4"/>
    <w:rPr>
      <w:rFonts w:ascii="Cambria" w:eastAsia="Calibri" w:hAnsi="Cambria" w:cs="Times New Roman"/>
      <w:sz w:val="17"/>
      <w:lang w:val="en-US"/>
    </w:rPr>
  </w:style>
  <w:style w:type="paragraph" w:styleId="PargrafodaLista">
    <w:name w:val="List Paragraph"/>
    <w:basedOn w:val="Normal"/>
    <w:uiPriority w:val="34"/>
    <w:qFormat/>
    <w:rsid w:val="00F617C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61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17C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61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17C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F617C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7C4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617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">
    <w:name w:val="Texto"/>
    <w:basedOn w:val="Normal"/>
    <w:autoRedefine/>
    <w:rsid w:val="00F617C4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/>
      <w:color w:val="000080"/>
      <w:sz w:val="20"/>
      <w:szCs w:val="20"/>
      <w:lang w:eastAsia="pt-BR"/>
    </w:rPr>
  </w:style>
  <w:style w:type="paragraph" w:customStyle="1" w:styleId="parag2">
    <w:name w:val="parag2"/>
    <w:basedOn w:val="Normal"/>
    <w:rsid w:val="00F617C4"/>
    <w:pPr>
      <w:spacing w:after="173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617C4"/>
    <w:rPr>
      <w:b/>
      <w:bCs/>
      <w:i w:val="0"/>
      <w:iCs w:val="0"/>
    </w:rPr>
  </w:style>
  <w:style w:type="character" w:customStyle="1" w:styleId="st1">
    <w:name w:val="st1"/>
    <w:basedOn w:val="Fontepargpadro"/>
    <w:rsid w:val="00F617C4"/>
  </w:style>
  <w:style w:type="character" w:customStyle="1" w:styleId="scayt-misspell">
    <w:name w:val="scayt-misspell"/>
    <w:basedOn w:val="Fontepargpadro"/>
    <w:rsid w:val="00F617C4"/>
  </w:style>
  <w:style w:type="paragraph" w:customStyle="1" w:styleId="texto0">
    <w:name w:val="texto"/>
    <w:basedOn w:val="Normal"/>
    <w:rsid w:val="00F617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F617C4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F617C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617C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F617C4"/>
    <w:rPr>
      <w:sz w:val="22"/>
      <w:szCs w:val="22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F617C4"/>
    <w:pPr>
      <w:spacing w:after="100"/>
      <w:ind w:left="440"/>
    </w:pPr>
  </w:style>
  <w:style w:type="character" w:customStyle="1" w:styleId="marcador">
    <w:name w:val="marcador"/>
    <w:basedOn w:val="Fontepargpadro"/>
    <w:rsid w:val="00E46031"/>
  </w:style>
  <w:style w:type="paragraph" w:styleId="Sumrio1">
    <w:name w:val="toc 1"/>
    <w:basedOn w:val="Normal"/>
    <w:next w:val="Normal"/>
    <w:autoRedefine/>
    <w:uiPriority w:val="39"/>
    <w:unhideWhenUsed/>
    <w:rsid w:val="00161B8F"/>
  </w:style>
  <w:style w:type="paragraph" w:styleId="Sumrio2">
    <w:name w:val="toc 2"/>
    <w:basedOn w:val="Normal"/>
    <w:next w:val="Normal"/>
    <w:autoRedefine/>
    <w:uiPriority w:val="39"/>
    <w:unhideWhenUsed/>
    <w:rsid w:val="0098706E"/>
    <w:pPr>
      <w:spacing w:after="100"/>
      <w:ind w:left="220"/>
    </w:pPr>
  </w:style>
  <w:style w:type="character" w:customStyle="1" w:styleId="subheading-category">
    <w:name w:val="subheading-category"/>
    <w:basedOn w:val="Fontepargpadro"/>
    <w:rsid w:val="00472AFC"/>
  </w:style>
  <w:style w:type="character" w:customStyle="1" w:styleId="apple-converted-space">
    <w:name w:val="apple-converted-space"/>
    <w:basedOn w:val="Fontepargpadro"/>
    <w:rsid w:val="00472AFC"/>
  </w:style>
  <w:style w:type="table" w:styleId="Tabelacomgrade">
    <w:name w:val="Table Grid"/>
    <w:basedOn w:val="Tabelanormal"/>
    <w:uiPriority w:val="59"/>
    <w:rsid w:val="009B02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C774E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6">
    <w:name w:val="Light Shading Accent 6"/>
    <w:basedOn w:val="Tabelanormal"/>
    <w:uiPriority w:val="60"/>
    <w:rsid w:val="00C774E3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radeClara-nfase6">
    <w:name w:val="Light Grid Accent 6"/>
    <w:basedOn w:val="Tabelanormal"/>
    <w:uiPriority w:val="62"/>
    <w:rsid w:val="00F21810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Estilo1">
    <w:name w:val="Estilo1"/>
    <w:basedOn w:val="Tabelanormal"/>
    <w:uiPriority w:val="99"/>
    <w:qFormat/>
    <w:rsid w:val="00F2181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left"/>
      </w:pPr>
      <w:rPr>
        <w:color w:val="auto"/>
      </w:rPr>
      <w:tblPr/>
      <w:tcPr>
        <w:shd w:val="clear" w:color="auto" w:fill="E36C0A" w:themeFill="accent6" w:themeFillShade="B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5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8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5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chart" Target="charts/chart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2.xml"/><Relationship Id="rId22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rjofs01\SFI$\01%20-%20Planejamento%20e%20Estudos%20Regulat&#243;rios\30%20Peri&#243;dicos\2016%20para%20frente\Fiscaliza&#231;&#227;o%20em%20Not&#237;cias\2017\Semestral\Tabelas%20contendo%20todos%20os%20dados%20Jan%20a%20Ju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rjofs01\SFI$\01%20-%20Planejamento%20e%20Estudos%20Regulat&#243;rios\30%20Peri&#243;dicos\2016%20para%20frente\Fiscaliza&#231;&#227;o%20em%20Not&#237;cias\2017\Semestral\Tabelas%20contendo%20todos%20os%20dados%20Jan%20a%20Ju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rjofs01\SFI$\01%20-%20Planejamento%20e%20Estudos%20Regulat&#243;rios\30%20Peri&#243;dicos\2016%20para%20frente\Fiscaliza&#231;&#227;o%20em%20Not&#237;cias\2017\Semestral\Tabelas%20contendo%20todos%20os%20dados%20Jan%20a%20Jun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rjofs01\SFI$\01%20-%20Planejamento%20e%20Estudos%20Regulat&#243;rios\30%20Peri&#243;dicos\2016%20para%20frente\Fiscaliza&#231;&#227;o%20em%20Not&#237;cias\2017\Semestral\Tabelas%20contendo%20todos%20os%20dados%20Jan%20a%20Jun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rjofs01\SFI$\01%20-%20Planejamento%20e%20Estudos%20Regulat&#243;rios\30%20Peri&#243;dicos\2016%20para%20frente\Fiscaliza&#231;&#227;o%20em%20Not&#237;cias\2017\Semestral\Tabelas%20contendo%20todos%20os%20dados%20Jan%20a%20Jun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rjofs01\SFI$\01%20-%20Planejamento%20e%20Estudos%20Regulat&#243;rios\30%20Peri&#243;dicos\2016%20para%20frente\Fiscaliza&#231;&#227;o%20em%20Not&#237;cias\2017\Semestral\Tabelas%20contendo%20todos%20os%20dados%20Jan%20a%20Jun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rjofs01\SFI$\01%20-%20Planejamento%20e%20Estudos%20Regulat&#243;rios\30%20Peri&#243;dicos\2016%20para%20frente\Fiscaliza&#231;&#227;o%20em%20Not&#237;cias\2017\Semestral\Tabelas%20contendo%20todos%20os%20dados%20Jan%20a%20Jun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rjofs01\SFI$\01%20-%20Planejamento%20e%20Estudos%20Regulat&#243;rios\30%20Peri&#243;dicos\2016%20para%20frente\Fiscaliza&#231;&#227;o%20em%20Not&#237;cias\2017\Semestral\Tabelas%20contendo%20todos%20os%20dados%20Jan%20a%20Jun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rjofs01\SFI$\01%20-%20Planejamento%20e%20Estudos%20Regulat&#243;rios\30%20Peri&#243;dicos\2016%20para%20frente\Fiscaliza&#231;&#227;o%20em%20Not&#237;cias\2017\Semestral\Tabelas%20contendo%20todos%20os%20dados%20Jan%20a%20Ju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4.9566053146572954E-2"/>
          <c:y val="0.15582933374681426"/>
          <c:w val="0.44133964603743625"/>
          <c:h val="0.66569059717820733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4.3443465990918834E-2"/>
                  <c:y val="-3.4474176783679651E-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2405351871072303E-2"/>
                  <c:y val="-0.11228698363997311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7985083706462856E-2"/>
                  <c:y val="7.663254654311201E-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3.1695180590830263E-3"/>
                  <c:y val="5.04632270737164E-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7805835650471474E-3"/>
                  <c:y val="4.3439437438188296E-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1046756300212332E-3"/>
                  <c:y val="4.0854271201639425E-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7.7650892361859625E-3"/>
                  <c:y val="-1.681455788889074E-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787594860688576E-2"/>
                  <c:y val="-4.7158015198828993E-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1.2989932128437448E-3"/>
                  <c:y val="-8.3218957336867266E-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4.3548870396200055E-2"/>
                  <c:y val="-7.8767984417650164E-2"/>
                </c:manualLayout>
              </c:layout>
              <c:tx>
                <c:rich>
                  <a:bodyPr/>
                  <a:lstStyle/>
                  <a:p>
                    <a:r>
                      <a:rPr lang="en-US" sz="1000"/>
                      <a:t>1</a:t>
                    </a:r>
                    <a:r>
                      <a:rPr lang="en-US"/>
                      <a:t>3,8%</a:t>
                    </a:r>
                  </a:p>
                </c:rich>
              </c:tx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4.9571129197715863E-2"/>
                  <c:y val="-3.6179634749217295E-2"/>
                </c:manualLayout>
              </c:layout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pt-BR"/>
              </a:p>
            </c:txPr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'Princ. motivação de infração'!$B$22:$B$32</c:f>
              <c:strCache>
                <c:ptCount val="11"/>
                <c:pt idx="0">
                  <c:v>1º - Não cumprir notificação</c:v>
                </c:pt>
                <c:pt idx="1">
                  <c:v>2º - Equipamento ausente ou em desacordo com a legislação</c:v>
                </c:pt>
                <c:pt idx="2">
                  <c:v>3º - Não prestar informações ao consumidor</c:v>
                </c:pt>
                <c:pt idx="3">
                  <c:v>4º - Comercializar ou armazenar produto não conforme com a especificação</c:v>
                </c:pt>
                <c:pt idx="4">
                  <c:v>5º - Não atender a normas de segurança</c:v>
                </c:pt>
                <c:pt idx="5">
                  <c:v>6º - Adquirir ou destinar produto de/para fonte diversa da autorizada</c:v>
                </c:pt>
                <c:pt idx="6">
                  <c:v>7º - Não apresentar documento de outorga</c:v>
                </c:pt>
                <c:pt idx="7">
                  <c:v>8º - Não atualizar dados cadastrais na ANP</c:v>
                </c:pt>
                <c:pt idx="8">
                  <c:v>9º - Não apresentar ou apresentar em desacordo informações à ANP</c:v>
                </c:pt>
                <c:pt idx="9">
                  <c:v>10º - Comercializar com vício de quantidade</c:v>
                </c:pt>
                <c:pt idx="10">
                  <c:v>11º - Demais motivações</c:v>
                </c:pt>
              </c:strCache>
            </c:strRef>
          </c:cat>
          <c:val>
            <c:numRef>
              <c:f>'Princ. motivação de infração'!$C$22:$C$32</c:f>
              <c:numCache>
                <c:formatCode>0.0%</c:formatCode>
                <c:ptCount val="11"/>
                <c:pt idx="0">
                  <c:v>0.17</c:v>
                </c:pt>
                <c:pt idx="1">
                  <c:v>0.15000000000000024</c:v>
                </c:pt>
                <c:pt idx="2">
                  <c:v>0.13</c:v>
                </c:pt>
                <c:pt idx="3">
                  <c:v>0.11000000000000018</c:v>
                </c:pt>
                <c:pt idx="4">
                  <c:v>0.1</c:v>
                </c:pt>
                <c:pt idx="5">
                  <c:v>9.0000000000000066E-2</c:v>
                </c:pt>
                <c:pt idx="6">
                  <c:v>6.0000000000000255E-2</c:v>
                </c:pt>
                <c:pt idx="7">
                  <c:v>4.0000000000000112E-2</c:v>
                </c:pt>
                <c:pt idx="8">
                  <c:v>3.0000000000000162E-2</c:v>
                </c:pt>
                <c:pt idx="9">
                  <c:v>3.0000000000000162E-2</c:v>
                </c:pt>
                <c:pt idx="10">
                  <c:v>9.0000000000000066E-2</c:v>
                </c:pt>
              </c:numCache>
            </c:numRef>
          </c:val>
        </c:ser>
        <c:dLbls/>
      </c:pie3DChart>
    </c:plotArea>
    <c:legend>
      <c:legendPos val="r"/>
      <c:layout>
        <c:manualLayout>
          <c:xMode val="edge"/>
          <c:yMode val="edge"/>
          <c:x val="0.53763138446281011"/>
          <c:y val="0"/>
          <c:w val="0.4590418985192683"/>
          <c:h val="1"/>
        </c:manualLayout>
      </c:layout>
      <c:spPr>
        <a:noFill/>
      </c:spPr>
      <c:txPr>
        <a:bodyPr/>
        <a:lstStyle/>
        <a:p>
          <a:pPr rtl="0">
            <a:defRPr sz="700"/>
          </a:pPr>
          <a:endParaRPr lang="pt-BR"/>
        </a:p>
      </c:txPr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.12916666666666668"/>
          <c:y val="0.26035571211493302"/>
          <c:w val="0.65908385972758365"/>
          <c:h val="0.62621840033153764"/>
        </c:manualLayout>
      </c:layout>
      <c:pie3DChart>
        <c:varyColors val="1"/>
        <c:ser>
          <c:idx val="0"/>
          <c:order val="0"/>
          <c:explosion val="25"/>
          <c:dPt>
            <c:idx val="0"/>
            <c:explosion val="47"/>
          </c:dPt>
          <c:dLbls>
            <c:dLbl>
              <c:idx val="0"/>
              <c:layout>
                <c:manualLayout>
                  <c:x val="1.6791091578518161E-3"/>
                  <c:y val="-0.1044411327377849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16046947054468541"/>
                  <c:y val="0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1808402014267554E-3"/>
                  <c:y val="3.2671904676491323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6394123967971913E-2"/>
                  <c:y val="9.0519112812784842E-3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7319632598725911E-2"/>
                  <c:y val="-5.9883963609968914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7.6935500356491984E-3"/>
                  <c:y val="-0.14371715417484646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2.5729201717215211E-2"/>
                  <c:y val="-0.15470322880223769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15111526310017218"/>
                  <c:y val="-0.14699943172007873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12092986034099247"/>
                  <c:y val="-1.2002608388079868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CatName val="1"/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'Motivações Produto Fora'!$B$15:$B$23</c:f>
              <c:strCache>
                <c:ptCount val="9"/>
                <c:pt idx="0">
                  <c:v>Teor de metanol</c:v>
                </c:pt>
                <c:pt idx="1">
                  <c:v>Massa específica a 20°C / Teor alcóolico</c:v>
                </c:pt>
                <c:pt idx="2">
                  <c:v>Condutividade elétrica</c:v>
                </c:pt>
                <c:pt idx="3">
                  <c:v>Teor de etanol</c:v>
                </c:pt>
                <c:pt idx="4">
                  <c:v>Cor/Aspecto</c:v>
                </c:pt>
                <c:pt idx="5">
                  <c:v>Teor de água</c:v>
                </c:pt>
                <c:pt idx="6">
                  <c:v>PH</c:v>
                </c:pt>
                <c:pt idx="7">
                  <c:v>Teor de sulfato</c:v>
                </c:pt>
                <c:pt idx="8">
                  <c:v>Teor de ferro</c:v>
                </c:pt>
              </c:strCache>
            </c:strRef>
          </c:cat>
          <c:val>
            <c:numRef>
              <c:f>'Motivações Produto Fora'!$D$15:$D$23</c:f>
              <c:numCache>
                <c:formatCode>0.0%</c:formatCode>
                <c:ptCount val="9"/>
                <c:pt idx="0">
                  <c:v>0.40600000000000008</c:v>
                </c:pt>
                <c:pt idx="1">
                  <c:v>0.21400000000000041</c:v>
                </c:pt>
                <c:pt idx="2">
                  <c:v>0.20300000000000001</c:v>
                </c:pt>
                <c:pt idx="3">
                  <c:v>6.4000000000000112E-2</c:v>
                </c:pt>
                <c:pt idx="4">
                  <c:v>3.6999999999999998E-2</c:v>
                </c:pt>
                <c:pt idx="5">
                  <c:v>3.2000000000000042E-2</c:v>
                </c:pt>
                <c:pt idx="6">
                  <c:v>2.7000000000000152E-2</c:v>
                </c:pt>
                <c:pt idx="7">
                  <c:v>1.0999999999999998E-2</c:v>
                </c:pt>
                <c:pt idx="8">
                  <c:v>5.0000000000000114E-3</c:v>
                </c:pt>
              </c:numCache>
            </c:numRef>
          </c:val>
        </c:ser>
        <c:dLbls/>
      </c:pie3DChart>
    </c:plotArea>
    <c:plotVisOnly val="1"/>
    <c:dispBlanksAs val="zero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view3D>
      <c:rotX val="30"/>
      <c:rotY val="220"/>
      <c:perspective val="30"/>
    </c:view3D>
    <c:plotArea>
      <c:layout>
        <c:manualLayout>
          <c:layoutTarget val="inner"/>
          <c:xMode val="edge"/>
          <c:yMode val="edge"/>
          <c:x val="0.13735104461353817"/>
          <c:y val="0.14418450425603022"/>
          <c:w val="0.68013014884503953"/>
          <c:h val="0.65133860958638268"/>
        </c:manualLayout>
      </c:layout>
      <c:pie3DChart>
        <c:varyColors val="1"/>
        <c:ser>
          <c:idx val="1"/>
          <c:order val="0"/>
          <c:explosion val="63"/>
          <c:dLbls>
            <c:dLbl>
              <c:idx val="0"/>
              <c:layout>
                <c:manualLayout>
                  <c:x val="-4.4706811161754172E-2"/>
                  <c:y val="4.2797417777470171E-3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4373727388636879E-2"/>
                  <c:y val="-0.26069276791010398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7599933043466297E-2"/>
                  <c:y val="4.7799420083886402E-3"/>
                </c:manualLayout>
              </c:layout>
              <c:tx>
                <c:rich>
                  <a:bodyPr/>
                  <a:lstStyle/>
                  <a:p>
                    <a:pPr>
                      <a:defRPr sz="1000"/>
                    </a:pPr>
                    <a:r>
                      <a:rPr lang="en-US" sz="1000"/>
                      <a:t>Presença de marcador / solvente
7%</a:t>
                    </a:r>
                  </a:p>
                </c:rich>
              </c:tx>
              <c:numFmt formatCode="0%" sourceLinked="0"/>
              <c:spPr/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1.6862632014081509E-2"/>
                  <c:y val="4.0349941806407164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6280856010972892E-3"/>
                  <c:y val="5.2306867760457905E-2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8784755562847096E-2"/>
                  <c:y val="-5.4084855638223883E-3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showCatName val="1"/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'Motivações Produto Fora'!$F$3:$F$8</c:f>
              <c:strCache>
                <c:ptCount val="6"/>
                <c:pt idx="0">
                  <c:v>Percentual de etanol</c:v>
                </c:pt>
                <c:pt idx="1">
                  <c:v>Teor de Metanol</c:v>
                </c:pt>
                <c:pt idx="2">
                  <c:v>Presença de marcador/solvente</c:v>
                </c:pt>
                <c:pt idx="3">
                  <c:v>Cor/Aspecto</c:v>
                </c:pt>
                <c:pt idx="4">
                  <c:v>Destilação</c:v>
                </c:pt>
                <c:pt idx="5">
                  <c:v>Enxofre</c:v>
                </c:pt>
              </c:strCache>
            </c:strRef>
          </c:cat>
          <c:val>
            <c:numRef>
              <c:f>'Motivações Produto Fora'!$H$3:$H$8</c:f>
              <c:numCache>
                <c:formatCode>0.0</c:formatCode>
                <c:ptCount val="6"/>
                <c:pt idx="0">
                  <c:v>52.9</c:v>
                </c:pt>
                <c:pt idx="1">
                  <c:v>24.4</c:v>
                </c:pt>
                <c:pt idx="2">
                  <c:v>7.6</c:v>
                </c:pt>
                <c:pt idx="3">
                  <c:v>5.8</c:v>
                </c:pt>
                <c:pt idx="4">
                  <c:v>8.7000000000000011</c:v>
                </c:pt>
                <c:pt idx="5">
                  <c:v>0.60000000000000064</c:v>
                </c:pt>
              </c:numCache>
            </c:numRef>
          </c:val>
        </c:ser>
        <c:dLbls/>
      </c:pie3DChart>
    </c:plotArea>
    <c:plotVisOnly val="1"/>
    <c:dispBlanksAs val="zero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4716944561306641"/>
          <c:y val="0.32960149974443742"/>
          <c:w val="0.72128111628852742"/>
          <c:h val="0.57623597459709885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3.5243334789644962E-2"/>
                  <c:y val="-5.8296032960411491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0660536517700929"/>
                  <c:y val="-7.8416515478362014E-4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5.0862221006447224E-2"/>
                  <c:y val="8.1473227023756423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7.029779131605203E-2"/>
                  <c:y val="4.8015337107733917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6.8013938316406911E-2"/>
                  <c:y val="2.1050311004276911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9901227911080616E-2"/>
                  <c:y val="-4.8133892689235784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5027003970266093E-2"/>
                  <c:y val="-0.19523458818265399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9.2759464206332506E-2"/>
                  <c:y val="-9.9057597436848208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15551404231187951"/>
                  <c:y val="-0.18102620796869873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24273330231832399"/>
                  <c:y val="-6.636173169532876E-3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showCatName val="1"/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'Motivações Produto Fora'!$F$15:$F$24</c:f>
              <c:strCache>
                <c:ptCount val="10"/>
                <c:pt idx="0">
                  <c:v>Teor de biodiesel</c:v>
                </c:pt>
                <c:pt idx="1">
                  <c:v>Aspecto</c:v>
                </c:pt>
                <c:pt idx="2">
                  <c:v>Enxofre total máximo</c:v>
                </c:pt>
                <c:pt idx="3">
                  <c:v>Água</c:v>
                </c:pt>
                <c:pt idx="4">
                  <c:v>Ponto de fulgor mínimo</c:v>
                </c:pt>
                <c:pt idx="5">
                  <c:v>Água e sedimentos</c:v>
                </c:pt>
                <c:pt idx="6">
                  <c:v>Destilação</c:v>
                </c:pt>
                <c:pt idx="7">
                  <c:v>Massa específica a 20ºC</c:v>
                </c:pt>
                <c:pt idx="8">
                  <c:v>Cor</c:v>
                </c:pt>
                <c:pt idx="9">
                  <c:v>Contaminação total</c:v>
                </c:pt>
              </c:strCache>
            </c:strRef>
          </c:cat>
          <c:val>
            <c:numRef>
              <c:f>'Motivações Produto Fora'!$H$15:$H$24</c:f>
              <c:numCache>
                <c:formatCode>0.0%</c:formatCode>
                <c:ptCount val="10"/>
                <c:pt idx="0">
                  <c:v>0.38500000000000173</c:v>
                </c:pt>
                <c:pt idx="1">
                  <c:v>0.18000000000000024</c:v>
                </c:pt>
                <c:pt idx="2">
                  <c:v>0.14000000000000001</c:v>
                </c:pt>
                <c:pt idx="3">
                  <c:v>0.13</c:v>
                </c:pt>
                <c:pt idx="4">
                  <c:v>6.0000000000000032E-2</c:v>
                </c:pt>
                <c:pt idx="5">
                  <c:v>4.0000000000000022E-2</c:v>
                </c:pt>
                <c:pt idx="6">
                  <c:v>3.0000000000000002E-2</c:v>
                </c:pt>
                <c:pt idx="7">
                  <c:v>1.0000000000000005E-2</c:v>
                </c:pt>
                <c:pt idx="8">
                  <c:v>1.0000000000000005E-2</c:v>
                </c:pt>
                <c:pt idx="9">
                  <c:v>1.0000000000000005E-2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spPr>
    <a:noFill/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1805537247212676"/>
          <c:y val="0.22700330334697624"/>
          <c:w val="0.77222222222222225"/>
          <c:h val="0.61526356080489941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2.8535023251719582E-2"/>
                  <c:y val="-4.2062618162175734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1174101244068638E-2"/>
                  <c:y val="8.1336435847893726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6584774379898314E-3"/>
                  <c:y val="9.0632552857014242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7987415875336682E-2"/>
                  <c:y val="6.0821058317578379E-3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8922887047181267E-2"/>
                  <c:y val="-6.9600551250354914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5.5905337997827424E-2"/>
                  <c:y val="-5.6901363582850265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CatName val="1"/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'Motivações Produto Fora'!$B$3:$B$8</c:f>
              <c:strCache>
                <c:ptCount val="6"/>
                <c:pt idx="0">
                  <c:v>Estabilidade à oxidação</c:v>
                </c:pt>
                <c:pt idx="1">
                  <c:v>Teor de água</c:v>
                </c:pt>
                <c:pt idx="2">
                  <c:v>Teor de éster</c:v>
                </c:pt>
                <c:pt idx="3">
                  <c:v>Aspecto</c:v>
                </c:pt>
                <c:pt idx="4">
                  <c:v>Glicerol total</c:v>
                </c:pt>
                <c:pt idx="5">
                  <c:v>Índice de acidez</c:v>
                </c:pt>
              </c:strCache>
            </c:strRef>
          </c:cat>
          <c:val>
            <c:numRef>
              <c:f>'Motivações Produto Fora'!$D$3:$D$8</c:f>
              <c:numCache>
                <c:formatCode>0.0</c:formatCode>
                <c:ptCount val="6"/>
                <c:pt idx="0">
                  <c:v>0.25</c:v>
                </c:pt>
                <c:pt idx="1">
                  <c:v>0.25</c:v>
                </c:pt>
                <c:pt idx="2">
                  <c:v>0.25</c:v>
                </c:pt>
                <c:pt idx="3">
                  <c:v>8.3000000000000046E-2</c:v>
                </c:pt>
                <c:pt idx="4">
                  <c:v>8.3000000000000046E-2</c:v>
                </c:pt>
                <c:pt idx="5">
                  <c:v>8.3000000000000046E-2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  <c:dispBlanksAs val="zero"/>
  </c:chart>
  <c:spPr>
    <a:noFill/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716911812182807"/>
          <c:w val="0.45730635308692807"/>
          <c:h val="0.68116385854676331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4.3213001850530536E-2"/>
                  <c:y val="-0.13137423561277825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7.7355524489963945E-3"/>
                  <c:y val="5.1366308792364281E-3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2181806941018941E-2"/>
                  <c:y val="8.269860400834021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4360746816657204E-3"/>
                  <c:y val="-9.2710777218781459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0411404632913701E-2"/>
                  <c:y val="-3.3802781962563054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0046401887814903E-2"/>
                  <c:y val="-6.083193637302990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3.1387885659681342E-2"/>
                  <c:y val="-5.9082573039073112E-2"/>
                </c:manualLayout>
              </c:layout>
              <c:showVal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0938050551900212E-3"/>
                  <c:y val="-6.211163259764951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1754071836910995E-2"/>
                  <c:y val="-5.7185782811632023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7040161075755885E-2"/>
                  <c:y val="-2.7628873976960098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/>
                </a:pPr>
                <a:endParaRPr lang="pt-BR"/>
              </a:p>
            </c:txPr>
            <c:showVal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'Princ. motivação de interdição'!$A$60:$A$66</c:f>
              <c:strCache>
                <c:ptCount val="7"/>
                <c:pt idx="0">
                  <c:v>1º - Não atender a normas de segurança</c:v>
                </c:pt>
                <c:pt idx="1">
                  <c:v>2º - Comercializar ou armazenar produto não-conforme com a especificação</c:v>
                </c:pt>
                <c:pt idx="2">
                  <c:v>3º - Comercializar com vício de quantidade</c:v>
                </c:pt>
                <c:pt idx="3">
                  <c:v>4º - Exercer atividade regulada sem autorização</c:v>
                </c:pt>
                <c:pt idx="4">
                  <c:v>5º - Equipamento ausente ou em desacordo com a legislação</c:v>
                </c:pt>
                <c:pt idx="5">
                  <c:v>6º - Adquirir ou destinar produto de/para fonte diversa da autorizada</c:v>
                </c:pt>
                <c:pt idx="6">
                  <c:v>7º - Demais</c:v>
                </c:pt>
              </c:strCache>
            </c:strRef>
          </c:cat>
          <c:val>
            <c:numRef>
              <c:f>'Princ. motivação de interdição'!$B$60:$B$66</c:f>
              <c:numCache>
                <c:formatCode>0.0%</c:formatCode>
                <c:ptCount val="7"/>
                <c:pt idx="0">
                  <c:v>0.32900000000000201</c:v>
                </c:pt>
                <c:pt idx="1">
                  <c:v>0.21900000000000044</c:v>
                </c:pt>
                <c:pt idx="2">
                  <c:v>0.18800000000000044</c:v>
                </c:pt>
                <c:pt idx="3">
                  <c:v>0.18100000000000024</c:v>
                </c:pt>
                <c:pt idx="4">
                  <c:v>3.4000000000000002E-2</c:v>
                </c:pt>
                <c:pt idx="5">
                  <c:v>1.9000000000000111E-2</c:v>
                </c:pt>
                <c:pt idx="6">
                  <c:v>3.0000000000000002E-2</c:v>
                </c:pt>
              </c:numCache>
            </c:numRef>
          </c:val>
        </c:ser>
        <c:dLbls/>
      </c:pie3DChart>
    </c:plotArea>
    <c:legend>
      <c:legendPos val="r"/>
      <c:layout>
        <c:manualLayout>
          <c:xMode val="edge"/>
          <c:yMode val="edge"/>
          <c:x val="0.43662249123504393"/>
          <c:y val="1.2645294338207741E-2"/>
          <c:w val="0.56306883696306564"/>
          <c:h val="0.98735467139998068"/>
        </c:manualLayout>
      </c:layout>
      <c:txPr>
        <a:bodyPr/>
        <a:lstStyle/>
        <a:p>
          <a:pPr>
            <a:defRPr sz="900"/>
          </a:pPr>
          <a:endParaRPr lang="pt-BR"/>
        </a:p>
      </c:txPr>
    </c:legend>
    <c:plotVisOnly val="1"/>
    <c:dispBlanksAs val="zero"/>
  </c:chart>
  <c:spPr>
    <a:noFill/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.16244515381523347"/>
          <c:y val="0.29025115395058376"/>
          <c:w val="0.67510305413660665"/>
          <c:h val="0.64538338136804707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3.8777033617368756E-2"/>
                  <c:y val="-5.1444196534206177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1525680730475181E-2"/>
                  <c:y val="-6.9176647036767857E-3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10777447525593127"/>
                  <c:y val="0.11188176027557546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3397573604913626"/>
                  <c:y val="1.8383130294414133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5467455236241759E-2"/>
                  <c:y val="-7.0905367321783583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9.8417084799731214E-2"/>
                  <c:y val="-0.10033114034802107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16747071050713971"/>
                  <c:y val="-2.589337775745883E-2"/>
                </c:manualLayout>
              </c:layout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showCatName val="1"/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CRC!$A$2:$A$8</c:f>
              <c:strCache>
                <c:ptCount val="7"/>
                <c:pt idx="0">
                  <c:v>Não conformidade</c:v>
                </c:pt>
                <c:pt idx="1">
                  <c:v>Operação em desacordo com as normas</c:v>
                </c:pt>
                <c:pt idx="2">
                  <c:v>Aferição de Bomba</c:v>
                </c:pt>
                <c:pt idx="3">
                  <c:v>Abastecimento</c:v>
                </c:pt>
                <c:pt idx="4">
                  <c:v>Infidelidade à bandeira</c:v>
                </c:pt>
                <c:pt idx="5">
                  <c:v>Vazamento</c:v>
                </c:pt>
                <c:pt idx="6">
                  <c:v>Outros</c:v>
                </c:pt>
              </c:strCache>
            </c:strRef>
          </c:cat>
          <c:val>
            <c:numRef>
              <c:f>CRC!$C$2:$C$8</c:f>
              <c:numCache>
                <c:formatCode>0</c:formatCode>
                <c:ptCount val="7"/>
                <c:pt idx="0">
                  <c:v>57</c:v>
                </c:pt>
                <c:pt idx="1">
                  <c:v>19</c:v>
                </c:pt>
                <c:pt idx="2">
                  <c:v>18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CRC!$A$2:$A$8</c:f>
              <c:strCache>
                <c:ptCount val="7"/>
                <c:pt idx="0">
                  <c:v>Não conformidade</c:v>
                </c:pt>
                <c:pt idx="1">
                  <c:v>Operação em desacordo com as normas</c:v>
                </c:pt>
                <c:pt idx="2">
                  <c:v>Aferição de Bomba</c:v>
                </c:pt>
                <c:pt idx="3">
                  <c:v>Abastecimento</c:v>
                </c:pt>
                <c:pt idx="4">
                  <c:v>Infidelidade à bandeira</c:v>
                </c:pt>
                <c:pt idx="5">
                  <c:v>Vazamento</c:v>
                </c:pt>
                <c:pt idx="6">
                  <c:v>Outros</c:v>
                </c:pt>
              </c:strCache>
            </c:strRef>
          </c:cat>
          <c:val>
            <c:numRef>
              <c:f>[2]Plan1!$C$2:$C$6</c:f>
              <c:numCache>
                <c:formatCode>General</c:formatCode>
                <c:ptCount val="5"/>
                <c:pt idx="0">
                  <c:v>0.99779897285400065</c:v>
                </c:pt>
                <c:pt idx="1">
                  <c:v>63.184152604548913</c:v>
                </c:pt>
                <c:pt idx="2">
                  <c:v>30.051357300073366</c:v>
                </c:pt>
                <c:pt idx="3">
                  <c:v>2.7879677182685469</c:v>
                </c:pt>
                <c:pt idx="4">
                  <c:v>2.9787234042553195</c:v>
                </c:pt>
              </c:numCache>
            </c:numRef>
          </c:val>
        </c:ser>
        <c:dLbls/>
      </c:pie3DChart>
    </c:plotArea>
    <c:plotVisOnly val="1"/>
    <c:dispBlanksAs val="zero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.19255004183623251"/>
          <c:y val="0.23927890029658713"/>
          <c:w val="0.64048357082962959"/>
          <c:h val="0.61549754095222609"/>
        </c:manualLayout>
      </c:layout>
      <c:pie3DChart>
        <c:varyColors val="1"/>
        <c:ser>
          <c:idx val="0"/>
          <c:order val="0"/>
          <c:explosion val="23"/>
          <c:dLbls>
            <c:dLbl>
              <c:idx val="0"/>
              <c:layout>
                <c:manualLayout>
                  <c:x val="4.1385192778853747E-2"/>
                  <c:y val="-8.051224768952818E-2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6779129704920212E-3"/>
                  <c:y val="0.11370617307471574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8.3813812161622772E-2"/>
                  <c:y val="2.6505878299731542E-2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1987459653346324E-2"/>
                  <c:y val="-2.6175641828878892E-2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2.3563194776216073E-2"/>
                  <c:y val="-5.7520944196973116E-2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CatName val="1"/>
            <c:showPercent val="1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CRC!$G$2:$G$6</c:f>
              <c:strCache>
                <c:ptCount val="5"/>
                <c:pt idx="0">
                  <c:v>Comércio Clandestino</c:v>
                </c:pt>
                <c:pt idx="1">
                  <c:v>Operação em desacordo com as normas</c:v>
                </c:pt>
                <c:pt idx="2">
                  <c:v>Vazamento</c:v>
                </c:pt>
                <c:pt idx="3">
                  <c:v>Armazenamento</c:v>
                </c:pt>
                <c:pt idx="4">
                  <c:v>Outros</c:v>
                </c:pt>
              </c:strCache>
            </c:strRef>
          </c:cat>
          <c:val>
            <c:numRef>
              <c:f>CRC!$I$2:$I$6</c:f>
              <c:numCache>
                <c:formatCode>0</c:formatCode>
                <c:ptCount val="5"/>
                <c:pt idx="0">
                  <c:v>45</c:v>
                </c:pt>
                <c:pt idx="1">
                  <c:v>41</c:v>
                </c:pt>
                <c:pt idx="2">
                  <c:v>6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dLbls/>
      </c:pie3DChart>
    </c:plotArea>
    <c:plotVisOnly val="1"/>
    <c:dispBlanksAs val="zero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plotArea>
      <c:layout/>
      <c:barChart>
        <c:barDir val="col"/>
        <c:grouping val="clustered"/>
        <c:ser>
          <c:idx val="0"/>
          <c:order val="0"/>
          <c:spPr>
            <a:solidFill>
              <a:schemeClr val="tx2">
                <a:lumMod val="60000"/>
                <a:lumOff val="4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pt-BR"/>
              </a:p>
            </c:txPr>
            <c:showVal val="1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'Fluxo de Processos ADM'!$A$4:$A$8</c:f>
              <c:strCache>
                <c:ptCount val="5"/>
                <c:pt idx="0">
                  <c:v>Estoque Inicial</c:v>
                </c:pt>
                <c:pt idx="1">
                  <c:v>Novos Processos</c:v>
                </c:pt>
                <c:pt idx="2">
                  <c:v>Processos Julgados</c:v>
                </c:pt>
                <c:pt idx="3">
                  <c:v>Outros*</c:v>
                </c:pt>
                <c:pt idx="4">
                  <c:v>Estoque Final</c:v>
                </c:pt>
              </c:strCache>
            </c:strRef>
          </c:cat>
          <c:val>
            <c:numRef>
              <c:f>'Fluxo de Processos ADM'!$B$4:$B$8</c:f>
              <c:numCache>
                <c:formatCode>#,##0</c:formatCode>
                <c:ptCount val="5"/>
                <c:pt idx="0">
                  <c:v>5004</c:v>
                </c:pt>
                <c:pt idx="1">
                  <c:v>2952</c:v>
                </c:pt>
                <c:pt idx="2">
                  <c:v>2646</c:v>
                </c:pt>
                <c:pt idx="3">
                  <c:v>31</c:v>
                </c:pt>
                <c:pt idx="4">
                  <c:v>5342</c:v>
                </c:pt>
              </c:numCache>
            </c:numRef>
          </c:val>
        </c:ser>
        <c:dLbls/>
        <c:axId val="134552192"/>
        <c:axId val="134558080"/>
      </c:barChart>
      <c:catAx>
        <c:axId val="134552192"/>
        <c:scaling>
          <c:orientation val="minMax"/>
        </c:scaling>
        <c:axPos val="b"/>
        <c:numFmt formatCode="General" sourceLinked="0"/>
        <c:tickLblPos val="nextTo"/>
        <c:crossAx val="134558080"/>
        <c:crosses val="autoZero"/>
        <c:auto val="1"/>
        <c:lblAlgn val="ctr"/>
        <c:lblOffset val="100"/>
      </c:catAx>
      <c:valAx>
        <c:axId val="134558080"/>
        <c:scaling>
          <c:orientation val="minMax"/>
        </c:scaling>
        <c:delete val="1"/>
        <c:axPos val="l"/>
        <c:numFmt formatCode="#,##0" sourceLinked="1"/>
        <c:tickLblPos val="none"/>
        <c:crossAx val="134552192"/>
        <c:crosses val="autoZero"/>
        <c:crossBetween val="between"/>
        <c:majorUnit val="1000"/>
      </c:valAx>
    </c:plotArea>
    <c:plotVisOnly val="1"/>
    <c:dispBlanksAs val="gap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93F50-6CA5-4FEA-AA8F-553B574B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24</Pages>
  <Words>5602</Words>
  <Characters>30256</Characters>
  <Application>Microsoft Office Word</Application>
  <DocSecurity>0</DocSecurity>
  <Lines>252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35787</CharactersWithSpaces>
  <SharedDoc>false</SharedDoc>
  <HLinks>
    <vt:vector size="84" baseType="variant">
      <vt:variant>
        <vt:i4>1835057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_Toc442108760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_Toc442108759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_Toc442108758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_Toc442108757</vt:lpwstr>
      </vt:variant>
      <vt:variant>
        <vt:i4>2031665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_Toc442108756</vt:lpwstr>
      </vt:variant>
      <vt:variant>
        <vt:i4>2031665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_Toc442108755</vt:lpwstr>
      </vt:variant>
      <vt:variant>
        <vt:i4>2031665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_Toc442108754</vt:lpwstr>
      </vt:variant>
      <vt:variant>
        <vt:i4>2031665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_Toc442108753</vt:lpwstr>
      </vt:variant>
      <vt:variant>
        <vt:i4>2031665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_Toc442108752</vt:lpwstr>
      </vt:variant>
      <vt:variant>
        <vt:i4>2031665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_Toc442108751</vt:lpwstr>
      </vt:variant>
      <vt:variant>
        <vt:i4>2031665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_Toc442108750</vt:lpwstr>
      </vt:variant>
      <vt:variant>
        <vt:i4>1966129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_Toc442108749</vt:lpwstr>
      </vt:variant>
      <vt:variant>
        <vt:i4>1966129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_Toc442108748</vt:lpwstr>
      </vt:variant>
      <vt:variant>
        <vt:i4>6684707</vt:i4>
      </vt:variant>
      <vt:variant>
        <vt:i4>0</vt:i4>
      </vt:variant>
      <vt:variant>
        <vt:i4>0</vt:i4>
      </vt:variant>
      <vt:variant>
        <vt:i4>5</vt:i4>
      </vt:variant>
      <vt:variant>
        <vt:lpwstr>http://www.anp.gov.br/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2017-08-21T18:50:00Z</cp:lastPrinted>
  <dcterms:created xsi:type="dcterms:W3CDTF">2017-09-01T21:46:00Z</dcterms:created>
  <dcterms:modified xsi:type="dcterms:W3CDTF">2018-01-26T15:20:00Z</dcterms:modified>
</cp:coreProperties>
</file>