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1095" w14:textId="77777777" w:rsidR="00A72B24" w:rsidRPr="00B23B62" w:rsidRDefault="00A72B24" w:rsidP="00A72B24">
      <w:pPr>
        <w:pStyle w:val="Ttulo4"/>
        <w:rPr>
          <w:sz w:val="24"/>
          <w:szCs w:val="24"/>
        </w:rPr>
      </w:pPr>
      <w:r w:rsidRPr="00B23B62">
        <w:rPr>
          <w:sz w:val="24"/>
          <w:szCs w:val="24"/>
        </w:rPr>
        <w:t>SEÇÃO 4 – BIOCOMBUSTÍVEIS</w:t>
      </w:r>
      <w:r w:rsidR="00A13943" w:rsidRPr="00B23B62">
        <w:rPr>
          <w:sz w:val="24"/>
          <w:szCs w:val="24"/>
        </w:rPr>
        <w:t xml:space="preserve"> </w:t>
      </w:r>
    </w:p>
    <w:p w14:paraId="672A6659" w14:textId="77777777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37501D" w14:textId="77777777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BB3420" w14:textId="283BB5CD" w:rsidR="00A72B24" w:rsidRPr="008676E1" w:rsidRDefault="00B45175" w:rsidP="00A72B24">
      <w:pPr>
        <w:pStyle w:val="Ttulo3"/>
        <w:rPr>
          <w:sz w:val="20"/>
          <w:szCs w:val="20"/>
        </w:rPr>
      </w:pPr>
      <w:r>
        <w:rPr>
          <w:sz w:val="20"/>
          <w:szCs w:val="20"/>
        </w:rPr>
        <w:t xml:space="preserve">4.1 </w:t>
      </w:r>
      <w:r w:rsidR="00224134" w:rsidRPr="008676E1">
        <w:rPr>
          <w:sz w:val="20"/>
          <w:szCs w:val="20"/>
        </w:rPr>
        <w:t>ETANOL</w:t>
      </w:r>
    </w:p>
    <w:p w14:paraId="5DAB6C7B" w14:textId="77777777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D7B11F8" w14:textId="594D401C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76E1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1.</w:t>
      </w:r>
      <w:r w:rsidRPr="008676E1">
        <w:rPr>
          <w:rFonts w:ascii="Arial" w:hAnsi="Arial" w:cs="Arial"/>
          <w:color w:val="000000"/>
          <w:sz w:val="20"/>
          <w:szCs w:val="20"/>
        </w:rPr>
        <w:t>1 Produção</w:t>
      </w:r>
    </w:p>
    <w:p w14:paraId="14AD0F0C" w14:textId="37E22BBC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76E1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1.2</w:t>
      </w:r>
      <w:r w:rsidRPr="008676E1">
        <w:rPr>
          <w:rFonts w:ascii="Arial" w:hAnsi="Arial" w:cs="Arial"/>
          <w:color w:val="000000"/>
          <w:sz w:val="20"/>
          <w:szCs w:val="20"/>
        </w:rPr>
        <w:t xml:space="preserve"> </w:t>
      </w:r>
      <w:r w:rsidR="001C3795" w:rsidRPr="008676E1">
        <w:rPr>
          <w:rFonts w:ascii="Arial" w:hAnsi="Arial" w:cs="Arial"/>
          <w:color w:val="000000"/>
          <w:sz w:val="20"/>
          <w:szCs w:val="20"/>
        </w:rPr>
        <w:t xml:space="preserve">Importação e </w:t>
      </w:r>
      <w:r w:rsidR="0033450A">
        <w:rPr>
          <w:rFonts w:ascii="Arial" w:hAnsi="Arial" w:cs="Arial"/>
          <w:color w:val="000000"/>
          <w:sz w:val="20"/>
          <w:szCs w:val="20"/>
        </w:rPr>
        <w:t>e</w:t>
      </w:r>
      <w:r w:rsidRPr="008676E1">
        <w:rPr>
          <w:rFonts w:ascii="Arial" w:hAnsi="Arial" w:cs="Arial"/>
          <w:color w:val="000000"/>
          <w:sz w:val="20"/>
          <w:szCs w:val="20"/>
        </w:rPr>
        <w:t>xportação</w:t>
      </w:r>
    </w:p>
    <w:p w14:paraId="6382A33A" w14:textId="7FB43B6F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76E1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1.</w:t>
      </w:r>
      <w:r w:rsidRPr="008676E1">
        <w:rPr>
          <w:rFonts w:ascii="Arial" w:hAnsi="Arial" w:cs="Arial"/>
          <w:color w:val="000000"/>
          <w:sz w:val="20"/>
          <w:szCs w:val="20"/>
        </w:rPr>
        <w:t xml:space="preserve">3 Distribuição </w:t>
      </w:r>
    </w:p>
    <w:p w14:paraId="3DCDA4DF" w14:textId="344736B0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76E1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1.</w:t>
      </w:r>
      <w:r w:rsidRPr="008676E1">
        <w:rPr>
          <w:rFonts w:ascii="Arial" w:hAnsi="Arial" w:cs="Arial"/>
          <w:color w:val="000000"/>
          <w:sz w:val="20"/>
          <w:szCs w:val="20"/>
        </w:rPr>
        <w:t xml:space="preserve">4 Preços do </w:t>
      </w:r>
      <w:r w:rsidR="0033450A">
        <w:rPr>
          <w:rFonts w:ascii="Arial" w:hAnsi="Arial" w:cs="Arial"/>
          <w:color w:val="000000"/>
          <w:sz w:val="20"/>
          <w:szCs w:val="20"/>
        </w:rPr>
        <w:t>e</w:t>
      </w:r>
      <w:r w:rsidRPr="008676E1">
        <w:rPr>
          <w:rFonts w:ascii="Arial" w:hAnsi="Arial" w:cs="Arial"/>
          <w:color w:val="000000"/>
          <w:sz w:val="20"/>
          <w:szCs w:val="20"/>
        </w:rPr>
        <w:t xml:space="preserve">tanol </w:t>
      </w:r>
      <w:r w:rsidR="0033450A">
        <w:rPr>
          <w:rFonts w:ascii="Arial" w:hAnsi="Arial" w:cs="Arial"/>
          <w:color w:val="000000"/>
          <w:sz w:val="20"/>
          <w:szCs w:val="20"/>
        </w:rPr>
        <w:t>h</w:t>
      </w:r>
      <w:r w:rsidRPr="008676E1">
        <w:rPr>
          <w:rFonts w:ascii="Arial" w:hAnsi="Arial" w:cs="Arial"/>
          <w:color w:val="000000"/>
          <w:sz w:val="20"/>
          <w:szCs w:val="20"/>
        </w:rPr>
        <w:t xml:space="preserve">idratado ao </w:t>
      </w:r>
      <w:r w:rsidR="0033450A">
        <w:rPr>
          <w:rFonts w:ascii="Arial" w:hAnsi="Arial" w:cs="Arial"/>
          <w:color w:val="000000"/>
          <w:sz w:val="20"/>
          <w:szCs w:val="20"/>
        </w:rPr>
        <w:t>c</w:t>
      </w:r>
      <w:r w:rsidRPr="008676E1">
        <w:rPr>
          <w:rFonts w:ascii="Arial" w:hAnsi="Arial" w:cs="Arial"/>
          <w:color w:val="000000"/>
          <w:sz w:val="20"/>
          <w:szCs w:val="20"/>
        </w:rPr>
        <w:t>onsumidor</w:t>
      </w:r>
    </w:p>
    <w:p w14:paraId="02EB378F" w14:textId="77777777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96DE3F" w14:textId="27FB5729" w:rsidR="00A72B24" w:rsidRPr="008676E1" w:rsidRDefault="00B45175" w:rsidP="00A72B2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4.2 </w:t>
      </w:r>
      <w:r w:rsidR="00224134" w:rsidRPr="008676E1">
        <w:rPr>
          <w:rFonts w:ascii="Arial" w:hAnsi="Arial" w:cs="Arial"/>
          <w:b/>
          <w:bCs/>
          <w:color w:val="000000"/>
          <w:sz w:val="20"/>
          <w:szCs w:val="20"/>
        </w:rPr>
        <w:t>BIODIESEL</w:t>
      </w:r>
    </w:p>
    <w:p w14:paraId="6A05A809" w14:textId="77777777" w:rsidR="00A72B24" w:rsidRPr="008676E1" w:rsidRDefault="00A72B24" w:rsidP="000C3AA4">
      <w:pPr>
        <w:rPr>
          <w:rFonts w:ascii="Arial" w:hAnsi="Arial" w:cs="Arial"/>
          <w:color w:val="000000"/>
          <w:sz w:val="20"/>
          <w:szCs w:val="20"/>
        </w:rPr>
      </w:pPr>
    </w:p>
    <w:p w14:paraId="67A44169" w14:textId="06A2C4D6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76E1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2.1</w:t>
      </w:r>
      <w:r w:rsidRPr="008676E1">
        <w:rPr>
          <w:rFonts w:ascii="Arial" w:hAnsi="Arial" w:cs="Arial"/>
          <w:color w:val="000000"/>
          <w:sz w:val="20"/>
          <w:szCs w:val="20"/>
        </w:rPr>
        <w:t xml:space="preserve"> Produção de </w:t>
      </w:r>
      <w:r w:rsidR="0033450A">
        <w:rPr>
          <w:rFonts w:ascii="Arial" w:hAnsi="Arial" w:cs="Arial"/>
          <w:color w:val="000000"/>
          <w:sz w:val="20"/>
          <w:szCs w:val="20"/>
        </w:rPr>
        <w:t>b</w:t>
      </w:r>
      <w:r w:rsidRPr="008676E1">
        <w:rPr>
          <w:rFonts w:ascii="Arial" w:hAnsi="Arial" w:cs="Arial"/>
          <w:color w:val="000000"/>
          <w:sz w:val="20"/>
          <w:szCs w:val="20"/>
        </w:rPr>
        <w:t>iodiesel</w:t>
      </w:r>
    </w:p>
    <w:p w14:paraId="2481EE79" w14:textId="386D0F1D" w:rsidR="00A72B24" w:rsidRPr="008676E1" w:rsidRDefault="00AB6BB4" w:rsidP="00A72B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B6BB4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2.2</w:t>
      </w:r>
      <w:r w:rsidRPr="00AB6BB4">
        <w:rPr>
          <w:rFonts w:ascii="Arial" w:hAnsi="Arial" w:cs="Arial"/>
          <w:color w:val="000000"/>
          <w:sz w:val="20"/>
          <w:szCs w:val="20"/>
        </w:rPr>
        <w:t xml:space="preserve"> Consumo de </w:t>
      </w:r>
      <w:r w:rsidR="0033450A">
        <w:rPr>
          <w:rFonts w:ascii="Arial" w:hAnsi="Arial" w:cs="Arial"/>
          <w:color w:val="000000"/>
          <w:sz w:val="20"/>
          <w:szCs w:val="20"/>
        </w:rPr>
        <w:t>m</w:t>
      </w:r>
      <w:r w:rsidRPr="00AB6BB4">
        <w:rPr>
          <w:rFonts w:ascii="Arial" w:hAnsi="Arial" w:cs="Arial"/>
          <w:color w:val="000000"/>
          <w:sz w:val="20"/>
          <w:szCs w:val="20"/>
        </w:rPr>
        <w:t>etanol</w:t>
      </w:r>
    </w:p>
    <w:p w14:paraId="6BF4B89A" w14:textId="0C5A0D3A" w:rsidR="008676E1" w:rsidRDefault="00AB6BB4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B6BB4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2.3</w:t>
      </w:r>
      <w:r w:rsidRPr="00AB6BB4">
        <w:rPr>
          <w:rFonts w:ascii="Arial" w:hAnsi="Arial" w:cs="Arial"/>
          <w:color w:val="000000"/>
          <w:sz w:val="20"/>
          <w:szCs w:val="20"/>
        </w:rPr>
        <w:t xml:space="preserve"> Produção de </w:t>
      </w:r>
      <w:r w:rsidR="0033450A">
        <w:rPr>
          <w:rFonts w:ascii="Arial" w:hAnsi="Arial" w:cs="Arial"/>
          <w:color w:val="000000"/>
          <w:sz w:val="20"/>
          <w:szCs w:val="20"/>
        </w:rPr>
        <w:t>g</w:t>
      </w:r>
      <w:r w:rsidRPr="00AB6BB4">
        <w:rPr>
          <w:rFonts w:ascii="Arial" w:hAnsi="Arial" w:cs="Arial"/>
          <w:color w:val="000000"/>
          <w:sz w:val="20"/>
          <w:szCs w:val="20"/>
        </w:rPr>
        <w:t>licerina</w:t>
      </w:r>
    </w:p>
    <w:p w14:paraId="790A6B72" w14:textId="32F6030F" w:rsidR="008676E1" w:rsidRDefault="00AB6BB4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B6BB4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2.4</w:t>
      </w:r>
      <w:r w:rsidRPr="00AB6BB4">
        <w:rPr>
          <w:rFonts w:ascii="Arial" w:hAnsi="Arial" w:cs="Arial"/>
          <w:color w:val="000000"/>
          <w:sz w:val="20"/>
          <w:szCs w:val="20"/>
        </w:rPr>
        <w:t xml:space="preserve"> Matérias-primas </w:t>
      </w:r>
      <w:r w:rsidR="0033450A">
        <w:rPr>
          <w:rFonts w:ascii="Arial" w:hAnsi="Arial" w:cs="Arial"/>
          <w:color w:val="000000"/>
          <w:sz w:val="20"/>
          <w:szCs w:val="20"/>
        </w:rPr>
        <w:t>u</w:t>
      </w:r>
      <w:r w:rsidRPr="00AB6BB4">
        <w:rPr>
          <w:rFonts w:ascii="Arial" w:hAnsi="Arial" w:cs="Arial"/>
          <w:color w:val="000000"/>
          <w:sz w:val="20"/>
          <w:szCs w:val="20"/>
        </w:rPr>
        <w:t xml:space="preserve">tilizadas na </w:t>
      </w:r>
      <w:r w:rsidR="0033450A">
        <w:rPr>
          <w:rFonts w:ascii="Arial" w:hAnsi="Arial" w:cs="Arial"/>
          <w:color w:val="000000"/>
          <w:sz w:val="20"/>
          <w:szCs w:val="20"/>
        </w:rPr>
        <w:t>p</w:t>
      </w:r>
      <w:r w:rsidRPr="00AB6BB4">
        <w:rPr>
          <w:rFonts w:ascii="Arial" w:hAnsi="Arial" w:cs="Arial"/>
          <w:color w:val="000000"/>
          <w:sz w:val="20"/>
          <w:szCs w:val="20"/>
        </w:rPr>
        <w:t xml:space="preserve">rodução de </w:t>
      </w:r>
      <w:r w:rsidR="0033450A">
        <w:rPr>
          <w:rFonts w:ascii="Arial" w:hAnsi="Arial" w:cs="Arial"/>
          <w:color w:val="000000"/>
          <w:sz w:val="20"/>
          <w:szCs w:val="20"/>
        </w:rPr>
        <w:t>b</w:t>
      </w:r>
      <w:r w:rsidRPr="00AB6BB4">
        <w:rPr>
          <w:rFonts w:ascii="Arial" w:hAnsi="Arial" w:cs="Arial"/>
          <w:color w:val="000000"/>
          <w:sz w:val="20"/>
          <w:szCs w:val="20"/>
        </w:rPr>
        <w:t>iodiesel</w:t>
      </w:r>
    </w:p>
    <w:p w14:paraId="0FC13818" w14:textId="771F0D44" w:rsidR="00AB6BB4" w:rsidRDefault="00AB6BB4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B6BB4">
        <w:rPr>
          <w:rFonts w:ascii="Arial" w:hAnsi="Arial" w:cs="Arial"/>
          <w:color w:val="000000"/>
          <w:sz w:val="20"/>
          <w:szCs w:val="20"/>
        </w:rPr>
        <w:t>4.</w:t>
      </w:r>
      <w:r w:rsidR="00B45175">
        <w:rPr>
          <w:rFonts w:ascii="Arial" w:hAnsi="Arial" w:cs="Arial"/>
          <w:color w:val="000000"/>
          <w:sz w:val="20"/>
          <w:szCs w:val="20"/>
        </w:rPr>
        <w:t>2.5</w:t>
      </w:r>
      <w:r w:rsidRPr="00AB6BB4">
        <w:rPr>
          <w:rFonts w:ascii="Arial" w:hAnsi="Arial" w:cs="Arial"/>
          <w:color w:val="000000"/>
          <w:sz w:val="20"/>
          <w:szCs w:val="20"/>
        </w:rPr>
        <w:t xml:space="preserve"> Leilões de </w:t>
      </w:r>
      <w:r w:rsidR="0033450A">
        <w:rPr>
          <w:rFonts w:ascii="Arial" w:hAnsi="Arial" w:cs="Arial"/>
          <w:color w:val="000000"/>
          <w:sz w:val="20"/>
          <w:szCs w:val="20"/>
        </w:rPr>
        <w:t>b</w:t>
      </w:r>
      <w:r w:rsidRPr="00AB6BB4">
        <w:rPr>
          <w:rFonts w:ascii="Arial" w:hAnsi="Arial" w:cs="Arial"/>
          <w:color w:val="000000"/>
          <w:sz w:val="20"/>
          <w:szCs w:val="20"/>
        </w:rPr>
        <w:t>iodiesel</w:t>
      </w:r>
    </w:p>
    <w:p w14:paraId="5A39BBE3" w14:textId="77777777" w:rsidR="00AB6BB4" w:rsidRDefault="00AB6BB4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03B7E0A" w14:textId="1A8FE9EF" w:rsidR="00AB4B1C" w:rsidRPr="00AB4B1C" w:rsidRDefault="00B45175" w:rsidP="00A72B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4.3 </w:t>
      </w:r>
      <w:r w:rsidR="00224134" w:rsidRPr="00AB4B1C">
        <w:rPr>
          <w:rFonts w:ascii="Arial" w:hAnsi="Arial" w:cs="Arial"/>
          <w:b/>
          <w:bCs/>
          <w:color w:val="000000"/>
          <w:sz w:val="20"/>
          <w:szCs w:val="20"/>
        </w:rPr>
        <w:t>BIOMETANO</w:t>
      </w:r>
    </w:p>
    <w:p w14:paraId="6CDCDB69" w14:textId="77777777" w:rsidR="00AB4B1C" w:rsidRDefault="00AB4B1C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DB621C" w14:textId="09F4FC6B" w:rsidR="00AB6BB4" w:rsidRDefault="00B45175" w:rsidP="44FB06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4.4 </w:t>
      </w:r>
      <w:r w:rsidR="00224134" w:rsidRPr="44FB0632">
        <w:rPr>
          <w:rFonts w:ascii="Arial" w:hAnsi="Arial" w:cs="Arial"/>
          <w:b/>
          <w:bCs/>
          <w:sz w:val="20"/>
          <w:szCs w:val="20"/>
        </w:rPr>
        <w:t>RENOVABIO</w:t>
      </w:r>
    </w:p>
    <w:p w14:paraId="72A3D3EC" w14:textId="77777777" w:rsidR="000C6776" w:rsidRDefault="000C6776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D0B940D" w14:textId="77777777" w:rsidR="008676E1" w:rsidRDefault="008676E1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444418" w14:textId="11AD8DD6" w:rsidR="00A72B24" w:rsidRPr="008676E1" w:rsidRDefault="00A72B24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676E1">
        <w:rPr>
          <w:rFonts w:ascii="Arial" w:hAnsi="Arial" w:cs="Arial"/>
          <w:color w:val="000000"/>
          <w:sz w:val="20"/>
          <w:szCs w:val="20"/>
        </w:rPr>
        <w:t xml:space="preserve">O objeto desta seção são os </w:t>
      </w:r>
      <w:r w:rsidR="0033450A">
        <w:rPr>
          <w:rFonts w:ascii="Arial" w:hAnsi="Arial" w:cs="Arial"/>
          <w:b/>
          <w:color w:val="000000"/>
          <w:sz w:val="20"/>
          <w:szCs w:val="20"/>
        </w:rPr>
        <w:t>b</w:t>
      </w:r>
      <w:r w:rsidRPr="008676E1">
        <w:rPr>
          <w:rFonts w:ascii="Arial" w:hAnsi="Arial" w:cs="Arial"/>
          <w:b/>
          <w:color w:val="000000"/>
          <w:sz w:val="20"/>
          <w:szCs w:val="20"/>
        </w:rPr>
        <w:t>iocombustíveis</w:t>
      </w:r>
      <w:r w:rsidRPr="008676E1">
        <w:rPr>
          <w:rFonts w:ascii="Arial" w:hAnsi="Arial" w:cs="Arial"/>
          <w:color w:val="000000"/>
          <w:sz w:val="20"/>
          <w:szCs w:val="20"/>
        </w:rPr>
        <w:t xml:space="preserve">, </w:t>
      </w:r>
      <w:r w:rsidR="0033450A">
        <w:rPr>
          <w:rFonts w:ascii="Arial" w:hAnsi="Arial" w:cs="Arial"/>
          <w:color w:val="000000"/>
          <w:sz w:val="20"/>
          <w:szCs w:val="20"/>
        </w:rPr>
        <w:t xml:space="preserve">os quais estão apresentados </w:t>
      </w:r>
      <w:r w:rsidR="0091746F">
        <w:rPr>
          <w:rFonts w:ascii="Arial" w:hAnsi="Arial" w:cs="Arial"/>
          <w:color w:val="000000"/>
          <w:sz w:val="20"/>
          <w:szCs w:val="20"/>
        </w:rPr>
        <w:t xml:space="preserve">em </w:t>
      </w:r>
      <w:r w:rsidR="0033450A">
        <w:rPr>
          <w:rFonts w:ascii="Arial" w:hAnsi="Arial" w:cs="Arial"/>
          <w:color w:val="000000"/>
          <w:sz w:val="20"/>
          <w:szCs w:val="20"/>
        </w:rPr>
        <w:t>quatro</w:t>
      </w:r>
      <w:r w:rsidR="0091746F">
        <w:rPr>
          <w:rFonts w:ascii="Arial" w:hAnsi="Arial" w:cs="Arial"/>
          <w:color w:val="000000"/>
          <w:sz w:val="20"/>
          <w:szCs w:val="20"/>
        </w:rPr>
        <w:t xml:space="preserve"> temas</w:t>
      </w:r>
      <w:r w:rsidR="004516CB" w:rsidRPr="008676E1">
        <w:rPr>
          <w:rFonts w:ascii="Arial" w:hAnsi="Arial" w:cs="Arial"/>
          <w:sz w:val="20"/>
          <w:szCs w:val="20"/>
        </w:rPr>
        <w:t>:</w:t>
      </w:r>
      <w:r w:rsidRPr="008676E1">
        <w:rPr>
          <w:rFonts w:ascii="Arial" w:hAnsi="Arial" w:cs="Arial"/>
          <w:sz w:val="20"/>
          <w:szCs w:val="20"/>
        </w:rPr>
        <w:t xml:space="preserve"> </w:t>
      </w:r>
      <w:r w:rsidRPr="008676E1">
        <w:rPr>
          <w:rFonts w:ascii="Arial" w:hAnsi="Arial" w:cs="Arial"/>
          <w:b/>
          <w:sz w:val="20"/>
          <w:szCs w:val="20"/>
        </w:rPr>
        <w:t>Etanol</w:t>
      </w:r>
      <w:r w:rsidR="00854C42" w:rsidRPr="00854C42">
        <w:rPr>
          <w:rFonts w:ascii="Arial" w:hAnsi="Arial" w:cs="Arial"/>
          <w:bCs/>
          <w:sz w:val="20"/>
          <w:szCs w:val="20"/>
        </w:rPr>
        <w:t>,</w:t>
      </w:r>
      <w:r w:rsidRPr="008676E1">
        <w:rPr>
          <w:rFonts w:ascii="Arial" w:hAnsi="Arial" w:cs="Arial"/>
          <w:b/>
          <w:bCs/>
          <w:sz w:val="20"/>
          <w:szCs w:val="20"/>
        </w:rPr>
        <w:t xml:space="preserve"> Biodiesel</w:t>
      </w:r>
      <w:r w:rsidR="00854C42">
        <w:rPr>
          <w:rFonts w:ascii="Arial" w:hAnsi="Arial" w:cs="Arial"/>
          <w:b/>
          <w:bCs/>
          <w:sz w:val="20"/>
          <w:szCs w:val="20"/>
        </w:rPr>
        <w:t xml:space="preserve"> </w:t>
      </w:r>
      <w:r w:rsidR="00AB4B1C">
        <w:rPr>
          <w:rFonts w:ascii="Arial" w:hAnsi="Arial" w:cs="Arial"/>
          <w:b/>
          <w:bCs/>
          <w:sz w:val="20"/>
          <w:szCs w:val="20"/>
        </w:rPr>
        <w:t xml:space="preserve">Biometano </w:t>
      </w:r>
      <w:r w:rsidR="00854C42" w:rsidRPr="00854C42">
        <w:rPr>
          <w:rFonts w:ascii="Arial" w:hAnsi="Arial" w:cs="Arial"/>
          <w:bCs/>
          <w:sz w:val="20"/>
          <w:szCs w:val="20"/>
        </w:rPr>
        <w:t>e</w:t>
      </w:r>
      <w:r w:rsidR="00854C4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54C42">
        <w:rPr>
          <w:rFonts w:ascii="Arial" w:hAnsi="Arial" w:cs="Arial"/>
          <w:b/>
          <w:bCs/>
          <w:sz w:val="20"/>
          <w:szCs w:val="20"/>
        </w:rPr>
        <w:t>Renova</w:t>
      </w:r>
      <w:r w:rsidR="0091746F">
        <w:rPr>
          <w:rFonts w:ascii="Arial" w:hAnsi="Arial" w:cs="Arial"/>
          <w:b/>
          <w:bCs/>
          <w:sz w:val="20"/>
          <w:szCs w:val="20"/>
        </w:rPr>
        <w:t>B</w:t>
      </w:r>
      <w:r w:rsidR="00854C42">
        <w:rPr>
          <w:rFonts w:ascii="Arial" w:hAnsi="Arial" w:cs="Arial"/>
          <w:b/>
          <w:bCs/>
          <w:sz w:val="20"/>
          <w:szCs w:val="20"/>
        </w:rPr>
        <w:t>io</w:t>
      </w:r>
      <w:proofErr w:type="spellEnd"/>
      <w:r w:rsidR="00C31967" w:rsidRPr="008676E1">
        <w:rPr>
          <w:rFonts w:ascii="Arial" w:hAnsi="Arial" w:cs="Arial"/>
          <w:sz w:val="20"/>
          <w:szCs w:val="20"/>
        </w:rPr>
        <w:t>.</w:t>
      </w:r>
    </w:p>
    <w:p w14:paraId="0E27B00A" w14:textId="77777777" w:rsidR="00A72B24" w:rsidRPr="008676E1" w:rsidRDefault="00A72B24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97514C" w14:textId="65BDD116" w:rsidR="00A72B24" w:rsidRPr="008676E1" w:rsidRDefault="23505749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44FB0632">
        <w:rPr>
          <w:rFonts w:ascii="Arial" w:hAnsi="Arial" w:cs="Arial"/>
          <w:color w:val="000000" w:themeColor="text1"/>
          <w:sz w:val="20"/>
          <w:szCs w:val="20"/>
        </w:rPr>
        <w:t>O</w:t>
      </w:r>
      <w:r w:rsidR="394DDBC8" w:rsidRPr="44FB06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9D5D7F7" w:rsidRPr="44FB0632">
        <w:rPr>
          <w:rFonts w:ascii="Arial" w:hAnsi="Arial" w:cs="Arial"/>
          <w:color w:val="000000" w:themeColor="text1"/>
          <w:sz w:val="20"/>
          <w:szCs w:val="20"/>
        </w:rPr>
        <w:t>t</w:t>
      </w:r>
      <w:r w:rsidR="394DDBC8" w:rsidRPr="44FB0632">
        <w:rPr>
          <w:rFonts w:ascii="Arial" w:hAnsi="Arial" w:cs="Arial"/>
          <w:color w:val="000000" w:themeColor="text1"/>
          <w:sz w:val="20"/>
          <w:szCs w:val="20"/>
        </w:rPr>
        <w:t xml:space="preserve">ema </w:t>
      </w:r>
      <w:r w:rsidRPr="44FB0632">
        <w:rPr>
          <w:rFonts w:ascii="Arial" w:hAnsi="Arial" w:cs="Arial"/>
          <w:b/>
          <w:bCs/>
          <w:color w:val="000000" w:themeColor="text1"/>
          <w:sz w:val="20"/>
          <w:szCs w:val="20"/>
        </w:rPr>
        <w:t>Etanol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está estruturado em quatro capítulos: </w:t>
      </w:r>
      <w:r w:rsidR="0C3E48A2"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>Produção;</w:t>
      </w:r>
      <w:r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C3E48A2"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Importação e </w:t>
      </w:r>
      <w:r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>Exportação</w:t>
      </w:r>
      <w:r w:rsidR="0C3E48A2"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  <w:r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Distribuição</w:t>
      </w:r>
      <w:r w:rsidR="0C3E48A2"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  <w:r w:rsidR="0028694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>Preços ao Consumidor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>.</w:t>
      </w:r>
      <w:r w:rsidRPr="44FB063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O primeiro </w:t>
      </w:r>
      <w:r w:rsidR="0033450A">
        <w:rPr>
          <w:rFonts w:ascii="Arial" w:hAnsi="Arial" w:cs="Arial"/>
          <w:color w:val="000000" w:themeColor="text1"/>
          <w:sz w:val="20"/>
          <w:szCs w:val="20"/>
        </w:rPr>
        <w:t>apresenta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informações sobre a produção de etanol anidro e hidratado nas </w:t>
      </w:r>
      <w:r w:rsidR="00C54227">
        <w:rPr>
          <w:rFonts w:ascii="Arial" w:hAnsi="Arial" w:cs="Arial"/>
          <w:color w:val="000000" w:themeColor="text1"/>
          <w:sz w:val="20"/>
          <w:szCs w:val="20"/>
        </w:rPr>
        <w:t>Regiões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r w:rsidR="623AC7AC" w:rsidRPr="44FB0632">
        <w:rPr>
          <w:rFonts w:ascii="Arial" w:hAnsi="Arial" w:cs="Arial"/>
          <w:color w:val="000000" w:themeColor="text1"/>
          <w:sz w:val="20"/>
          <w:szCs w:val="20"/>
        </w:rPr>
        <w:t>u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nidades da </w:t>
      </w:r>
      <w:r w:rsidR="37599A45" w:rsidRPr="44FB0632">
        <w:rPr>
          <w:rFonts w:ascii="Arial" w:hAnsi="Arial" w:cs="Arial"/>
          <w:color w:val="000000" w:themeColor="text1"/>
          <w:sz w:val="20"/>
          <w:szCs w:val="20"/>
        </w:rPr>
        <w:t>F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>ederação</w:t>
      </w:r>
      <w:r w:rsidR="231ED41D" w:rsidRPr="44FB0632">
        <w:rPr>
          <w:rFonts w:ascii="Arial" w:hAnsi="Arial" w:cs="Arial"/>
          <w:color w:val="000000" w:themeColor="text1"/>
          <w:sz w:val="20"/>
          <w:szCs w:val="20"/>
        </w:rPr>
        <w:t>.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81A238D" w:rsidRPr="44FB0632">
        <w:rPr>
          <w:rFonts w:ascii="Arial" w:hAnsi="Arial" w:cs="Arial"/>
          <w:color w:val="000000" w:themeColor="text1"/>
          <w:sz w:val="20"/>
          <w:szCs w:val="20"/>
        </w:rPr>
        <w:t>O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segundo </w:t>
      </w:r>
      <w:r w:rsidR="3290A130" w:rsidRPr="44FB0632">
        <w:rPr>
          <w:rFonts w:ascii="Arial" w:hAnsi="Arial" w:cs="Arial"/>
          <w:color w:val="000000" w:themeColor="text1"/>
          <w:sz w:val="20"/>
          <w:szCs w:val="20"/>
        </w:rPr>
        <w:t>refere</w:t>
      </w:r>
      <w:r w:rsidR="007C4D52">
        <w:rPr>
          <w:rFonts w:ascii="Arial" w:hAnsi="Arial" w:cs="Arial"/>
          <w:color w:val="000000" w:themeColor="text1"/>
          <w:sz w:val="20"/>
          <w:szCs w:val="20"/>
        </w:rPr>
        <w:t>-se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às </w:t>
      </w:r>
      <w:r w:rsidR="0C3E48A2" w:rsidRPr="44FB0632">
        <w:rPr>
          <w:rFonts w:ascii="Arial" w:hAnsi="Arial" w:cs="Arial"/>
          <w:color w:val="000000" w:themeColor="text1"/>
          <w:sz w:val="20"/>
          <w:szCs w:val="20"/>
        </w:rPr>
        <w:t xml:space="preserve">importações e 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>exportações</w:t>
      </w:r>
      <w:r w:rsidR="0C3E48A2" w:rsidRPr="44FB0632">
        <w:rPr>
          <w:rFonts w:ascii="Arial" w:hAnsi="Arial" w:cs="Arial"/>
          <w:color w:val="000000" w:themeColor="text1"/>
          <w:sz w:val="20"/>
          <w:szCs w:val="20"/>
        </w:rPr>
        <w:t xml:space="preserve"> de etanol</w:t>
      </w:r>
      <w:r w:rsidR="394DDBC8" w:rsidRPr="44FB0632">
        <w:rPr>
          <w:rFonts w:ascii="Arial" w:hAnsi="Arial" w:cs="Arial"/>
          <w:color w:val="000000" w:themeColor="text1"/>
          <w:sz w:val="20"/>
          <w:szCs w:val="20"/>
        </w:rPr>
        <w:t>,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de acordo com </w:t>
      </w:r>
      <w:r w:rsidR="29AE9BFE" w:rsidRPr="44FB0632">
        <w:rPr>
          <w:rFonts w:ascii="Arial" w:hAnsi="Arial" w:cs="Arial"/>
          <w:color w:val="000000" w:themeColor="text1"/>
          <w:sz w:val="20"/>
          <w:szCs w:val="20"/>
        </w:rPr>
        <w:t>p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aíses e </w:t>
      </w:r>
      <w:r w:rsidR="00C54227">
        <w:rPr>
          <w:rFonts w:ascii="Arial" w:hAnsi="Arial" w:cs="Arial"/>
          <w:color w:val="000000" w:themeColor="text1"/>
          <w:sz w:val="20"/>
          <w:szCs w:val="20"/>
        </w:rPr>
        <w:t>Regiões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6BF67B3F" w:rsidRPr="44FB0632">
        <w:rPr>
          <w:rFonts w:ascii="Arial" w:hAnsi="Arial" w:cs="Arial"/>
          <w:color w:val="000000" w:themeColor="text1"/>
          <w:sz w:val="20"/>
          <w:szCs w:val="20"/>
        </w:rPr>
        <w:t>g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eográficas. O terceiro descreve o mercado de distribuição do etanol hidratado. </w:t>
      </w:r>
      <w:r w:rsidR="0033450A">
        <w:rPr>
          <w:rFonts w:ascii="Arial" w:hAnsi="Arial" w:cs="Arial"/>
          <w:color w:val="000000" w:themeColor="text1"/>
          <w:sz w:val="20"/>
          <w:szCs w:val="20"/>
        </w:rPr>
        <w:t>O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último mostra a evolução dos preços médios ao consumidor</w:t>
      </w:r>
      <w:r w:rsidR="394DDBC8" w:rsidRPr="44FB063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3450A">
        <w:rPr>
          <w:rFonts w:ascii="Arial" w:hAnsi="Arial" w:cs="Arial"/>
          <w:color w:val="000000" w:themeColor="text1"/>
          <w:sz w:val="20"/>
          <w:szCs w:val="20"/>
        </w:rPr>
        <w:t xml:space="preserve">por estado, </w:t>
      </w:r>
      <w:r w:rsidR="394DDBC8" w:rsidRPr="44FB0632">
        <w:rPr>
          <w:rFonts w:ascii="Arial" w:hAnsi="Arial" w:cs="Arial"/>
          <w:color w:val="000000" w:themeColor="text1"/>
          <w:sz w:val="20"/>
          <w:szCs w:val="20"/>
        </w:rPr>
        <w:t>conforme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5ABB93D8" w:rsidRPr="44FB0632">
        <w:rPr>
          <w:rFonts w:ascii="Arial" w:hAnsi="Arial" w:cs="Arial"/>
          <w:color w:val="000000" w:themeColor="text1"/>
          <w:sz w:val="20"/>
          <w:szCs w:val="20"/>
        </w:rPr>
        <w:t>l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evantamento de </w:t>
      </w:r>
      <w:r w:rsidR="5ABB93D8" w:rsidRPr="44FB0632">
        <w:rPr>
          <w:rFonts w:ascii="Arial" w:hAnsi="Arial" w:cs="Arial"/>
          <w:color w:val="000000" w:themeColor="text1"/>
          <w:sz w:val="20"/>
          <w:szCs w:val="20"/>
        </w:rPr>
        <w:t>p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reços realizado pela </w:t>
      </w:r>
      <w:r w:rsidR="74A32F9E" w:rsidRPr="44FB0632">
        <w:rPr>
          <w:rFonts w:ascii="Arial" w:hAnsi="Arial" w:cs="Arial"/>
          <w:color w:val="000000" w:themeColor="text1"/>
          <w:sz w:val="20"/>
          <w:szCs w:val="20"/>
        </w:rPr>
        <w:t xml:space="preserve">Superintendência de Defesa da </w:t>
      </w:r>
      <w:r w:rsidR="37599A45" w:rsidRPr="44FB0632">
        <w:rPr>
          <w:rFonts w:ascii="Arial" w:hAnsi="Arial" w:cs="Arial"/>
          <w:color w:val="000000" w:themeColor="text1"/>
          <w:sz w:val="20"/>
          <w:szCs w:val="20"/>
        </w:rPr>
        <w:t>Concorrência (</w:t>
      </w:r>
      <w:r w:rsidR="74A32F9E" w:rsidRPr="44FB0632">
        <w:rPr>
          <w:rFonts w:ascii="Arial" w:hAnsi="Arial" w:cs="Arial"/>
          <w:color w:val="000000" w:themeColor="text1"/>
          <w:sz w:val="20"/>
          <w:szCs w:val="20"/>
        </w:rPr>
        <w:t>S</w:t>
      </w:r>
      <w:r w:rsidR="0F89B054" w:rsidRPr="44FB0632">
        <w:rPr>
          <w:rFonts w:ascii="Arial" w:hAnsi="Arial" w:cs="Arial"/>
          <w:color w:val="000000" w:themeColor="text1"/>
          <w:sz w:val="20"/>
          <w:szCs w:val="20"/>
        </w:rPr>
        <w:t>DC</w:t>
      </w:r>
      <w:r w:rsidR="37599A45" w:rsidRPr="44FB0632">
        <w:rPr>
          <w:rFonts w:ascii="Arial" w:hAnsi="Arial" w:cs="Arial"/>
          <w:color w:val="000000" w:themeColor="text1"/>
          <w:sz w:val="20"/>
          <w:szCs w:val="20"/>
        </w:rPr>
        <w:t>) da ANP.</w:t>
      </w:r>
    </w:p>
    <w:p w14:paraId="60061E4C" w14:textId="77777777" w:rsidR="00A72B24" w:rsidRPr="008676E1" w:rsidRDefault="00A72B24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79D98A4" w14:textId="29C877C1" w:rsidR="00A72B24" w:rsidRDefault="23505749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19D5D7F7" w:rsidRPr="44FB0632">
        <w:rPr>
          <w:rFonts w:ascii="Arial" w:hAnsi="Arial" w:cs="Arial"/>
          <w:color w:val="000000" w:themeColor="text1"/>
          <w:sz w:val="20"/>
          <w:szCs w:val="20"/>
        </w:rPr>
        <w:t>t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ema </w:t>
      </w:r>
      <w:r w:rsidRPr="44FB0632">
        <w:rPr>
          <w:rFonts w:ascii="Arial" w:hAnsi="Arial" w:cs="Arial"/>
          <w:b/>
          <w:bCs/>
          <w:color w:val="000000" w:themeColor="text1"/>
          <w:sz w:val="20"/>
          <w:szCs w:val="20"/>
        </w:rPr>
        <w:t>Biodiesel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apresenta dados de capacidade n</w:t>
      </w:r>
      <w:r w:rsidR="3D624649" w:rsidRPr="44FB0632">
        <w:rPr>
          <w:rFonts w:ascii="Arial" w:hAnsi="Arial" w:cs="Arial"/>
          <w:color w:val="000000" w:themeColor="text1"/>
          <w:sz w:val="20"/>
          <w:szCs w:val="20"/>
        </w:rPr>
        <w:t>ominal e produção de biodiesel (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B100) das unidades produtoras autorizadas pela ANP, </w:t>
      </w:r>
      <w:r w:rsidR="26EA7BF7" w:rsidRPr="44FB0632">
        <w:rPr>
          <w:rFonts w:ascii="Arial" w:hAnsi="Arial" w:cs="Arial"/>
          <w:color w:val="000000" w:themeColor="text1"/>
          <w:sz w:val="20"/>
          <w:szCs w:val="20"/>
        </w:rPr>
        <w:t>abrangendo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as rotas de pro</w:t>
      </w:r>
      <w:r w:rsidR="6209D608" w:rsidRPr="44FB0632">
        <w:rPr>
          <w:rFonts w:ascii="Arial" w:hAnsi="Arial" w:cs="Arial"/>
          <w:color w:val="000000" w:themeColor="text1"/>
          <w:sz w:val="20"/>
          <w:szCs w:val="20"/>
        </w:rPr>
        <w:t>dução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adotadas (me</w:t>
      </w:r>
      <w:r w:rsidR="3D624649" w:rsidRPr="44FB0632">
        <w:rPr>
          <w:rFonts w:ascii="Arial" w:hAnsi="Arial" w:cs="Arial"/>
          <w:color w:val="000000" w:themeColor="text1"/>
          <w:sz w:val="20"/>
          <w:szCs w:val="20"/>
        </w:rPr>
        <w:t>tílica ou etílica), as matérias</w:t>
      </w:r>
      <w:r w:rsidR="75E47E40" w:rsidRPr="44FB0632">
        <w:rPr>
          <w:rFonts w:ascii="Arial" w:hAnsi="Arial" w:cs="Arial"/>
          <w:color w:val="000000" w:themeColor="text1"/>
          <w:sz w:val="20"/>
          <w:szCs w:val="20"/>
        </w:rPr>
        <w:t>-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primas utilizadas, bem como a quantidade de glicerina gerada como subproduto. Apresenta também o </w:t>
      </w:r>
      <w:r w:rsidR="5ABB93D8" w:rsidRPr="44FB0632">
        <w:rPr>
          <w:rFonts w:ascii="Arial" w:hAnsi="Arial" w:cs="Arial"/>
          <w:color w:val="000000" w:themeColor="text1"/>
          <w:sz w:val="20"/>
          <w:szCs w:val="20"/>
        </w:rPr>
        <w:t>volume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 mensal de metanol utilizado </w:t>
      </w:r>
      <w:r w:rsidR="73829663" w:rsidRPr="44FB0632">
        <w:rPr>
          <w:rFonts w:ascii="Arial" w:hAnsi="Arial" w:cs="Arial"/>
          <w:color w:val="000000" w:themeColor="text1"/>
          <w:sz w:val="20"/>
          <w:szCs w:val="20"/>
        </w:rPr>
        <w:t>na produção de B100</w:t>
      </w:r>
      <w:r w:rsidRPr="44FB063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EAFD9C" w14:textId="77777777" w:rsidR="000C6776" w:rsidRDefault="000C6776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A0CDF6" w14:textId="7ED1AC69" w:rsidR="00AB4B1C" w:rsidRDefault="00AB4B1C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tema </w:t>
      </w:r>
      <w:r w:rsidRPr="00AB4B1C">
        <w:rPr>
          <w:rFonts w:ascii="Arial" w:hAnsi="Arial" w:cs="Arial"/>
          <w:b/>
          <w:bCs/>
          <w:color w:val="000000"/>
          <w:sz w:val="20"/>
          <w:szCs w:val="20"/>
        </w:rPr>
        <w:t>Biometano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97F16">
        <w:rPr>
          <w:rFonts w:ascii="Arial" w:hAnsi="Arial" w:cs="Arial"/>
          <w:color w:val="000000"/>
          <w:sz w:val="20"/>
          <w:szCs w:val="20"/>
        </w:rPr>
        <w:t xml:space="preserve">inclui a capacidade de processamento e </w:t>
      </w:r>
      <w:r w:rsidR="00BA3E1B">
        <w:rPr>
          <w:rFonts w:ascii="Arial" w:hAnsi="Arial" w:cs="Arial"/>
          <w:color w:val="000000"/>
          <w:sz w:val="20"/>
          <w:szCs w:val="20"/>
        </w:rPr>
        <w:t xml:space="preserve">o volume processado de biogás para produção de biometano por </w:t>
      </w:r>
      <w:r w:rsidR="00BA3E1B" w:rsidRPr="00BA3E1B">
        <w:rPr>
          <w:rFonts w:ascii="Arial" w:hAnsi="Arial" w:cs="Arial"/>
          <w:color w:val="000000"/>
          <w:sz w:val="20"/>
          <w:szCs w:val="20"/>
        </w:rPr>
        <w:t>Regiões e unidades da Federação.</w:t>
      </w:r>
    </w:p>
    <w:p w14:paraId="4290F1D2" w14:textId="77777777" w:rsidR="00AB4B1C" w:rsidRDefault="00AB4B1C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05C802" w14:textId="269FD386" w:rsidR="000C6776" w:rsidRPr="008676E1" w:rsidRDefault="1C77F734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44FB0632">
        <w:rPr>
          <w:rFonts w:ascii="Arial" w:hAnsi="Arial" w:cs="Arial"/>
          <w:color w:val="000000" w:themeColor="text1"/>
          <w:sz w:val="20"/>
          <w:szCs w:val="20"/>
        </w:rPr>
        <w:t xml:space="preserve">O tema </w:t>
      </w:r>
      <w:proofErr w:type="spellStart"/>
      <w:r w:rsidRPr="44FB0632">
        <w:rPr>
          <w:rFonts w:ascii="Arial" w:hAnsi="Arial" w:cs="Arial"/>
          <w:b/>
          <w:bCs/>
          <w:color w:val="000000" w:themeColor="text1"/>
          <w:sz w:val="20"/>
          <w:szCs w:val="20"/>
        </w:rPr>
        <w:t>Renova</w:t>
      </w:r>
      <w:r w:rsidR="4008CFB7" w:rsidRPr="44FB0632">
        <w:rPr>
          <w:rFonts w:ascii="Arial" w:hAnsi="Arial" w:cs="Arial"/>
          <w:b/>
          <w:bCs/>
          <w:color w:val="000000" w:themeColor="text1"/>
          <w:sz w:val="20"/>
          <w:szCs w:val="20"/>
        </w:rPr>
        <w:t>B</w:t>
      </w:r>
      <w:r w:rsidRPr="44FB0632">
        <w:rPr>
          <w:rFonts w:ascii="Arial" w:hAnsi="Arial" w:cs="Arial"/>
          <w:b/>
          <w:bCs/>
          <w:color w:val="000000" w:themeColor="text1"/>
          <w:sz w:val="20"/>
          <w:szCs w:val="20"/>
        </w:rPr>
        <w:t>io</w:t>
      </w:r>
      <w:proofErr w:type="spellEnd"/>
      <w:r w:rsidR="7E4485BD" w:rsidRPr="006B5DBF">
        <w:rPr>
          <w:rFonts w:ascii="Arial" w:hAnsi="Arial" w:cs="Arial"/>
          <w:color w:val="000000" w:themeColor="text1"/>
          <w:sz w:val="20"/>
          <w:szCs w:val="20"/>
        </w:rPr>
        <w:t xml:space="preserve">, que </w:t>
      </w:r>
      <w:r w:rsidR="0033450A">
        <w:rPr>
          <w:rFonts w:ascii="Arial" w:hAnsi="Arial" w:cs="Arial"/>
          <w:color w:val="000000" w:themeColor="text1"/>
          <w:sz w:val="20"/>
          <w:szCs w:val="20"/>
        </w:rPr>
        <w:t>diz respeito</w:t>
      </w:r>
      <w:r w:rsidR="70E64242" w:rsidRPr="006B5D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450A">
        <w:rPr>
          <w:rFonts w:ascii="Arial" w:hAnsi="Arial" w:cs="Arial"/>
          <w:color w:val="000000" w:themeColor="text1"/>
          <w:sz w:val="20"/>
          <w:szCs w:val="20"/>
        </w:rPr>
        <w:t>à</w:t>
      </w:r>
      <w:r w:rsidR="70E64242" w:rsidRPr="44FB0632">
        <w:rPr>
          <w:rFonts w:ascii="Arial" w:hAnsi="Arial" w:cs="Arial"/>
          <w:color w:val="000000" w:themeColor="text1"/>
          <w:sz w:val="20"/>
          <w:szCs w:val="20"/>
        </w:rPr>
        <w:t xml:space="preserve"> Política Nacional de Biocombustíveis instituída pela Lei nº 13.576/2017</w:t>
      </w:r>
      <w:r w:rsidR="129AF4F4" w:rsidRPr="44FB06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450A">
        <w:rPr>
          <w:rFonts w:ascii="Arial" w:hAnsi="Arial" w:cs="Arial"/>
          <w:color w:val="000000" w:themeColor="text1"/>
          <w:sz w:val="20"/>
          <w:szCs w:val="20"/>
        </w:rPr>
        <w:t>com o objetivo de</w:t>
      </w:r>
      <w:r w:rsidR="19958C10" w:rsidRPr="44FB0632">
        <w:rPr>
          <w:rFonts w:ascii="Arial" w:hAnsi="Arial" w:cs="Arial"/>
          <w:color w:val="000000" w:themeColor="text1"/>
          <w:sz w:val="20"/>
          <w:szCs w:val="20"/>
        </w:rPr>
        <w:t xml:space="preserve"> contribuir para a redução das emissões de gases de efeito estufa (GEE)</w:t>
      </w:r>
      <w:r w:rsidR="7ED3AA62" w:rsidRPr="44FB063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3450A">
        <w:rPr>
          <w:rFonts w:ascii="Arial" w:hAnsi="Arial" w:cs="Arial"/>
          <w:color w:val="000000" w:themeColor="text1"/>
          <w:sz w:val="20"/>
          <w:szCs w:val="20"/>
        </w:rPr>
        <w:t>apresenta</w:t>
      </w:r>
      <w:r w:rsidR="6B43A7B4" w:rsidRPr="44FB0632">
        <w:rPr>
          <w:rFonts w:ascii="Arial" w:hAnsi="Arial" w:cs="Arial"/>
          <w:color w:val="000000" w:themeColor="text1"/>
          <w:sz w:val="20"/>
          <w:szCs w:val="20"/>
        </w:rPr>
        <w:t xml:space="preserve"> a evolução</w:t>
      </w:r>
      <w:r w:rsidR="19958C10" w:rsidRPr="44FB06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27673EAC" w:rsidRPr="44FB0632">
        <w:rPr>
          <w:rFonts w:ascii="Arial" w:hAnsi="Arial" w:cs="Arial"/>
          <w:color w:val="000000" w:themeColor="text1"/>
          <w:sz w:val="20"/>
          <w:szCs w:val="20"/>
        </w:rPr>
        <w:t>d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a aprovação dos </w:t>
      </w:r>
      <w:r w:rsidR="7C7D4230" w:rsidRPr="44FB0632">
        <w:rPr>
          <w:rFonts w:ascii="Arial" w:hAnsi="Arial" w:cs="Arial"/>
          <w:color w:val="000000" w:themeColor="text1"/>
          <w:sz w:val="20"/>
          <w:szCs w:val="20"/>
        </w:rPr>
        <w:t>c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ertificados de </w:t>
      </w:r>
      <w:r w:rsidR="7D456FF6" w:rsidRPr="44FB0632">
        <w:rPr>
          <w:rFonts w:ascii="Arial" w:hAnsi="Arial" w:cs="Arial"/>
          <w:color w:val="000000" w:themeColor="text1"/>
          <w:sz w:val="20"/>
          <w:szCs w:val="20"/>
        </w:rPr>
        <w:t>p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rodução </w:t>
      </w:r>
      <w:r w:rsidR="36748945" w:rsidRPr="44FB0632">
        <w:rPr>
          <w:rFonts w:ascii="Arial" w:hAnsi="Arial" w:cs="Arial"/>
          <w:color w:val="000000" w:themeColor="text1"/>
          <w:sz w:val="20"/>
          <w:szCs w:val="20"/>
        </w:rPr>
        <w:t>e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ficiente de </w:t>
      </w:r>
      <w:r w:rsidR="562C061D" w:rsidRPr="44FB0632">
        <w:rPr>
          <w:rFonts w:ascii="Arial" w:hAnsi="Arial" w:cs="Arial"/>
          <w:color w:val="000000" w:themeColor="text1"/>
          <w:sz w:val="20"/>
          <w:szCs w:val="20"/>
        </w:rPr>
        <w:t>b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iocombustíveis; a emissão de </w:t>
      </w:r>
      <w:r w:rsidR="6B2F15A3" w:rsidRPr="44FB0632">
        <w:rPr>
          <w:rFonts w:ascii="Arial" w:hAnsi="Arial" w:cs="Arial"/>
          <w:color w:val="000000" w:themeColor="text1"/>
          <w:sz w:val="20"/>
          <w:szCs w:val="20"/>
        </w:rPr>
        <w:t>c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réditos de </w:t>
      </w:r>
      <w:r w:rsidR="77F34341" w:rsidRPr="44FB0632">
        <w:rPr>
          <w:rFonts w:ascii="Arial" w:hAnsi="Arial" w:cs="Arial"/>
          <w:color w:val="000000" w:themeColor="text1"/>
          <w:sz w:val="20"/>
          <w:szCs w:val="20"/>
        </w:rPr>
        <w:t>d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>escarbonização (</w:t>
      </w:r>
      <w:proofErr w:type="spellStart"/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>CBIOs</w:t>
      </w:r>
      <w:proofErr w:type="spellEnd"/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) pelos produtores e importadores; </w:t>
      </w:r>
      <w:r w:rsidR="4008CFB7" w:rsidRPr="44FB063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aposentadoria de </w:t>
      </w:r>
      <w:proofErr w:type="spellStart"/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>CBIOs</w:t>
      </w:r>
      <w:proofErr w:type="spellEnd"/>
      <w:r w:rsidR="03A65213" w:rsidRPr="44FB0632">
        <w:rPr>
          <w:rFonts w:ascii="Arial" w:hAnsi="Arial" w:cs="Arial"/>
          <w:color w:val="000000" w:themeColor="text1"/>
          <w:sz w:val="20"/>
          <w:szCs w:val="20"/>
        </w:rPr>
        <w:t xml:space="preserve"> pelas distribuidoras.</w:t>
      </w:r>
    </w:p>
    <w:p w14:paraId="4B94D5A5" w14:textId="77777777" w:rsidR="00DF0D40" w:rsidRDefault="00DF0D40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DEEC669" w14:textId="77777777" w:rsidR="00DF0D40" w:rsidRDefault="00DF0D40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8D3C58" w14:textId="77777777" w:rsidR="00224134" w:rsidRDefault="00224134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CFC824" w14:textId="61F2CC3B" w:rsidR="008676E1" w:rsidRPr="008676E1" w:rsidRDefault="00B45175" w:rsidP="008676E1">
      <w:pPr>
        <w:pStyle w:val="Ttulo1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4.1 </w:t>
      </w:r>
      <w:r w:rsidR="00224134" w:rsidRPr="008676E1">
        <w:rPr>
          <w:sz w:val="20"/>
          <w:szCs w:val="20"/>
        </w:rPr>
        <w:t>ETANOL</w:t>
      </w:r>
    </w:p>
    <w:p w14:paraId="0FB78278" w14:textId="77777777" w:rsidR="00305E91" w:rsidRDefault="00305E91" w:rsidP="00A72B2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AB3576" w14:textId="1B2D427B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676E1">
        <w:rPr>
          <w:rFonts w:ascii="Arial" w:hAnsi="Arial" w:cs="Arial"/>
          <w:b/>
          <w:bCs/>
          <w:color w:val="000000"/>
          <w:sz w:val="20"/>
          <w:szCs w:val="20"/>
        </w:rPr>
        <w:t>4.1</w:t>
      </w:r>
      <w:r w:rsidR="00B45175">
        <w:rPr>
          <w:rFonts w:ascii="Arial" w:hAnsi="Arial" w:cs="Arial"/>
          <w:b/>
          <w:bCs/>
          <w:color w:val="000000"/>
          <w:sz w:val="20"/>
          <w:szCs w:val="20"/>
        </w:rPr>
        <w:t>.1</w:t>
      </w:r>
      <w:r w:rsidRPr="008676E1">
        <w:rPr>
          <w:rFonts w:ascii="Arial" w:hAnsi="Arial" w:cs="Arial"/>
          <w:b/>
          <w:bCs/>
          <w:color w:val="000000"/>
          <w:sz w:val="20"/>
          <w:szCs w:val="20"/>
        </w:rPr>
        <w:t xml:space="preserve"> Produção</w:t>
      </w:r>
    </w:p>
    <w:p w14:paraId="1FC39945" w14:textId="77777777" w:rsidR="00A72B24" w:rsidRPr="008676E1" w:rsidRDefault="00A72B24" w:rsidP="00A72B2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713DC1" w14:textId="0F48FD11" w:rsidR="00A72B24" w:rsidRDefault="00DF3E91" w:rsidP="00A72B24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 xml:space="preserve">Em </w:t>
      </w:r>
      <w:r w:rsidR="00A2703D">
        <w:rPr>
          <w:sz w:val="20"/>
          <w:szCs w:val="20"/>
        </w:rPr>
        <w:t>202</w:t>
      </w:r>
      <w:r w:rsidR="00C3115C">
        <w:rPr>
          <w:sz w:val="20"/>
          <w:szCs w:val="20"/>
        </w:rPr>
        <w:t>5</w:t>
      </w:r>
      <w:r w:rsidR="00AB6D18">
        <w:rPr>
          <w:sz w:val="20"/>
          <w:szCs w:val="20"/>
        </w:rPr>
        <w:t>, a pro</w:t>
      </w:r>
      <w:r w:rsidR="004334A2">
        <w:rPr>
          <w:sz w:val="20"/>
          <w:szCs w:val="20"/>
        </w:rPr>
        <w:t xml:space="preserve">dução total de etanol </w:t>
      </w:r>
      <w:r w:rsidR="00674EF4">
        <w:rPr>
          <w:sz w:val="20"/>
          <w:szCs w:val="20"/>
        </w:rPr>
        <w:t>teve uma</w:t>
      </w:r>
      <w:r w:rsidR="004334A2">
        <w:rPr>
          <w:sz w:val="20"/>
          <w:szCs w:val="20"/>
        </w:rPr>
        <w:t xml:space="preserve"> </w:t>
      </w:r>
      <w:r w:rsidR="00C3115C">
        <w:rPr>
          <w:sz w:val="20"/>
          <w:szCs w:val="20"/>
        </w:rPr>
        <w:t>queda</w:t>
      </w:r>
      <w:r w:rsidR="000C3AA4">
        <w:rPr>
          <w:sz w:val="20"/>
          <w:szCs w:val="20"/>
        </w:rPr>
        <w:t xml:space="preserve"> de </w:t>
      </w:r>
      <w:r w:rsidR="00C3115C">
        <w:rPr>
          <w:sz w:val="20"/>
          <w:szCs w:val="20"/>
        </w:rPr>
        <w:t>2</w:t>
      </w:r>
      <w:r w:rsidR="00A2703D">
        <w:rPr>
          <w:sz w:val="20"/>
          <w:szCs w:val="20"/>
        </w:rPr>
        <w:t>,</w:t>
      </w:r>
      <w:r w:rsidR="00C3115C">
        <w:rPr>
          <w:sz w:val="20"/>
          <w:szCs w:val="20"/>
        </w:rPr>
        <w:t>8</w:t>
      </w:r>
      <w:r w:rsidR="003D3C63">
        <w:rPr>
          <w:sz w:val="20"/>
          <w:szCs w:val="20"/>
        </w:rPr>
        <w:t xml:space="preserve">%, </w:t>
      </w:r>
      <w:r w:rsidR="00674EF4">
        <w:rPr>
          <w:sz w:val="20"/>
          <w:szCs w:val="20"/>
        </w:rPr>
        <w:t xml:space="preserve">e </w:t>
      </w:r>
      <w:r w:rsidR="003D3C63">
        <w:rPr>
          <w:sz w:val="20"/>
          <w:szCs w:val="20"/>
        </w:rPr>
        <w:t>totaliz</w:t>
      </w:r>
      <w:r w:rsidR="00674EF4">
        <w:rPr>
          <w:sz w:val="20"/>
          <w:szCs w:val="20"/>
        </w:rPr>
        <w:t>ou</w:t>
      </w:r>
      <w:r w:rsidR="003D3C63">
        <w:rPr>
          <w:sz w:val="20"/>
          <w:szCs w:val="20"/>
        </w:rPr>
        <w:t xml:space="preserve"> </w:t>
      </w:r>
      <w:r w:rsidR="00A2703D">
        <w:rPr>
          <w:sz w:val="20"/>
          <w:szCs w:val="20"/>
        </w:rPr>
        <w:t>3</w:t>
      </w:r>
      <w:r w:rsidR="00C3115C">
        <w:rPr>
          <w:sz w:val="20"/>
          <w:szCs w:val="20"/>
        </w:rPr>
        <w:t>5,9</w:t>
      </w:r>
      <w:r w:rsidR="003D3C63">
        <w:rPr>
          <w:sz w:val="20"/>
          <w:szCs w:val="20"/>
        </w:rPr>
        <w:t xml:space="preserve"> </w:t>
      </w:r>
      <w:r w:rsidR="00AB6D18">
        <w:rPr>
          <w:sz w:val="20"/>
          <w:szCs w:val="20"/>
        </w:rPr>
        <w:t xml:space="preserve">milhões de </w:t>
      </w:r>
      <w:r w:rsidR="00C54227">
        <w:rPr>
          <w:sz w:val="20"/>
          <w:szCs w:val="20"/>
        </w:rPr>
        <w:t>m³</w:t>
      </w:r>
      <w:r w:rsidR="00AB6D18" w:rsidRPr="00F15D7E">
        <w:rPr>
          <w:sz w:val="20"/>
          <w:szCs w:val="20"/>
        </w:rPr>
        <w:t xml:space="preserve">. </w:t>
      </w:r>
      <w:r w:rsidR="00F17FB3">
        <w:rPr>
          <w:sz w:val="20"/>
          <w:szCs w:val="20"/>
        </w:rPr>
        <w:t>A</w:t>
      </w:r>
      <w:r w:rsidR="00AB6D18" w:rsidRPr="00F15D7E">
        <w:rPr>
          <w:sz w:val="20"/>
          <w:szCs w:val="20"/>
        </w:rPr>
        <w:t xml:space="preserve"> prod</w:t>
      </w:r>
      <w:r w:rsidR="00C52542" w:rsidRPr="00F15D7E">
        <w:rPr>
          <w:sz w:val="20"/>
          <w:szCs w:val="20"/>
        </w:rPr>
        <w:t xml:space="preserve">ução de etanol anidro </w:t>
      </w:r>
      <w:r w:rsidR="00C3115C">
        <w:rPr>
          <w:sz w:val="20"/>
          <w:szCs w:val="20"/>
        </w:rPr>
        <w:t>cresceu</w:t>
      </w:r>
      <w:r w:rsidR="006A7CCE">
        <w:rPr>
          <w:sz w:val="20"/>
          <w:szCs w:val="20"/>
        </w:rPr>
        <w:t xml:space="preserve"> </w:t>
      </w:r>
      <w:r w:rsidR="00C3115C">
        <w:rPr>
          <w:sz w:val="20"/>
          <w:szCs w:val="20"/>
        </w:rPr>
        <w:t>3</w:t>
      </w:r>
      <w:r w:rsidR="00F17FB3">
        <w:rPr>
          <w:sz w:val="20"/>
          <w:szCs w:val="20"/>
        </w:rPr>
        <w:t>,</w:t>
      </w:r>
      <w:r w:rsidR="00C3115C">
        <w:rPr>
          <w:sz w:val="20"/>
          <w:szCs w:val="20"/>
        </w:rPr>
        <w:t>1</w:t>
      </w:r>
      <w:r w:rsidR="00AB6D18" w:rsidRPr="00F15D7E">
        <w:rPr>
          <w:sz w:val="20"/>
          <w:szCs w:val="20"/>
        </w:rPr>
        <w:t>%</w:t>
      </w:r>
      <w:r w:rsidR="00F17FB3">
        <w:rPr>
          <w:sz w:val="20"/>
          <w:szCs w:val="20"/>
        </w:rPr>
        <w:t xml:space="preserve">, </w:t>
      </w:r>
      <w:r w:rsidR="006A7CCE">
        <w:rPr>
          <w:sz w:val="20"/>
          <w:szCs w:val="20"/>
        </w:rPr>
        <w:t>ao passo que</w:t>
      </w:r>
      <w:r w:rsidR="00AB6D18" w:rsidRPr="00F15D7E">
        <w:rPr>
          <w:sz w:val="20"/>
          <w:szCs w:val="20"/>
        </w:rPr>
        <w:t xml:space="preserve"> </w:t>
      </w:r>
      <w:r w:rsidR="00F17FB3">
        <w:rPr>
          <w:sz w:val="20"/>
          <w:szCs w:val="20"/>
        </w:rPr>
        <w:t xml:space="preserve">a </w:t>
      </w:r>
      <w:r w:rsidR="00AB6D18" w:rsidRPr="00F15D7E">
        <w:rPr>
          <w:sz w:val="20"/>
          <w:szCs w:val="20"/>
        </w:rPr>
        <w:t>pro</w:t>
      </w:r>
      <w:r w:rsidR="00C52542" w:rsidRPr="00F15D7E">
        <w:rPr>
          <w:sz w:val="20"/>
          <w:szCs w:val="20"/>
        </w:rPr>
        <w:t>du</w:t>
      </w:r>
      <w:r w:rsidR="003D3C63" w:rsidRPr="00F15D7E">
        <w:rPr>
          <w:sz w:val="20"/>
          <w:szCs w:val="20"/>
        </w:rPr>
        <w:t xml:space="preserve">ção de etanol hidratado </w:t>
      </w:r>
      <w:r w:rsidR="00F17FB3">
        <w:rPr>
          <w:sz w:val="20"/>
          <w:szCs w:val="20"/>
        </w:rPr>
        <w:t xml:space="preserve">teve </w:t>
      </w:r>
      <w:r w:rsidR="00C3115C">
        <w:rPr>
          <w:sz w:val="20"/>
          <w:szCs w:val="20"/>
        </w:rPr>
        <w:t>dec</w:t>
      </w:r>
      <w:r w:rsidR="00F17FB3">
        <w:rPr>
          <w:sz w:val="20"/>
          <w:szCs w:val="20"/>
        </w:rPr>
        <w:t>réscimo de</w:t>
      </w:r>
      <w:r w:rsidR="00C52542" w:rsidRPr="00F15D7E">
        <w:rPr>
          <w:sz w:val="20"/>
          <w:szCs w:val="20"/>
        </w:rPr>
        <w:t xml:space="preserve"> </w:t>
      </w:r>
      <w:r w:rsidR="00C3115C">
        <w:rPr>
          <w:sz w:val="20"/>
          <w:szCs w:val="20"/>
        </w:rPr>
        <w:t>5</w:t>
      </w:r>
      <w:r w:rsidR="006A7CCE">
        <w:rPr>
          <w:sz w:val="20"/>
          <w:szCs w:val="20"/>
        </w:rPr>
        <w:t>,</w:t>
      </w:r>
      <w:r w:rsidR="00C3115C">
        <w:rPr>
          <w:sz w:val="20"/>
          <w:szCs w:val="20"/>
        </w:rPr>
        <w:t>9</w:t>
      </w:r>
      <w:r w:rsidR="00AB6D18" w:rsidRPr="00822220">
        <w:rPr>
          <w:sz w:val="20"/>
          <w:szCs w:val="20"/>
        </w:rPr>
        <w:t xml:space="preserve">%. </w:t>
      </w:r>
      <w:r w:rsidR="00AB6D18" w:rsidRPr="0028694F">
        <w:rPr>
          <w:sz w:val="20"/>
          <w:szCs w:val="20"/>
        </w:rPr>
        <w:t>A taxa média anu</w:t>
      </w:r>
      <w:r w:rsidR="00DF0D40" w:rsidRPr="0028694F">
        <w:rPr>
          <w:sz w:val="20"/>
          <w:szCs w:val="20"/>
        </w:rPr>
        <w:t>al</w:t>
      </w:r>
      <w:r w:rsidR="00AB6D18" w:rsidRPr="0028694F">
        <w:rPr>
          <w:sz w:val="20"/>
          <w:szCs w:val="20"/>
        </w:rPr>
        <w:t xml:space="preserve"> de crescimento da produção de</w:t>
      </w:r>
      <w:r w:rsidRPr="0028694F">
        <w:rPr>
          <w:sz w:val="20"/>
          <w:szCs w:val="20"/>
        </w:rPr>
        <w:t xml:space="preserve"> etanol para o período </w:t>
      </w:r>
      <w:r w:rsidR="00C54227" w:rsidRPr="0028694F">
        <w:rPr>
          <w:sz w:val="20"/>
          <w:szCs w:val="20"/>
        </w:rPr>
        <w:t>201</w:t>
      </w:r>
      <w:r w:rsidR="00C3115C">
        <w:rPr>
          <w:sz w:val="20"/>
          <w:szCs w:val="20"/>
        </w:rPr>
        <w:t>6</w:t>
      </w:r>
      <w:r w:rsidRPr="0028694F">
        <w:rPr>
          <w:sz w:val="20"/>
          <w:szCs w:val="20"/>
        </w:rPr>
        <w:t>-</w:t>
      </w:r>
      <w:r w:rsidR="00A2703D" w:rsidRPr="0028694F">
        <w:rPr>
          <w:sz w:val="20"/>
          <w:szCs w:val="20"/>
        </w:rPr>
        <w:t>202</w:t>
      </w:r>
      <w:r w:rsidR="00C3115C">
        <w:rPr>
          <w:sz w:val="20"/>
          <w:szCs w:val="20"/>
        </w:rPr>
        <w:t>5</w:t>
      </w:r>
      <w:r w:rsidR="00C52542" w:rsidRPr="0028694F">
        <w:rPr>
          <w:sz w:val="20"/>
          <w:szCs w:val="20"/>
        </w:rPr>
        <w:t xml:space="preserve"> foi de </w:t>
      </w:r>
      <w:r w:rsidR="00BA3E1B" w:rsidRPr="0028694F">
        <w:rPr>
          <w:sz w:val="20"/>
          <w:szCs w:val="20"/>
        </w:rPr>
        <w:t>2</w:t>
      </w:r>
      <w:r w:rsidR="00C83404" w:rsidRPr="0028694F">
        <w:rPr>
          <w:sz w:val="20"/>
          <w:szCs w:val="20"/>
        </w:rPr>
        <w:t>,</w:t>
      </w:r>
      <w:r w:rsidR="00C3115C">
        <w:rPr>
          <w:sz w:val="20"/>
          <w:szCs w:val="20"/>
        </w:rPr>
        <w:t>3</w:t>
      </w:r>
      <w:r w:rsidR="00AB6D18" w:rsidRPr="0028694F">
        <w:rPr>
          <w:sz w:val="20"/>
          <w:szCs w:val="20"/>
        </w:rPr>
        <w:t>%.</w:t>
      </w:r>
    </w:p>
    <w:p w14:paraId="0562CB0E" w14:textId="77777777" w:rsidR="00AB6D18" w:rsidRDefault="00AB6D18" w:rsidP="00A72B24">
      <w:pPr>
        <w:pStyle w:val="Corpodetexto"/>
        <w:rPr>
          <w:sz w:val="20"/>
          <w:szCs w:val="20"/>
        </w:rPr>
      </w:pPr>
    </w:p>
    <w:p w14:paraId="3836E073" w14:textId="0E4C4142" w:rsidR="000F47B0" w:rsidRPr="000F47B0" w:rsidRDefault="000F47B0" w:rsidP="000F47B0">
      <w:pPr>
        <w:pStyle w:val="Corpodetexto"/>
        <w:rPr>
          <w:sz w:val="20"/>
          <w:szCs w:val="20"/>
        </w:rPr>
      </w:pPr>
      <w:r w:rsidRPr="000F47B0">
        <w:rPr>
          <w:sz w:val="20"/>
          <w:szCs w:val="20"/>
        </w:rPr>
        <w:t>A região Centro-Oeste, maior produtora de etanol do país, totalizou 17,2 milhões de m³ produzidos, o que equivale a 47,9% do total nacional e representa um crescimento de 5,7% em relação a 2024.</w:t>
      </w:r>
    </w:p>
    <w:p w14:paraId="2C4D729F" w14:textId="1179F7E8" w:rsidR="000F47B0" w:rsidRPr="000F47B0" w:rsidRDefault="000F47B0" w:rsidP="000F47B0">
      <w:pPr>
        <w:pStyle w:val="Corpodetexto"/>
        <w:rPr>
          <w:sz w:val="20"/>
          <w:szCs w:val="20"/>
        </w:rPr>
      </w:pPr>
    </w:p>
    <w:p w14:paraId="3233053F" w14:textId="012F1903" w:rsidR="000F47B0" w:rsidRPr="000F47B0" w:rsidRDefault="000F47B0" w:rsidP="000F47B0">
      <w:pPr>
        <w:pStyle w:val="Corpodetexto"/>
        <w:rPr>
          <w:sz w:val="20"/>
          <w:szCs w:val="20"/>
        </w:rPr>
      </w:pPr>
      <w:r w:rsidRPr="000F47B0">
        <w:rPr>
          <w:sz w:val="20"/>
          <w:szCs w:val="20"/>
        </w:rPr>
        <w:t xml:space="preserve">A região Sudeste, segunda maior produtora, totalizou 14,9 milhões de m³ produzidos, o que equivale a 41,5% do total nacional e representa uma queda de 14,2%. </w:t>
      </w:r>
    </w:p>
    <w:p w14:paraId="6A5D004D" w14:textId="77777777" w:rsidR="000F47B0" w:rsidRPr="000F47B0" w:rsidRDefault="000F47B0" w:rsidP="000F47B0">
      <w:pPr>
        <w:pStyle w:val="Corpodetexto"/>
        <w:rPr>
          <w:sz w:val="20"/>
          <w:szCs w:val="20"/>
        </w:rPr>
      </w:pPr>
    </w:p>
    <w:p w14:paraId="0CE16F94" w14:textId="32369096" w:rsidR="000F47B0" w:rsidRPr="000F47B0" w:rsidRDefault="000F47B0" w:rsidP="000F47B0">
      <w:pPr>
        <w:pStyle w:val="Corpodetexto"/>
        <w:rPr>
          <w:sz w:val="20"/>
          <w:szCs w:val="20"/>
        </w:rPr>
      </w:pPr>
      <w:r w:rsidRPr="000F47B0">
        <w:rPr>
          <w:sz w:val="20"/>
          <w:szCs w:val="20"/>
        </w:rPr>
        <w:t xml:space="preserve">A região Nordeste, terceira maior produtora, totalizou 2,4 milhões de m³ produzidos, o que equivale a 6,7% do total nacional e representa um crescimento de 23,6%. </w:t>
      </w:r>
    </w:p>
    <w:p w14:paraId="3F823FEE" w14:textId="77777777" w:rsidR="000F47B0" w:rsidRPr="000F47B0" w:rsidRDefault="000F47B0" w:rsidP="000F47B0">
      <w:pPr>
        <w:pStyle w:val="Corpodetexto"/>
        <w:rPr>
          <w:sz w:val="20"/>
          <w:szCs w:val="20"/>
        </w:rPr>
      </w:pPr>
    </w:p>
    <w:p w14:paraId="02DB6C06" w14:textId="3FA305AC" w:rsidR="000F47B0" w:rsidRPr="000F47B0" w:rsidRDefault="000F47B0" w:rsidP="000F47B0">
      <w:pPr>
        <w:pStyle w:val="Corpodetexto"/>
        <w:rPr>
          <w:sz w:val="20"/>
          <w:szCs w:val="20"/>
        </w:rPr>
      </w:pPr>
      <w:r w:rsidRPr="000F47B0">
        <w:rPr>
          <w:sz w:val="20"/>
          <w:szCs w:val="20"/>
        </w:rPr>
        <w:t xml:space="preserve">A região Sul, quarta maior produtora nacional, totalizou 1,2 milhão de m³ produzidos, o que equivale a 3,3% do total nacional e representa um crescimento de 8,8%. </w:t>
      </w:r>
    </w:p>
    <w:p w14:paraId="36CBDE7F" w14:textId="77777777" w:rsidR="000F47B0" w:rsidRPr="000F47B0" w:rsidRDefault="000F47B0" w:rsidP="000F47B0">
      <w:pPr>
        <w:pStyle w:val="Corpodetexto"/>
        <w:rPr>
          <w:sz w:val="20"/>
          <w:szCs w:val="20"/>
        </w:rPr>
      </w:pPr>
    </w:p>
    <w:p w14:paraId="0CC54F7F" w14:textId="1A41E2A8" w:rsidR="000F47B0" w:rsidRDefault="000F47B0" w:rsidP="000F47B0">
      <w:pPr>
        <w:pStyle w:val="Corpodetexto"/>
        <w:rPr>
          <w:sz w:val="20"/>
          <w:szCs w:val="20"/>
        </w:rPr>
      </w:pPr>
      <w:r w:rsidRPr="000F47B0">
        <w:rPr>
          <w:sz w:val="20"/>
          <w:szCs w:val="20"/>
        </w:rPr>
        <w:t>Por fim, a região Norte, menor produtora de etanol do país, totalizou 229,4 mil m³ produzidos, o que equivale a 0,6% do total nacional e representa uma queda de 12,3%.</w:t>
      </w:r>
    </w:p>
    <w:p w14:paraId="50A537F2" w14:textId="77777777" w:rsidR="000F47B0" w:rsidRPr="008676E1" w:rsidRDefault="000F47B0" w:rsidP="00A72B24">
      <w:pPr>
        <w:pStyle w:val="Corpodetexto"/>
        <w:rPr>
          <w:sz w:val="20"/>
          <w:szCs w:val="20"/>
        </w:rPr>
      </w:pPr>
    </w:p>
    <w:p w14:paraId="3A720352" w14:textId="67E47DC2" w:rsidR="008C1AC9" w:rsidRDefault="000F47B0" w:rsidP="00A72B24">
      <w:pPr>
        <w:pStyle w:val="Corpodetex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Por estados, </w:t>
      </w:r>
      <w:r w:rsidR="4C8B02C6" w:rsidRPr="44FB0632">
        <w:rPr>
          <w:color w:val="auto"/>
          <w:sz w:val="20"/>
          <w:szCs w:val="20"/>
        </w:rPr>
        <w:t xml:space="preserve">São Paulo </w:t>
      </w:r>
      <w:r w:rsidR="00C54227">
        <w:rPr>
          <w:color w:val="auto"/>
          <w:sz w:val="20"/>
          <w:szCs w:val="20"/>
        </w:rPr>
        <w:t>foi o estado onde mais se produziu etanol</w:t>
      </w:r>
      <w:r w:rsidR="4C8B02C6" w:rsidRPr="44FB0632">
        <w:rPr>
          <w:color w:val="auto"/>
          <w:sz w:val="20"/>
          <w:szCs w:val="20"/>
        </w:rPr>
        <w:t>,</w:t>
      </w:r>
      <w:r w:rsidR="00C54227">
        <w:rPr>
          <w:color w:val="auto"/>
          <w:sz w:val="20"/>
          <w:szCs w:val="20"/>
        </w:rPr>
        <w:t xml:space="preserve"> chegando a 1</w:t>
      </w:r>
      <w:r w:rsidR="00F43E0F">
        <w:rPr>
          <w:color w:val="auto"/>
          <w:sz w:val="20"/>
          <w:szCs w:val="20"/>
        </w:rPr>
        <w:t>1</w:t>
      </w:r>
      <w:r w:rsidR="00C54227">
        <w:rPr>
          <w:color w:val="auto"/>
          <w:sz w:val="20"/>
          <w:szCs w:val="20"/>
        </w:rPr>
        <w:t>,</w:t>
      </w:r>
      <w:r w:rsidR="00F43E0F">
        <w:rPr>
          <w:color w:val="auto"/>
          <w:sz w:val="20"/>
          <w:szCs w:val="20"/>
        </w:rPr>
        <w:t>9</w:t>
      </w:r>
      <w:r w:rsidR="00C54227">
        <w:rPr>
          <w:color w:val="auto"/>
          <w:sz w:val="20"/>
          <w:szCs w:val="20"/>
        </w:rPr>
        <w:t xml:space="preserve"> milhões de m³ ou </w:t>
      </w:r>
      <w:r w:rsidR="50115303" w:rsidRPr="44FB0632">
        <w:rPr>
          <w:color w:val="auto"/>
          <w:sz w:val="20"/>
          <w:szCs w:val="20"/>
        </w:rPr>
        <w:t>3</w:t>
      </w:r>
      <w:r w:rsidR="00F43E0F">
        <w:rPr>
          <w:color w:val="auto"/>
          <w:sz w:val="20"/>
          <w:szCs w:val="20"/>
        </w:rPr>
        <w:t>3</w:t>
      </w:r>
      <w:r w:rsidR="00C54227">
        <w:rPr>
          <w:color w:val="auto"/>
          <w:sz w:val="20"/>
          <w:szCs w:val="20"/>
        </w:rPr>
        <w:t>,</w:t>
      </w:r>
      <w:r w:rsidR="00F43E0F">
        <w:rPr>
          <w:color w:val="auto"/>
          <w:sz w:val="20"/>
          <w:szCs w:val="20"/>
        </w:rPr>
        <w:t>2</w:t>
      </w:r>
      <w:r w:rsidR="11F833ED" w:rsidRPr="44FB0632">
        <w:rPr>
          <w:color w:val="auto"/>
          <w:sz w:val="20"/>
          <w:szCs w:val="20"/>
        </w:rPr>
        <w:t>% da produção nacional</w:t>
      </w:r>
      <w:r w:rsidR="12B3BA8C" w:rsidRPr="44FB0632">
        <w:rPr>
          <w:color w:val="auto"/>
          <w:sz w:val="20"/>
          <w:szCs w:val="20"/>
        </w:rPr>
        <w:t>,</w:t>
      </w:r>
      <w:r w:rsidR="00C54227">
        <w:rPr>
          <w:color w:val="auto"/>
          <w:sz w:val="20"/>
          <w:szCs w:val="20"/>
        </w:rPr>
        <w:t xml:space="preserve"> depois de uma </w:t>
      </w:r>
      <w:r w:rsidR="001A5869">
        <w:rPr>
          <w:color w:val="auto"/>
          <w:sz w:val="20"/>
          <w:szCs w:val="20"/>
        </w:rPr>
        <w:t>queda</w:t>
      </w:r>
      <w:r w:rsidR="00C54227">
        <w:rPr>
          <w:color w:val="auto"/>
          <w:sz w:val="20"/>
          <w:szCs w:val="20"/>
        </w:rPr>
        <w:t xml:space="preserve"> de</w:t>
      </w:r>
      <w:r w:rsidR="001A5869">
        <w:rPr>
          <w:color w:val="auto"/>
          <w:sz w:val="20"/>
          <w:szCs w:val="20"/>
        </w:rPr>
        <w:t xml:space="preserve"> </w:t>
      </w:r>
      <w:r w:rsidR="00654B2A">
        <w:rPr>
          <w:color w:val="auto"/>
          <w:sz w:val="20"/>
          <w:szCs w:val="20"/>
        </w:rPr>
        <w:t>13</w:t>
      </w:r>
      <w:r w:rsidR="00C54227">
        <w:rPr>
          <w:color w:val="auto"/>
          <w:sz w:val="20"/>
          <w:szCs w:val="20"/>
        </w:rPr>
        <w:t xml:space="preserve">%. Em seguida vieram os estados de Mato Grosso, com </w:t>
      </w:r>
      <w:r w:rsidR="00654B2A">
        <w:rPr>
          <w:color w:val="auto"/>
          <w:sz w:val="20"/>
          <w:szCs w:val="20"/>
        </w:rPr>
        <w:t>7</w:t>
      </w:r>
      <w:r w:rsidR="00C54227">
        <w:rPr>
          <w:color w:val="auto"/>
          <w:sz w:val="20"/>
          <w:szCs w:val="20"/>
        </w:rPr>
        <w:t>,</w:t>
      </w:r>
      <w:r w:rsidR="00654B2A">
        <w:rPr>
          <w:color w:val="auto"/>
          <w:sz w:val="20"/>
          <w:szCs w:val="20"/>
        </w:rPr>
        <w:t>1</w:t>
      </w:r>
      <w:r w:rsidR="00C54227">
        <w:rPr>
          <w:color w:val="auto"/>
          <w:sz w:val="20"/>
          <w:szCs w:val="20"/>
        </w:rPr>
        <w:t xml:space="preserve"> milhões de m³ (</w:t>
      </w:r>
      <w:r w:rsidR="001A5869">
        <w:rPr>
          <w:color w:val="auto"/>
          <w:sz w:val="20"/>
          <w:szCs w:val="20"/>
        </w:rPr>
        <w:t>1</w:t>
      </w:r>
      <w:r w:rsidR="00654B2A">
        <w:rPr>
          <w:color w:val="auto"/>
          <w:sz w:val="20"/>
          <w:szCs w:val="20"/>
        </w:rPr>
        <w:t>9</w:t>
      </w:r>
      <w:r w:rsidR="00C54227">
        <w:rPr>
          <w:color w:val="auto"/>
          <w:sz w:val="20"/>
          <w:szCs w:val="20"/>
        </w:rPr>
        <w:t>,</w:t>
      </w:r>
      <w:r w:rsidR="00654B2A">
        <w:rPr>
          <w:color w:val="auto"/>
          <w:sz w:val="20"/>
          <w:szCs w:val="20"/>
        </w:rPr>
        <w:t>7</w:t>
      </w:r>
      <w:r w:rsidR="00C54227">
        <w:rPr>
          <w:color w:val="auto"/>
          <w:sz w:val="20"/>
          <w:szCs w:val="20"/>
        </w:rPr>
        <w:t xml:space="preserve">% do total; alta de </w:t>
      </w:r>
      <w:r w:rsidR="00654B2A">
        <w:rPr>
          <w:color w:val="auto"/>
          <w:sz w:val="20"/>
          <w:szCs w:val="20"/>
        </w:rPr>
        <w:t>7</w:t>
      </w:r>
      <w:r w:rsidR="00C54227">
        <w:rPr>
          <w:color w:val="auto"/>
          <w:sz w:val="20"/>
          <w:szCs w:val="20"/>
        </w:rPr>
        <w:t>,</w:t>
      </w:r>
      <w:r w:rsidR="00654B2A">
        <w:rPr>
          <w:color w:val="auto"/>
          <w:sz w:val="20"/>
          <w:szCs w:val="20"/>
        </w:rPr>
        <w:t>6</w:t>
      </w:r>
      <w:r w:rsidR="00C54227">
        <w:rPr>
          <w:color w:val="auto"/>
          <w:sz w:val="20"/>
          <w:szCs w:val="20"/>
        </w:rPr>
        <w:t xml:space="preserve">%), e </w:t>
      </w:r>
      <w:r w:rsidR="001A5869">
        <w:rPr>
          <w:color w:val="auto"/>
          <w:sz w:val="20"/>
          <w:szCs w:val="20"/>
        </w:rPr>
        <w:t>Goiás</w:t>
      </w:r>
      <w:r w:rsidR="007A33D6">
        <w:rPr>
          <w:color w:val="auto"/>
          <w:sz w:val="20"/>
          <w:szCs w:val="20"/>
        </w:rPr>
        <w:t xml:space="preserve">, com </w:t>
      </w:r>
      <w:r w:rsidR="001A5869">
        <w:rPr>
          <w:color w:val="auto"/>
          <w:sz w:val="20"/>
          <w:szCs w:val="20"/>
        </w:rPr>
        <w:t>5</w:t>
      </w:r>
      <w:r w:rsidR="007A33D6">
        <w:rPr>
          <w:color w:val="auto"/>
          <w:sz w:val="20"/>
          <w:szCs w:val="20"/>
        </w:rPr>
        <w:t>,</w:t>
      </w:r>
      <w:r w:rsidR="00654B2A">
        <w:rPr>
          <w:color w:val="auto"/>
          <w:sz w:val="20"/>
          <w:szCs w:val="20"/>
        </w:rPr>
        <w:t>3</w:t>
      </w:r>
      <w:r w:rsidR="007A33D6">
        <w:rPr>
          <w:color w:val="auto"/>
          <w:sz w:val="20"/>
          <w:szCs w:val="20"/>
        </w:rPr>
        <w:t xml:space="preserve"> milhões de m³ (</w:t>
      </w:r>
      <w:r w:rsidR="001A5869">
        <w:rPr>
          <w:color w:val="auto"/>
          <w:sz w:val="20"/>
          <w:szCs w:val="20"/>
        </w:rPr>
        <w:t>1</w:t>
      </w:r>
      <w:r w:rsidR="00654B2A">
        <w:rPr>
          <w:color w:val="auto"/>
          <w:sz w:val="20"/>
          <w:szCs w:val="20"/>
        </w:rPr>
        <w:t>4</w:t>
      </w:r>
      <w:r w:rsidR="007A33D6">
        <w:rPr>
          <w:color w:val="auto"/>
          <w:sz w:val="20"/>
          <w:szCs w:val="20"/>
        </w:rPr>
        <w:t>,</w:t>
      </w:r>
      <w:r w:rsidR="00654B2A">
        <w:rPr>
          <w:color w:val="auto"/>
          <w:sz w:val="20"/>
          <w:szCs w:val="20"/>
        </w:rPr>
        <w:t>7</w:t>
      </w:r>
      <w:r w:rsidR="007A33D6">
        <w:rPr>
          <w:color w:val="auto"/>
          <w:sz w:val="20"/>
          <w:szCs w:val="20"/>
        </w:rPr>
        <w:t xml:space="preserve">% do total; </w:t>
      </w:r>
      <w:r w:rsidR="00654B2A">
        <w:rPr>
          <w:color w:val="auto"/>
          <w:sz w:val="20"/>
          <w:szCs w:val="20"/>
        </w:rPr>
        <w:t>queda</w:t>
      </w:r>
      <w:r w:rsidR="007A33D6">
        <w:rPr>
          <w:color w:val="auto"/>
          <w:sz w:val="20"/>
          <w:szCs w:val="20"/>
        </w:rPr>
        <w:t xml:space="preserve"> de </w:t>
      </w:r>
      <w:r w:rsidR="00654B2A">
        <w:rPr>
          <w:color w:val="auto"/>
          <w:sz w:val="20"/>
          <w:szCs w:val="20"/>
        </w:rPr>
        <w:t>6</w:t>
      </w:r>
      <w:r w:rsidR="007A33D6">
        <w:rPr>
          <w:color w:val="auto"/>
          <w:sz w:val="20"/>
          <w:szCs w:val="20"/>
        </w:rPr>
        <w:t>,</w:t>
      </w:r>
      <w:r w:rsidR="00654B2A">
        <w:rPr>
          <w:color w:val="auto"/>
          <w:sz w:val="20"/>
          <w:szCs w:val="20"/>
        </w:rPr>
        <w:t>6</w:t>
      </w:r>
      <w:r w:rsidR="007A33D6">
        <w:rPr>
          <w:color w:val="auto"/>
          <w:sz w:val="20"/>
          <w:szCs w:val="20"/>
        </w:rPr>
        <w:t>%)</w:t>
      </w:r>
      <w:r w:rsidR="4C8B02C6" w:rsidRPr="44FB0632">
        <w:rPr>
          <w:color w:val="auto"/>
          <w:sz w:val="20"/>
          <w:szCs w:val="20"/>
        </w:rPr>
        <w:t>.</w:t>
      </w:r>
    </w:p>
    <w:p w14:paraId="6D98A12B" w14:textId="77777777" w:rsidR="009632D1" w:rsidRPr="008676E1" w:rsidRDefault="009632D1" w:rsidP="00A72B24">
      <w:pPr>
        <w:pStyle w:val="Corpodetexto"/>
        <w:rPr>
          <w:color w:val="auto"/>
          <w:sz w:val="20"/>
          <w:szCs w:val="20"/>
        </w:rPr>
      </w:pPr>
    </w:p>
    <w:p w14:paraId="7A7E803F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Tabela 4.1</w:t>
      </w:r>
    </w:p>
    <w:p w14:paraId="2946DB82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6C9ABF2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4.1</w:t>
      </w:r>
    </w:p>
    <w:p w14:paraId="02ECA5BA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4.2</w:t>
      </w:r>
    </w:p>
    <w:p w14:paraId="5997CC1D" w14:textId="77777777" w:rsidR="009D24CD" w:rsidRPr="008676E1" w:rsidRDefault="009D24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4A08EA" w14:textId="10F92CD0" w:rsidR="00A72B24" w:rsidRPr="00393CB3" w:rsidRDefault="009632D1" w:rsidP="00A72B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produção nacional de etanol anidro foi de </w:t>
      </w:r>
      <w:r w:rsidR="007B29AD">
        <w:rPr>
          <w:rFonts w:ascii="Arial" w:hAnsi="Arial" w:cs="Arial"/>
          <w:sz w:val="20"/>
          <w:szCs w:val="20"/>
        </w:rPr>
        <w:t>1</w:t>
      </w:r>
      <w:r w:rsidR="009F2B12">
        <w:rPr>
          <w:rFonts w:ascii="Arial" w:hAnsi="Arial" w:cs="Arial"/>
          <w:sz w:val="20"/>
          <w:szCs w:val="20"/>
        </w:rPr>
        <w:t>3</w:t>
      </w:r>
      <w:r w:rsidR="007B29AD">
        <w:rPr>
          <w:rFonts w:ascii="Arial" w:hAnsi="Arial" w:cs="Arial"/>
          <w:sz w:val="20"/>
          <w:szCs w:val="20"/>
        </w:rPr>
        <w:t>,</w:t>
      </w:r>
      <w:r w:rsidR="009F2B12">
        <w:rPr>
          <w:rFonts w:ascii="Arial" w:hAnsi="Arial" w:cs="Arial"/>
          <w:sz w:val="20"/>
          <w:szCs w:val="20"/>
        </w:rPr>
        <w:t>2</w:t>
      </w:r>
      <w:r w:rsidR="000F3B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milhões de </w:t>
      </w:r>
      <w:r w:rsidR="00C54227">
        <w:rPr>
          <w:rFonts w:ascii="Arial" w:hAnsi="Arial" w:cs="Arial"/>
          <w:sz w:val="20"/>
          <w:szCs w:val="20"/>
        </w:rPr>
        <w:t>m³</w:t>
      </w:r>
      <w:r w:rsidR="001435A2">
        <w:rPr>
          <w:rFonts w:ascii="Arial" w:hAnsi="Arial" w:cs="Arial"/>
          <w:sz w:val="20"/>
          <w:szCs w:val="20"/>
        </w:rPr>
        <w:t xml:space="preserve"> em </w:t>
      </w:r>
      <w:r w:rsidR="00A2703D">
        <w:rPr>
          <w:rFonts w:ascii="Arial" w:hAnsi="Arial" w:cs="Arial"/>
          <w:sz w:val="20"/>
          <w:szCs w:val="20"/>
        </w:rPr>
        <w:t>202</w:t>
      </w:r>
      <w:r w:rsidR="009F2B12">
        <w:rPr>
          <w:rFonts w:ascii="Arial" w:hAnsi="Arial" w:cs="Arial"/>
          <w:sz w:val="20"/>
          <w:szCs w:val="20"/>
        </w:rPr>
        <w:t>5</w:t>
      </w:r>
      <w:r w:rsidR="00F15D7E">
        <w:rPr>
          <w:rFonts w:ascii="Arial" w:hAnsi="Arial" w:cs="Arial"/>
          <w:sz w:val="20"/>
          <w:szCs w:val="20"/>
        </w:rPr>
        <w:t>,</w:t>
      </w:r>
      <w:r w:rsidR="00E32EFB">
        <w:rPr>
          <w:rFonts w:ascii="Arial" w:hAnsi="Arial" w:cs="Arial"/>
          <w:sz w:val="20"/>
          <w:szCs w:val="20"/>
        </w:rPr>
        <w:t xml:space="preserve"> </w:t>
      </w:r>
      <w:r w:rsidR="000F47B0">
        <w:rPr>
          <w:rFonts w:ascii="Arial" w:hAnsi="Arial" w:cs="Arial"/>
          <w:sz w:val="20"/>
          <w:szCs w:val="20"/>
        </w:rPr>
        <w:t xml:space="preserve">ou seja, </w:t>
      </w:r>
      <w:r w:rsidR="009F2B12">
        <w:rPr>
          <w:rFonts w:ascii="Arial" w:hAnsi="Arial" w:cs="Arial"/>
          <w:sz w:val="20"/>
          <w:szCs w:val="20"/>
        </w:rPr>
        <w:t>3</w:t>
      </w:r>
      <w:r w:rsidR="001915AD">
        <w:rPr>
          <w:rFonts w:ascii="Arial" w:hAnsi="Arial" w:cs="Arial"/>
          <w:sz w:val="20"/>
          <w:szCs w:val="20"/>
        </w:rPr>
        <w:t>,</w:t>
      </w:r>
      <w:r w:rsidR="009F2B12">
        <w:rPr>
          <w:rFonts w:ascii="Arial" w:hAnsi="Arial" w:cs="Arial"/>
          <w:sz w:val="20"/>
          <w:szCs w:val="20"/>
        </w:rPr>
        <w:t>1</w:t>
      </w:r>
      <w:r w:rsidR="00E32EFB">
        <w:rPr>
          <w:rFonts w:ascii="Arial" w:hAnsi="Arial" w:cs="Arial"/>
          <w:sz w:val="20"/>
          <w:szCs w:val="20"/>
        </w:rPr>
        <w:t>%</w:t>
      </w:r>
      <w:r w:rsidR="00F15D7E">
        <w:rPr>
          <w:rFonts w:ascii="Arial" w:hAnsi="Arial" w:cs="Arial"/>
          <w:sz w:val="20"/>
          <w:szCs w:val="20"/>
        </w:rPr>
        <w:t xml:space="preserve"> m</w:t>
      </w:r>
      <w:r w:rsidR="009F2B12">
        <w:rPr>
          <w:rFonts w:ascii="Arial" w:hAnsi="Arial" w:cs="Arial"/>
          <w:sz w:val="20"/>
          <w:szCs w:val="20"/>
        </w:rPr>
        <w:t>aior</w:t>
      </w:r>
      <w:r w:rsidR="001435A2">
        <w:rPr>
          <w:rFonts w:ascii="Arial" w:hAnsi="Arial" w:cs="Arial"/>
          <w:sz w:val="20"/>
          <w:szCs w:val="20"/>
        </w:rPr>
        <w:t xml:space="preserve"> </w:t>
      </w:r>
      <w:r w:rsidR="000C47A4">
        <w:rPr>
          <w:rFonts w:ascii="Arial" w:hAnsi="Arial" w:cs="Arial"/>
          <w:sz w:val="20"/>
          <w:szCs w:val="20"/>
        </w:rPr>
        <w:t>do que em</w:t>
      </w:r>
      <w:r w:rsidR="001435A2">
        <w:rPr>
          <w:rFonts w:ascii="Arial" w:hAnsi="Arial" w:cs="Arial"/>
          <w:sz w:val="20"/>
          <w:szCs w:val="20"/>
        </w:rPr>
        <w:t xml:space="preserve"> </w:t>
      </w:r>
      <w:r w:rsidR="00A2703D">
        <w:rPr>
          <w:rFonts w:ascii="Arial" w:hAnsi="Arial" w:cs="Arial"/>
          <w:sz w:val="20"/>
          <w:szCs w:val="20"/>
        </w:rPr>
        <w:t>202</w:t>
      </w:r>
      <w:r w:rsidR="009F2B12">
        <w:rPr>
          <w:rFonts w:ascii="Arial" w:hAnsi="Arial" w:cs="Arial"/>
          <w:sz w:val="20"/>
          <w:szCs w:val="20"/>
        </w:rPr>
        <w:t>4</w:t>
      </w:r>
      <w:r w:rsidR="007C346C">
        <w:rPr>
          <w:rFonts w:ascii="Arial" w:hAnsi="Arial" w:cs="Arial"/>
          <w:sz w:val="20"/>
          <w:szCs w:val="20"/>
        </w:rPr>
        <w:t>.</w:t>
      </w:r>
      <w:r w:rsidR="007C346C" w:rsidRPr="00D9547B">
        <w:rPr>
          <w:rFonts w:ascii="Arial" w:hAnsi="Arial" w:cs="Arial"/>
          <w:color w:val="000000"/>
          <w:sz w:val="20"/>
          <w:szCs w:val="20"/>
        </w:rPr>
        <w:t xml:space="preserve"> </w:t>
      </w:r>
      <w:r w:rsidR="000F47B0">
        <w:rPr>
          <w:rFonts w:ascii="Arial" w:hAnsi="Arial" w:cs="Arial"/>
          <w:color w:val="000000"/>
          <w:sz w:val="20"/>
          <w:szCs w:val="20"/>
        </w:rPr>
        <w:t>A</w:t>
      </w:r>
      <w:r w:rsidR="007C346C" w:rsidRPr="00393CB3">
        <w:rPr>
          <w:rFonts w:ascii="Arial" w:hAnsi="Arial" w:cs="Arial"/>
          <w:color w:val="000000"/>
          <w:sz w:val="20"/>
          <w:szCs w:val="20"/>
        </w:rPr>
        <w:t xml:space="preserve"> </w:t>
      </w:r>
      <w:r w:rsidR="00CB7DD6" w:rsidRPr="00393CB3">
        <w:rPr>
          <w:rFonts w:ascii="Arial" w:hAnsi="Arial" w:cs="Arial"/>
          <w:color w:val="000000"/>
          <w:sz w:val="20"/>
          <w:szCs w:val="20"/>
        </w:rPr>
        <w:t>taxa média anual de crescimento da produção de e</w:t>
      </w:r>
      <w:r w:rsidR="001435A2" w:rsidRPr="00393CB3">
        <w:rPr>
          <w:rFonts w:ascii="Arial" w:hAnsi="Arial" w:cs="Arial"/>
          <w:color w:val="000000"/>
          <w:sz w:val="20"/>
          <w:szCs w:val="20"/>
        </w:rPr>
        <w:t xml:space="preserve">tanol anidro para o período </w:t>
      </w:r>
      <w:r w:rsidR="00C54227" w:rsidRPr="00393CB3">
        <w:rPr>
          <w:rFonts w:ascii="Arial" w:hAnsi="Arial" w:cs="Arial"/>
          <w:color w:val="000000"/>
          <w:sz w:val="20"/>
          <w:szCs w:val="20"/>
        </w:rPr>
        <w:t>201</w:t>
      </w:r>
      <w:r w:rsidR="009F2B12">
        <w:rPr>
          <w:rFonts w:ascii="Arial" w:hAnsi="Arial" w:cs="Arial"/>
          <w:color w:val="000000"/>
          <w:sz w:val="20"/>
          <w:szCs w:val="20"/>
        </w:rPr>
        <w:t>6</w:t>
      </w:r>
      <w:r w:rsidR="001435A2" w:rsidRPr="00393CB3">
        <w:rPr>
          <w:rFonts w:ascii="Arial" w:hAnsi="Arial" w:cs="Arial"/>
          <w:color w:val="000000"/>
          <w:sz w:val="20"/>
          <w:szCs w:val="20"/>
        </w:rPr>
        <w:t>-</w:t>
      </w:r>
      <w:r w:rsidR="00A2703D" w:rsidRPr="00393CB3">
        <w:rPr>
          <w:rFonts w:ascii="Arial" w:hAnsi="Arial" w:cs="Arial"/>
          <w:color w:val="000000"/>
          <w:sz w:val="20"/>
          <w:szCs w:val="20"/>
        </w:rPr>
        <w:t>202</w:t>
      </w:r>
      <w:r w:rsidR="009F2B12">
        <w:rPr>
          <w:rFonts w:ascii="Arial" w:hAnsi="Arial" w:cs="Arial"/>
          <w:color w:val="000000"/>
          <w:sz w:val="20"/>
          <w:szCs w:val="20"/>
        </w:rPr>
        <w:t>5</w:t>
      </w:r>
      <w:r w:rsidR="007E542A" w:rsidRPr="00393CB3">
        <w:rPr>
          <w:rFonts w:ascii="Arial" w:hAnsi="Arial" w:cs="Arial"/>
          <w:color w:val="000000"/>
          <w:sz w:val="20"/>
          <w:szCs w:val="20"/>
        </w:rPr>
        <w:t xml:space="preserve"> </w:t>
      </w:r>
      <w:r w:rsidR="002D7822" w:rsidRPr="00393CB3">
        <w:rPr>
          <w:rFonts w:ascii="Arial" w:hAnsi="Arial" w:cs="Arial"/>
          <w:color w:val="000000"/>
          <w:sz w:val="20"/>
          <w:szCs w:val="20"/>
        </w:rPr>
        <w:t xml:space="preserve">foi de </w:t>
      </w:r>
      <w:r w:rsidR="00D9547B" w:rsidRPr="00393CB3">
        <w:rPr>
          <w:rFonts w:ascii="Arial" w:hAnsi="Arial" w:cs="Arial"/>
          <w:color w:val="000000"/>
          <w:sz w:val="20"/>
          <w:szCs w:val="20"/>
        </w:rPr>
        <w:t>1</w:t>
      </w:r>
      <w:r w:rsidR="007E542A" w:rsidRPr="00393CB3">
        <w:rPr>
          <w:rFonts w:ascii="Arial" w:hAnsi="Arial" w:cs="Arial"/>
          <w:color w:val="000000"/>
          <w:sz w:val="20"/>
          <w:szCs w:val="20"/>
        </w:rPr>
        <w:t>,</w:t>
      </w:r>
      <w:r w:rsidR="009F2B12">
        <w:rPr>
          <w:rFonts w:ascii="Arial" w:hAnsi="Arial" w:cs="Arial"/>
          <w:color w:val="000000"/>
          <w:sz w:val="20"/>
          <w:szCs w:val="20"/>
        </w:rPr>
        <w:t>3</w:t>
      </w:r>
      <w:r w:rsidR="00CB7DD6" w:rsidRPr="00393CB3">
        <w:rPr>
          <w:rFonts w:ascii="Arial" w:hAnsi="Arial" w:cs="Arial"/>
          <w:color w:val="000000"/>
          <w:sz w:val="20"/>
          <w:szCs w:val="20"/>
        </w:rPr>
        <w:t>%.</w:t>
      </w:r>
    </w:p>
    <w:p w14:paraId="110FFD37" w14:textId="77777777" w:rsidR="009632D1" w:rsidRDefault="009632D1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1F2A95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47B0">
        <w:rPr>
          <w:rFonts w:ascii="Arial" w:hAnsi="Arial" w:cs="Arial"/>
          <w:sz w:val="20"/>
          <w:szCs w:val="20"/>
        </w:rPr>
        <w:t>A região Sudeste, maior produtora de etanol anidro do país, totalizou cerca de 6,1 milhões de m³ produzidos, o que equivale a 46,4% do total nacional e representa uma queda de 8,9% em relação a 2024.</w:t>
      </w:r>
    </w:p>
    <w:p w14:paraId="48B18A7E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1AE0FC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47B0">
        <w:rPr>
          <w:rFonts w:ascii="Arial" w:hAnsi="Arial" w:cs="Arial"/>
          <w:sz w:val="20"/>
          <w:szCs w:val="20"/>
        </w:rPr>
        <w:t>A região Centro-Oeste, segunda maior produtora, totalizou cerca de 5,3 milhões de m³ produzidos, o que equivale a 40,3% do total nacional e representa um crescimento de 13,7%.</w:t>
      </w:r>
    </w:p>
    <w:p w14:paraId="4835FBE3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0D1339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47B0">
        <w:rPr>
          <w:rFonts w:ascii="Arial" w:hAnsi="Arial" w:cs="Arial"/>
          <w:sz w:val="20"/>
          <w:szCs w:val="20"/>
        </w:rPr>
        <w:t>A região Nordeste, terceira maior produtora, totalizou cerca de 1,1 milhão de m³ produzidos, o que equivale a 8,4% do total nacional e representa um crescimento de 60,1%.</w:t>
      </w:r>
    </w:p>
    <w:p w14:paraId="42A750CB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D3427B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47B0">
        <w:rPr>
          <w:rFonts w:ascii="Arial" w:hAnsi="Arial" w:cs="Arial"/>
          <w:sz w:val="20"/>
          <w:szCs w:val="20"/>
        </w:rPr>
        <w:t>A região Sul, quarta maior produtora, totalizou cerca de 520 mil m³ produzidos, o que equivale a 4,0% do total nacional e representa uma queda de 9,0%.</w:t>
      </w:r>
    </w:p>
    <w:p w14:paraId="6EAA2E24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B90388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47B0">
        <w:rPr>
          <w:rFonts w:ascii="Arial" w:hAnsi="Arial" w:cs="Arial"/>
          <w:sz w:val="20"/>
          <w:szCs w:val="20"/>
        </w:rPr>
        <w:t>Por fim, a região Norte, menor produtora de etanol do país, totalizou cerca de 117 mil m³ produzidos, o que equivale a 0,9% do total nacional e representa uma queda de 15,2%.</w:t>
      </w:r>
    </w:p>
    <w:p w14:paraId="01C933FA" w14:textId="77777777" w:rsidR="000F47B0" w:rsidRP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3DBA38" w14:textId="6F808783" w:rsidR="000F47B0" w:rsidRDefault="000F47B0" w:rsidP="000F47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47B0">
        <w:rPr>
          <w:rFonts w:ascii="Arial" w:hAnsi="Arial" w:cs="Arial"/>
          <w:sz w:val="20"/>
          <w:szCs w:val="20"/>
        </w:rPr>
        <w:t>Por estados, São Paulo foi o maior produtor de etanol anidro, com volume de 5 milhões de m³, correspondente a 38,2% da produção nacional. Em seguida vieram os estados de Mato Grosso (19,9% do total; alta de 23,9%) e Goiás (11,9% do total; alta de 15,6%).</w:t>
      </w:r>
    </w:p>
    <w:p w14:paraId="083B3C11" w14:textId="77777777" w:rsidR="000F47B0" w:rsidRPr="008676E1" w:rsidRDefault="000F47B0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818907" w14:textId="77777777" w:rsidR="009D24CD" w:rsidRDefault="009D24CD">
      <w:pPr>
        <w:pStyle w:val="Ttulo5"/>
        <w:rPr>
          <w:color w:val="FF0000"/>
          <w:sz w:val="20"/>
          <w:szCs w:val="20"/>
        </w:rPr>
      </w:pPr>
      <w:r w:rsidRPr="008676E1">
        <w:rPr>
          <w:color w:val="FF0000"/>
          <w:sz w:val="20"/>
          <w:szCs w:val="20"/>
        </w:rPr>
        <w:t>Tabela 4.2</w:t>
      </w:r>
    </w:p>
    <w:p w14:paraId="1F72F646" w14:textId="77777777" w:rsidR="00F70102" w:rsidRPr="00F70102" w:rsidRDefault="00F70102" w:rsidP="00F70102"/>
    <w:p w14:paraId="029BE37A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4.3</w:t>
      </w:r>
    </w:p>
    <w:p w14:paraId="28E263BB" w14:textId="77777777" w:rsidR="009D24CD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4.4</w:t>
      </w:r>
    </w:p>
    <w:p w14:paraId="08CE6F91" w14:textId="77777777" w:rsidR="00F70102" w:rsidRPr="00A17F51" w:rsidRDefault="00F7010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DDBD91" w14:textId="576ACA63" w:rsidR="00F4718D" w:rsidRDefault="00E12238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Como mencionado anteriormente, </w:t>
      </w:r>
      <w:r w:rsidR="6CDE21F2" w:rsidRPr="44FB0632">
        <w:rPr>
          <w:rFonts w:ascii="Arial" w:hAnsi="Arial" w:cs="Arial"/>
          <w:sz w:val="20"/>
          <w:szCs w:val="20"/>
        </w:rPr>
        <w:t>a</w:t>
      </w:r>
      <w:r w:rsidR="3E4CEBD4" w:rsidRPr="44FB0632">
        <w:rPr>
          <w:rFonts w:ascii="Arial" w:hAnsi="Arial" w:cs="Arial"/>
          <w:sz w:val="20"/>
          <w:szCs w:val="20"/>
        </w:rPr>
        <w:t xml:space="preserve"> prod</w:t>
      </w:r>
      <w:r w:rsidR="6D9AEDBF" w:rsidRPr="44FB0632">
        <w:rPr>
          <w:rFonts w:ascii="Arial" w:hAnsi="Arial" w:cs="Arial"/>
          <w:sz w:val="20"/>
          <w:szCs w:val="20"/>
        </w:rPr>
        <w:t xml:space="preserve">ução de etanol hidratado </w:t>
      </w:r>
      <w:r w:rsidR="005872E3">
        <w:rPr>
          <w:rFonts w:ascii="Arial" w:hAnsi="Arial" w:cs="Arial"/>
          <w:sz w:val="20"/>
          <w:szCs w:val="20"/>
        </w:rPr>
        <w:t>diminuiu</w:t>
      </w:r>
      <w:r w:rsidR="6D9AEDBF" w:rsidRPr="44FB0632">
        <w:rPr>
          <w:rFonts w:ascii="Arial" w:hAnsi="Arial" w:cs="Arial"/>
          <w:sz w:val="20"/>
          <w:szCs w:val="20"/>
        </w:rPr>
        <w:t xml:space="preserve"> </w:t>
      </w:r>
      <w:r w:rsidR="005872E3">
        <w:rPr>
          <w:rFonts w:ascii="Arial" w:hAnsi="Arial" w:cs="Arial"/>
          <w:sz w:val="20"/>
          <w:szCs w:val="20"/>
        </w:rPr>
        <w:t>5</w:t>
      </w:r>
      <w:r w:rsidR="004D1CF5">
        <w:rPr>
          <w:rFonts w:ascii="Arial" w:hAnsi="Arial" w:cs="Arial"/>
          <w:sz w:val="20"/>
          <w:szCs w:val="20"/>
        </w:rPr>
        <w:t>,</w:t>
      </w:r>
      <w:r w:rsidR="005872E3">
        <w:rPr>
          <w:rFonts w:ascii="Arial" w:hAnsi="Arial" w:cs="Arial"/>
          <w:sz w:val="20"/>
          <w:szCs w:val="20"/>
        </w:rPr>
        <w:t>9</w:t>
      </w:r>
      <w:r w:rsidR="3E4CEBD4" w:rsidRPr="44FB0632">
        <w:rPr>
          <w:rFonts w:ascii="Arial" w:hAnsi="Arial" w:cs="Arial"/>
          <w:sz w:val="20"/>
          <w:szCs w:val="20"/>
        </w:rPr>
        <w:t>%</w:t>
      </w:r>
      <w:r w:rsidR="13D4B862" w:rsidRPr="44FB0632">
        <w:rPr>
          <w:rFonts w:ascii="Arial" w:hAnsi="Arial" w:cs="Arial"/>
          <w:sz w:val="20"/>
          <w:szCs w:val="20"/>
        </w:rPr>
        <w:t xml:space="preserve"> no Brasil</w:t>
      </w:r>
      <w:r w:rsidR="3E4CEBD4" w:rsidRPr="44FB0632">
        <w:rPr>
          <w:rFonts w:ascii="Arial" w:hAnsi="Arial" w:cs="Arial"/>
          <w:sz w:val="20"/>
          <w:szCs w:val="20"/>
        </w:rPr>
        <w:t xml:space="preserve">, </w:t>
      </w:r>
      <w:r w:rsidR="000F47B0">
        <w:rPr>
          <w:rFonts w:ascii="Arial" w:hAnsi="Arial" w:cs="Arial"/>
          <w:sz w:val="20"/>
          <w:szCs w:val="20"/>
        </w:rPr>
        <w:t xml:space="preserve">em 2025, </w:t>
      </w:r>
      <w:r w:rsidR="3E4CEBD4" w:rsidRPr="44FB0632">
        <w:rPr>
          <w:rFonts w:ascii="Arial" w:hAnsi="Arial" w:cs="Arial"/>
          <w:sz w:val="20"/>
          <w:szCs w:val="20"/>
        </w:rPr>
        <w:t>t</w:t>
      </w:r>
      <w:r w:rsidR="747A02EB" w:rsidRPr="44FB0632">
        <w:rPr>
          <w:rFonts w:ascii="Arial" w:hAnsi="Arial" w:cs="Arial"/>
          <w:sz w:val="20"/>
          <w:szCs w:val="20"/>
        </w:rPr>
        <w:t>o</w:t>
      </w:r>
      <w:r w:rsidR="2042E64A" w:rsidRPr="44FB0632">
        <w:rPr>
          <w:rFonts w:ascii="Arial" w:hAnsi="Arial" w:cs="Arial"/>
          <w:sz w:val="20"/>
          <w:szCs w:val="20"/>
        </w:rPr>
        <w:t xml:space="preserve">talizando </w:t>
      </w:r>
      <w:r w:rsidR="004D1CF5">
        <w:rPr>
          <w:rFonts w:ascii="Arial" w:hAnsi="Arial" w:cs="Arial"/>
          <w:sz w:val="20"/>
          <w:szCs w:val="20"/>
        </w:rPr>
        <w:t>2</w:t>
      </w:r>
      <w:r w:rsidR="005872E3">
        <w:rPr>
          <w:rFonts w:ascii="Arial" w:hAnsi="Arial" w:cs="Arial"/>
          <w:sz w:val="20"/>
          <w:szCs w:val="20"/>
        </w:rPr>
        <w:t>2</w:t>
      </w:r>
      <w:r w:rsidR="004D1CF5">
        <w:rPr>
          <w:rFonts w:ascii="Arial" w:hAnsi="Arial" w:cs="Arial"/>
          <w:sz w:val="20"/>
          <w:szCs w:val="20"/>
        </w:rPr>
        <w:t>,</w:t>
      </w:r>
      <w:r w:rsidR="005872E3">
        <w:rPr>
          <w:rFonts w:ascii="Arial" w:hAnsi="Arial" w:cs="Arial"/>
          <w:sz w:val="20"/>
          <w:szCs w:val="20"/>
        </w:rPr>
        <w:t>7</w:t>
      </w:r>
      <w:r w:rsidR="00F912B3">
        <w:rPr>
          <w:rFonts w:ascii="Arial" w:hAnsi="Arial" w:cs="Arial"/>
          <w:sz w:val="20"/>
          <w:szCs w:val="20"/>
        </w:rPr>
        <w:t>1</w:t>
      </w:r>
      <w:r w:rsidR="004D1CF5">
        <w:rPr>
          <w:rFonts w:ascii="Arial" w:hAnsi="Arial" w:cs="Arial"/>
          <w:sz w:val="20"/>
          <w:szCs w:val="20"/>
        </w:rPr>
        <w:t xml:space="preserve"> </w:t>
      </w:r>
      <w:r w:rsidR="3E4CEBD4" w:rsidRPr="44FB0632">
        <w:rPr>
          <w:rFonts w:ascii="Arial" w:hAnsi="Arial" w:cs="Arial"/>
          <w:sz w:val="20"/>
          <w:szCs w:val="20"/>
        </w:rPr>
        <w:t xml:space="preserve">milhões de </w:t>
      </w:r>
      <w:r w:rsidR="00C54227">
        <w:rPr>
          <w:rFonts w:ascii="Arial" w:hAnsi="Arial" w:cs="Arial"/>
          <w:sz w:val="20"/>
          <w:szCs w:val="20"/>
        </w:rPr>
        <w:t>m³</w:t>
      </w:r>
      <w:r w:rsidR="2042E64A" w:rsidRPr="44FB0632">
        <w:rPr>
          <w:rFonts w:ascii="Arial" w:hAnsi="Arial" w:cs="Arial"/>
          <w:sz w:val="20"/>
          <w:szCs w:val="20"/>
        </w:rPr>
        <w:t xml:space="preserve">, </w:t>
      </w:r>
      <w:r w:rsidR="03350214" w:rsidRPr="44FB0632">
        <w:rPr>
          <w:rFonts w:ascii="Arial" w:hAnsi="Arial" w:cs="Arial"/>
          <w:sz w:val="20"/>
          <w:szCs w:val="20"/>
        </w:rPr>
        <w:t xml:space="preserve">o equivalente a </w:t>
      </w:r>
      <w:r w:rsidR="00E33938">
        <w:rPr>
          <w:rFonts w:ascii="Arial" w:hAnsi="Arial" w:cs="Arial"/>
          <w:sz w:val="20"/>
          <w:szCs w:val="20"/>
        </w:rPr>
        <w:t>6</w:t>
      </w:r>
      <w:r w:rsidR="005872E3">
        <w:rPr>
          <w:rFonts w:ascii="Arial" w:hAnsi="Arial" w:cs="Arial"/>
          <w:sz w:val="20"/>
          <w:szCs w:val="20"/>
        </w:rPr>
        <w:t>3</w:t>
      </w:r>
      <w:r w:rsidR="0591BE63" w:rsidRPr="44FB0632">
        <w:rPr>
          <w:rFonts w:ascii="Arial" w:hAnsi="Arial" w:cs="Arial"/>
          <w:sz w:val="20"/>
          <w:szCs w:val="20"/>
        </w:rPr>
        <w:t>,</w:t>
      </w:r>
      <w:r w:rsidR="005872E3">
        <w:rPr>
          <w:rFonts w:ascii="Arial" w:hAnsi="Arial" w:cs="Arial"/>
          <w:sz w:val="20"/>
          <w:szCs w:val="20"/>
        </w:rPr>
        <w:t>3</w:t>
      </w:r>
      <w:r w:rsidR="3E4CEBD4" w:rsidRPr="44FB0632">
        <w:rPr>
          <w:rFonts w:ascii="Arial" w:hAnsi="Arial" w:cs="Arial"/>
          <w:sz w:val="20"/>
          <w:szCs w:val="20"/>
        </w:rPr>
        <w:t>% da produção nacional de etanol</w:t>
      </w:r>
      <w:r w:rsidR="426CED85" w:rsidRPr="44FB0632">
        <w:rPr>
          <w:rFonts w:ascii="Arial" w:hAnsi="Arial" w:cs="Arial"/>
          <w:sz w:val="20"/>
          <w:szCs w:val="20"/>
        </w:rPr>
        <w:t xml:space="preserve"> (anidro + </w:t>
      </w:r>
      <w:r w:rsidR="426CED85" w:rsidRPr="44FB0632">
        <w:rPr>
          <w:rFonts w:ascii="Arial" w:hAnsi="Arial" w:cs="Arial"/>
          <w:sz w:val="20"/>
          <w:szCs w:val="20"/>
        </w:rPr>
        <w:lastRenderedPageBreak/>
        <w:t>hidratado)</w:t>
      </w:r>
      <w:r w:rsidR="3E4CEBD4" w:rsidRPr="44FB0632">
        <w:rPr>
          <w:rFonts w:ascii="Arial" w:hAnsi="Arial" w:cs="Arial"/>
          <w:sz w:val="20"/>
          <w:szCs w:val="20"/>
        </w:rPr>
        <w:t xml:space="preserve">. </w:t>
      </w:r>
      <w:r w:rsidR="3E4CEBD4" w:rsidRPr="00E92542">
        <w:rPr>
          <w:rFonts w:ascii="Arial" w:hAnsi="Arial" w:cs="Arial"/>
          <w:sz w:val="20"/>
          <w:szCs w:val="20"/>
        </w:rPr>
        <w:t>A taxa médi</w:t>
      </w:r>
      <w:r w:rsidR="39D7483A" w:rsidRPr="00E92542">
        <w:rPr>
          <w:rFonts w:ascii="Arial" w:hAnsi="Arial" w:cs="Arial"/>
          <w:sz w:val="20"/>
          <w:szCs w:val="20"/>
        </w:rPr>
        <w:t xml:space="preserve">a de crescimento </w:t>
      </w:r>
      <w:r w:rsidR="4B2348DF" w:rsidRPr="00E92542">
        <w:rPr>
          <w:rFonts w:ascii="Arial" w:hAnsi="Arial" w:cs="Arial"/>
          <w:sz w:val="20"/>
          <w:szCs w:val="20"/>
        </w:rPr>
        <w:t xml:space="preserve">na produção de etanol hidratado </w:t>
      </w:r>
      <w:r w:rsidR="39D7483A" w:rsidRPr="00E92542">
        <w:rPr>
          <w:rFonts w:ascii="Arial" w:hAnsi="Arial" w:cs="Arial"/>
          <w:sz w:val="20"/>
          <w:szCs w:val="20"/>
        </w:rPr>
        <w:t xml:space="preserve">no período </w:t>
      </w:r>
      <w:r w:rsidR="00C54227" w:rsidRPr="00E92542">
        <w:rPr>
          <w:rFonts w:ascii="Arial" w:hAnsi="Arial" w:cs="Arial"/>
          <w:sz w:val="20"/>
          <w:szCs w:val="20"/>
        </w:rPr>
        <w:t>201</w:t>
      </w:r>
      <w:r w:rsidR="005872E3">
        <w:rPr>
          <w:rFonts w:ascii="Arial" w:hAnsi="Arial" w:cs="Arial"/>
          <w:sz w:val="20"/>
          <w:szCs w:val="20"/>
        </w:rPr>
        <w:t>6</w:t>
      </w:r>
      <w:r w:rsidR="39D7483A" w:rsidRPr="00E92542">
        <w:rPr>
          <w:rFonts w:ascii="Arial" w:hAnsi="Arial" w:cs="Arial"/>
          <w:sz w:val="20"/>
          <w:szCs w:val="20"/>
        </w:rPr>
        <w:t>-</w:t>
      </w:r>
      <w:r w:rsidR="00A2703D" w:rsidRPr="00E92542">
        <w:rPr>
          <w:rFonts w:ascii="Arial" w:hAnsi="Arial" w:cs="Arial"/>
          <w:sz w:val="20"/>
          <w:szCs w:val="20"/>
        </w:rPr>
        <w:t>202</w:t>
      </w:r>
      <w:r w:rsidR="005872E3">
        <w:rPr>
          <w:rFonts w:ascii="Arial" w:hAnsi="Arial" w:cs="Arial"/>
          <w:sz w:val="20"/>
          <w:szCs w:val="20"/>
        </w:rPr>
        <w:t>5</w:t>
      </w:r>
      <w:r w:rsidR="6D9AEDBF" w:rsidRPr="00E92542">
        <w:rPr>
          <w:rFonts w:ascii="Arial" w:hAnsi="Arial" w:cs="Arial"/>
          <w:sz w:val="20"/>
          <w:szCs w:val="20"/>
        </w:rPr>
        <w:t xml:space="preserve"> foi de </w:t>
      </w:r>
      <w:r w:rsidR="0027518D" w:rsidRPr="00E92542">
        <w:rPr>
          <w:rFonts w:ascii="Arial" w:hAnsi="Arial" w:cs="Arial"/>
          <w:sz w:val="20"/>
          <w:szCs w:val="20"/>
        </w:rPr>
        <w:t>2</w:t>
      </w:r>
      <w:r w:rsidR="2B01635A" w:rsidRPr="00E92542">
        <w:rPr>
          <w:rFonts w:ascii="Arial" w:hAnsi="Arial" w:cs="Arial"/>
          <w:sz w:val="20"/>
          <w:szCs w:val="20"/>
        </w:rPr>
        <w:t>,</w:t>
      </w:r>
      <w:r w:rsidR="005872E3">
        <w:rPr>
          <w:rFonts w:ascii="Arial" w:hAnsi="Arial" w:cs="Arial"/>
          <w:sz w:val="20"/>
          <w:szCs w:val="20"/>
        </w:rPr>
        <w:t>9</w:t>
      </w:r>
      <w:r w:rsidR="3E4CEBD4" w:rsidRPr="00E92542">
        <w:rPr>
          <w:rFonts w:ascii="Arial" w:hAnsi="Arial" w:cs="Arial"/>
          <w:sz w:val="20"/>
          <w:szCs w:val="20"/>
        </w:rPr>
        <w:t>%.</w:t>
      </w:r>
    </w:p>
    <w:p w14:paraId="61CDCEAD" w14:textId="77777777" w:rsidR="00412FA1" w:rsidRPr="008676E1" w:rsidRDefault="00412FA1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BE509B" w14:textId="07A17A37" w:rsidR="0098265F" w:rsidRDefault="00F51986" w:rsidP="44FB0632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202</w:t>
      </w:r>
      <w:r w:rsidR="005872E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</w:t>
      </w:r>
      <w:r w:rsidR="005872E3">
        <w:rPr>
          <w:rFonts w:ascii="Arial" w:hAnsi="Arial" w:cs="Arial"/>
          <w:sz w:val="20"/>
          <w:szCs w:val="20"/>
        </w:rPr>
        <w:t>as Regiões Nor</w:t>
      </w:r>
      <w:r w:rsidR="0098265F">
        <w:rPr>
          <w:rFonts w:ascii="Arial" w:hAnsi="Arial" w:cs="Arial"/>
          <w:sz w:val="20"/>
          <w:szCs w:val="20"/>
        </w:rPr>
        <w:t>te</w:t>
      </w:r>
      <w:r w:rsidR="005872E3">
        <w:rPr>
          <w:rFonts w:ascii="Arial" w:hAnsi="Arial" w:cs="Arial"/>
          <w:sz w:val="20"/>
          <w:szCs w:val="20"/>
        </w:rPr>
        <w:t xml:space="preserve"> e Sudeste apresentaram queda nos volumes produzidos de etanol hidratado em relação </w:t>
      </w:r>
      <w:r w:rsidR="000F47B0">
        <w:rPr>
          <w:rFonts w:ascii="Arial" w:hAnsi="Arial" w:cs="Arial"/>
          <w:sz w:val="20"/>
          <w:szCs w:val="20"/>
        </w:rPr>
        <w:t>a</w:t>
      </w:r>
      <w:r w:rsidR="005872E3">
        <w:rPr>
          <w:rFonts w:ascii="Arial" w:hAnsi="Arial" w:cs="Arial"/>
          <w:sz w:val="20"/>
          <w:szCs w:val="20"/>
        </w:rPr>
        <w:t xml:space="preserve"> 2024,</w:t>
      </w:r>
      <w:r w:rsidR="0098265F">
        <w:rPr>
          <w:rFonts w:ascii="Arial" w:hAnsi="Arial" w:cs="Arial"/>
          <w:sz w:val="20"/>
          <w:szCs w:val="20"/>
        </w:rPr>
        <w:t xml:space="preserve"> de 9% e 17,7%, </w:t>
      </w:r>
      <w:r w:rsidR="005872E3">
        <w:rPr>
          <w:rFonts w:ascii="Arial" w:hAnsi="Arial" w:cs="Arial"/>
          <w:sz w:val="20"/>
          <w:szCs w:val="20"/>
        </w:rPr>
        <w:t>totalizando 112</w:t>
      </w:r>
      <w:r w:rsidR="000F47B0">
        <w:rPr>
          <w:rFonts w:ascii="Arial" w:hAnsi="Arial" w:cs="Arial"/>
          <w:sz w:val="20"/>
          <w:szCs w:val="20"/>
        </w:rPr>
        <w:t>,</w:t>
      </w:r>
      <w:r w:rsidR="005872E3">
        <w:rPr>
          <w:rFonts w:ascii="Arial" w:hAnsi="Arial" w:cs="Arial"/>
          <w:sz w:val="20"/>
          <w:szCs w:val="20"/>
        </w:rPr>
        <w:t xml:space="preserve">5 mil </w:t>
      </w:r>
      <w:r w:rsidR="0098265F" w:rsidRPr="0098265F">
        <w:rPr>
          <w:rFonts w:ascii="Arial" w:hAnsi="Arial" w:cs="Arial"/>
          <w:sz w:val="20"/>
          <w:szCs w:val="20"/>
        </w:rPr>
        <w:t>m³,</w:t>
      </w:r>
      <w:r w:rsidR="0098265F">
        <w:rPr>
          <w:rFonts w:ascii="Arial" w:hAnsi="Arial" w:cs="Arial"/>
          <w:sz w:val="20"/>
          <w:szCs w:val="20"/>
        </w:rPr>
        <w:t xml:space="preserve"> e 8,7 </w:t>
      </w:r>
      <w:r w:rsidR="0098265F" w:rsidRPr="0098265F">
        <w:rPr>
          <w:rFonts w:ascii="Arial" w:hAnsi="Arial" w:cs="Arial"/>
          <w:sz w:val="20"/>
          <w:szCs w:val="20"/>
        </w:rPr>
        <w:t>mil</w:t>
      </w:r>
      <w:r w:rsidR="0098265F">
        <w:rPr>
          <w:rFonts w:ascii="Arial" w:hAnsi="Arial" w:cs="Arial"/>
          <w:sz w:val="20"/>
          <w:szCs w:val="20"/>
        </w:rPr>
        <w:t>hões de</w:t>
      </w:r>
      <w:r w:rsidR="0098265F" w:rsidRPr="0098265F">
        <w:rPr>
          <w:rFonts w:ascii="Arial" w:hAnsi="Arial" w:cs="Arial"/>
          <w:sz w:val="20"/>
          <w:szCs w:val="20"/>
        </w:rPr>
        <w:t xml:space="preserve"> m³,</w:t>
      </w:r>
      <w:r w:rsidR="0098265F">
        <w:rPr>
          <w:rFonts w:ascii="Arial" w:hAnsi="Arial" w:cs="Arial"/>
          <w:sz w:val="20"/>
          <w:szCs w:val="20"/>
        </w:rPr>
        <w:t xml:space="preserve"> respectivamente. </w:t>
      </w:r>
      <w:r w:rsidR="000F47B0">
        <w:rPr>
          <w:rFonts w:ascii="Arial" w:hAnsi="Arial" w:cs="Arial"/>
          <w:sz w:val="20"/>
          <w:szCs w:val="20"/>
        </w:rPr>
        <w:t>As</w:t>
      </w:r>
      <w:r w:rsidR="0098265F">
        <w:rPr>
          <w:rFonts w:ascii="Arial" w:hAnsi="Arial" w:cs="Arial"/>
          <w:sz w:val="20"/>
          <w:szCs w:val="20"/>
        </w:rPr>
        <w:t xml:space="preserve"> regiões Nordeste, Sul e Centro-Oeste registra</w:t>
      </w:r>
      <w:r w:rsidR="00261887">
        <w:rPr>
          <w:rFonts w:ascii="Arial" w:hAnsi="Arial" w:cs="Arial"/>
          <w:sz w:val="20"/>
          <w:szCs w:val="20"/>
        </w:rPr>
        <w:t>ra</w:t>
      </w:r>
      <w:r w:rsidR="0098265F">
        <w:rPr>
          <w:rFonts w:ascii="Arial" w:hAnsi="Arial" w:cs="Arial"/>
          <w:sz w:val="20"/>
          <w:szCs w:val="20"/>
        </w:rPr>
        <w:t xml:space="preserve">m aumento de 2,1%, 26,9% e 2,5%, </w:t>
      </w:r>
      <w:r w:rsidR="004111D2">
        <w:rPr>
          <w:rFonts w:ascii="Arial" w:hAnsi="Arial" w:cs="Arial"/>
          <w:sz w:val="20"/>
          <w:szCs w:val="20"/>
        </w:rPr>
        <w:t xml:space="preserve">totalizando 1,2 milhão de </w:t>
      </w:r>
      <w:r w:rsidR="004111D2" w:rsidRPr="0098265F">
        <w:rPr>
          <w:rFonts w:ascii="Arial" w:hAnsi="Arial" w:cs="Arial"/>
          <w:sz w:val="20"/>
          <w:szCs w:val="20"/>
        </w:rPr>
        <w:t>m³</w:t>
      </w:r>
      <w:r w:rsidR="004111D2">
        <w:rPr>
          <w:rFonts w:ascii="Arial" w:hAnsi="Arial" w:cs="Arial"/>
          <w:sz w:val="20"/>
          <w:szCs w:val="20"/>
        </w:rPr>
        <w:t xml:space="preserve">, 725,3 mil </w:t>
      </w:r>
      <w:r w:rsidR="004111D2" w:rsidRPr="0098265F">
        <w:rPr>
          <w:rFonts w:ascii="Arial" w:hAnsi="Arial" w:cs="Arial"/>
          <w:sz w:val="20"/>
          <w:szCs w:val="20"/>
        </w:rPr>
        <w:t>m³</w:t>
      </w:r>
      <w:r w:rsidR="004111D2">
        <w:rPr>
          <w:rFonts w:ascii="Arial" w:hAnsi="Arial" w:cs="Arial"/>
          <w:sz w:val="20"/>
          <w:szCs w:val="20"/>
        </w:rPr>
        <w:t xml:space="preserve">, e 11,9 </w:t>
      </w:r>
      <w:r w:rsidR="004111D2" w:rsidRPr="0098265F">
        <w:rPr>
          <w:rFonts w:ascii="Arial" w:hAnsi="Arial" w:cs="Arial"/>
          <w:sz w:val="20"/>
          <w:szCs w:val="20"/>
        </w:rPr>
        <w:t>mil</w:t>
      </w:r>
      <w:r w:rsidR="004111D2">
        <w:rPr>
          <w:rFonts w:ascii="Arial" w:hAnsi="Arial" w:cs="Arial"/>
          <w:sz w:val="20"/>
          <w:szCs w:val="20"/>
        </w:rPr>
        <w:t>hões de</w:t>
      </w:r>
      <w:r w:rsidR="004111D2" w:rsidRPr="0098265F">
        <w:rPr>
          <w:rFonts w:ascii="Arial" w:hAnsi="Arial" w:cs="Arial"/>
          <w:sz w:val="20"/>
          <w:szCs w:val="20"/>
        </w:rPr>
        <w:t xml:space="preserve"> m³</w:t>
      </w:r>
      <w:r w:rsidR="004111D2">
        <w:rPr>
          <w:rFonts w:ascii="Arial" w:hAnsi="Arial" w:cs="Arial"/>
          <w:sz w:val="20"/>
          <w:szCs w:val="20"/>
        </w:rPr>
        <w:t>, respectivamente.</w:t>
      </w:r>
    </w:p>
    <w:p w14:paraId="12261C29" w14:textId="77777777" w:rsidR="005872E3" w:rsidRDefault="005872E3" w:rsidP="44FB0632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71D24FEB" w14:textId="2556FC07" w:rsidR="00261887" w:rsidRDefault="00261887" w:rsidP="44FB0632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261887">
        <w:rPr>
          <w:rFonts w:ascii="Arial" w:hAnsi="Arial" w:cs="Arial"/>
          <w:sz w:val="20"/>
          <w:szCs w:val="20"/>
        </w:rPr>
        <w:t>Considerando os estados, São Paulo foi o que apresentou a maior produção de etanol hidratado, com volume de 6,9 milhões de m³, correspondente a 30,3% da produção nacional, o que representa uma queda de 16,5%. Em segundo lugar, Mato Grosso produziu o correspondente a 19,6% do total nacional, registrando queda de 0,1%. Em terceiro, Mato Grosso do Sul produziu 16,6% do total nacional, o que corresponde a um crescimento de 30,2%</w:t>
      </w:r>
    </w:p>
    <w:p w14:paraId="358EEECF" w14:textId="77777777" w:rsidR="00261887" w:rsidRDefault="00261887" w:rsidP="44FB0632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6753C9F" w14:textId="030D036C" w:rsidR="009D24CD" w:rsidRPr="008676E1" w:rsidRDefault="009D24CD">
      <w:pPr>
        <w:pStyle w:val="Ttulo2"/>
        <w:rPr>
          <w:sz w:val="20"/>
          <w:szCs w:val="20"/>
        </w:rPr>
      </w:pPr>
      <w:r w:rsidRPr="008676E1">
        <w:rPr>
          <w:rFonts w:ascii="Arial" w:hAnsi="Arial" w:cs="Arial"/>
          <w:b w:val="0"/>
          <w:bCs w:val="0"/>
          <w:sz w:val="20"/>
          <w:szCs w:val="20"/>
        </w:rPr>
        <w:t>Tabela 4.</w:t>
      </w:r>
      <w:r w:rsidR="00FC6C77">
        <w:rPr>
          <w:rFonts w:ascii="Arial" w:hAnsi="Arial" w:cs="Arial"/>
          <w:b w:val="0"/>
          <w:bCs w:val="0"/>
          <w:sz w:val="20"/>
          <w:szCs w:val="20"/>
        </w:rPr>
        <w:t>3</w:t>
      </w:r>
    </w:p>
    <w:p w14:paraId="52E56223" w14:textId="77777777" w:rsidR="009D24CD" w:rsidRPr="00A17F51" w:rsidRDefault="009D24C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B18A65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4.5</w:t>
      </w:r>
    </w:p>
    <w:p w14:paraId="2B54DD71" w14:textId="2CB04EBC" w:rsidR="009D24CD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4.6</w:t>
      </w:r>
    </w:p>
    <w:p w14:paraId="010BC5F6" w14:textId="77777777" w:rsidR="0048106D" w:rsidRPr="0048106D" w:rsidRDefault="004810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14846" w14:textId="77777777" w:rsidR="0048106D" w:rsidRPr="0048106D" w:rsidRDefault="004810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7249E0" w14:textId="12EA9FFC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676E1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1.</w:t>
      </w:r>
      <w:r w:rsidRPr="008676E1">
        <w:rPr>
          <w:rFonts w:ascii="Arial" w:hAnsi="Arial" w:cs="Arial"/>
          <w:b/>
          <w:bCs/>
          <w:sz w:val="20"/>
          <w:szCs w:val="20"/>
        </w:rPr>
        <w:t xml:space="preserve">2 </w:t>
      </w:r>
      <w:r w:rsidR="00615561" w:rsidRPr="00615561">
        <w:rPr>
          <w:rFonts w:ascii="Arial" w:hAnsi="Arial" w:cs="Arial"/>
          <w:b/>
          <w:bCs/>
          <w:sz w:val="20"/>
          <w:szCs w:val="20"/>
        </w:rPr>
        <w:t xml:space="preserve">Importação e </w:t>
      </w:r>
      <w:r w:rsidR="00261887">
        <w:rPr>
          <w:rFonts w:ascii="Arial" w:hAnsi="Arial" w:cs="Arial"/>
          <w:b/>
          <w:bCs/>
          <w:sz w:val="20"/>
          <w:szCs w:val="20"/>
        </w:rPr>
        <w:t>e</w:t>
      </w:r>
      <w:r w:rsidR="00615561" w:rsidRPr="00615561">
        <w:rPr>
          <w:rFonts w:ascii="Arial" w:hAnsi="Arial" w:cs="Arial"/>
          <w:b/>
          <w:bCs/>
          <w:sz w:val="20"/>
          <w:szCs w:val="20"/>
        </w:rPr>
        <w:t>xportação</w:t>
      </w:r>
    </w:p>
    <w:p w14:paraId="07547A01" w14:textId="77777777" w:rsidR="00CD159F" w:rsidRPr="008676E1" w:rsidRDefault="00CD15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A2AFE91" w14:textId="090B6DCF" w:rsidR="000629A1" w:rsidRDefault="39D7483A" w:rsidP="00EE0D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EE0D64">
        <w:rPr>
          <w:rFonts w:ascii="Arial" w:hAnsi="Arial" w:cs="Arial"/>
          <w:sz w:val="20"/>
          <w:szCs w:val="20"/>
        </w:rPr>
        <w:t>5</w:t>
      </w:r>
      <w:r w:rsidR="68FA20A1" w:rsidRPr="44FB0632">
        <w:rPr>
          <w:rFonts w:ascii="Arial" w:hAnsi="Arial" w:cs="Arial"/>
          <w:sz w:val="20"/>
          <w:szCs w:val="20"/>
        </w:rPr>
        <w:t xml:space="preserve">, o Brasil </w:t>
      </w:r>
      <w:r w:rsidR="44BC1A9B" w:rsidRPr="44FB0632">
        <w:rPr>
          <w:rFonts w:ascii="Arial" w:hAnsi="Arial" w:cs="Arial"/>
          <w:sz w:val="20"/>
          <w:szCs w:val="20"/>
        </w:rPr>
        <w:t xml:space="preserve">importou </w:t>
      </w:r>
      <w:r w:rsidR="00EE0D64">
        <w:rPr>
          <w:rFonts w:ascii="Arial" w:hAnsi="Arial" w:cs="Arial"/>
          <w:sz w:val="20"/>
          <w:szCs w:val="20"/>
        </w:rPr>
        <w:t>323</w:t>
      </w:r>
      <w:r w:rsidR="003C345D">
        <w:rPr>
          <w:rFonts w:ascii="Arial" w:hAnsi="Arial" w:cs="Arial"/>
          <w:sz w:val="20"/>
          <w:szCs w:val="20"/>
        </w:rPr>
        <w:t>,</w:t>
      </w:r>
      <w:r w:rsidR="00EE0D64">
        <w:rPr>
          <w:rFonts w:ascii="Arial" w:hAnsi="Arial" w:cs="Arial"/>
          <w:sz w:val="20"/>
          <w:szCs w:val="20"/>
        </w:rPr>
        <w:t>4</w:t>
      </w:r>
      <w:r w:rsidR="00F07B88">
        <w:rPr>
          <w:rFonts w:ascii="Arial" w:hAnsi="Arial" w:cs="Arial"/>
          <w:sz w:val="20"/>
          <w:szCs w:val="20"/>
        </w:rPr>
        <w:t xml:space="preserve"> </w:t>
      </w:r>
      <w:r w:rsidR="04C74930" w:rsidRPr="44FB0632">
        <w:rPr>
          <w:rFonts w:ascii="Arial" w:hAnsi="Arial" w:cs="Arial"/>
          <w:sz w:val="20"/>
          <w:szCs w:val="20"/>
        </w:rPr>
        <w:t>mil</w:t>
      </w:r>
      <w:r w:rsidR="7EA256FA" w:rsidRPr="44FB0632">
        <w:rPr>
          <w:rFonts w:ascii="Arial" w:hAnsi="Arial" w:cs="Arial"/>
          <w:sz w:val="20"/>
          <w:szCs w:val="20"/>
        </w:rPr>
        <w:t xml:space="preserve"> </w:t>
      </w:r>
      <w:r w:rsidR="00C54227">
        <w:rPr>
          <w:rFonts w:ascii="Arial" w:hAnsi="Arial" w:cs="Arial"/>
          <w:sz w:val="20"/>
          <w:szCs w:val="20"/>
        </w:rPr>
        <w:t>m³</w:t>
      </w:r>
      <w:r w:rsidR="7EA256FA" w:rsidRPr="44FB0632">
        <w:rPr>
          <w:rFonts w:ascii="Arial" w:hAnsi="Arial" w:cs="Arial"/>
          <w:sz w:val="20"/>
          <w:szCs w:val="20"/>
        </w:rPr>
        <w:t xml:space="preserve"> de etanol</w:t>
      </w:r>
      <w:r w:rsidR="40C7B844" w:rsidRPr="44FB0632">
        <w:rPr>
          <w:rFonts w:ascii="Arial" w:hAnsi="Arial" w:cs="Arial"/>
          <w:sz w:val="20"/>
          <w:szCs w:val="20"/>
        </w:rPr>
        <w:t xml:space="preserve">, registrando </w:t>
      </w:r>
      <w:r w:rsidR="003C345D">
        <w:rPr>
          <w:rFonts w:ascii="Arial" w:hAnsi="Arial" w:cs="Arial"/>
          <w:sz w:val="20"/>
          <w:szCs w:val="20"/>
        </w:rPr>
        <w:t xml:space="preserve">alta de </w:t>
      </w:r>
      <w:r w:rsidR="00EE0D64">
        <w:rPr>
          <w:rFonts w:ascii="Arial" w:hAnsi="Arial" w:cs="Arial"/>
          <w:sz w:val="20"/>
          <w:szCs w:val="20"/>
        </w:rPr>
        <w:t>6</w:t>
      </w:r>
      <w:r w:rsidR="003C345D">
        <w:rPr>
          <w:rFonts w:ascii="Arial" w:hAnsi="Arial" w:cs="Arial"/>
          <w:sz w:val="20"/>
          <w:szCs w:val="20"/>
        </w:rPr>
        <w:t>6</w:t>
      </w:r>
      <w:r w:rsidR="40C7B844" w:rsidRPr="44FB0632">
        <w:rPr>
          <w:rFonts w:ascii="Arial" w:hAnsi="Arial" w:cs="Arial"/>
          <w:sz w:val="20"/>
          <w:szCs w:val="20"/>
        </w:rPr>
        <w:t>,</w:t>
      </w:r>
      <w:r w:rsidR="00EE0D64">
        <w:rPr>
          <w:rFonts w:ascii="Arial" w:hAnsi="Arial" w:cs="Arial"/>
          <w:sz w:val="20"/>
          <w:szCs w:val="20"/>
        </w:rPr>
        <w:t>2</w:t>
      </w:r>
      <w:r w:rsidR="003C345D">
        <w:rPr>
          <w:rFonts w:ascii="Arial" w:hAnsi="Arial" w:cs="Arial"/>
          <w:sz w:val="20"/>
          <w:szCs w:val="20"/>
        </w:rPr>
        <w:t>%</w:t>
      </w:r>
      <w:r w:rsidR="40C7B844" w:rsidRPr="44FB0632">
        <w:rPr>
          <w:rFonts w:ascii="Arial" w:hAnsi="Arial" w:cs="Arial"/>
          <w:sz w:val="20"/>
          <w:szCs w:val="20"/>
        </w:rPr>
        <w:t xml:space="preserve"> em relação a </w:t>
      </w:r>
      <w:r w:rsidR="00A2703D">
        <w:rPr>
          <w:rFonts w:ascii="Arial" w:hAnsi="Arial" w:cs="Arial"/>
          <w:sz w:val="20"/>
          <w:szCs w:val="20"/>
        </w:rPr>
        <w:t>202</w:t>
      </w:r>
      <w:r w:rsidR="00EE0D64">
        <w:rPr>
          <w:rFonts w:ascii="Arial" w:hAnsi="Arial" w:cs="Arial"/>
          <w:sz w:val="20"/>
          <w:szCs w:val="20"/>
        </w:rPr>
        <w:t>4</w:t>
      </w:r>
      <w:r w:rsidR="40C7B844" w:rsidRPr="44FB0632">
        <w:rPr>
          <w:rFonts w:ascii="Arial" w:hAnsi="Arial" w:cs="Arial"/>
          <w:sz w:val="20"/>
          <w:szCs w:val="20"/>
        </w:rPr>
        <w:t xml:space="preserve">. Do total do volume importado, </w:t>
      </w:r>
      <w:r w:rsidR="00EE0D64">
        <w:rPr>
          <w:rFonts w:ascii="Arial" w:hAnsi="Arial" w:cs="Arial"/>
          <w:sz w:val="20"/>
          <w:szCs w:val="20"/>
        </w:rPr>
        <w:t>43</w:t>
      </w:r>
      <w:r w:rsidR="001B3F2C">
        <w:rPr>
          <w:rFonts w:ascii="Arial" w:hAnsi="Arial" w:cs="Arial"/>
          <w:sz w:val="20"/>
          <w:szCs w:val="20"/>
        </w:rPr>
        <w:t>,</w:t>
      </w:r>
      <w:r w:rsidR="00EE0D64">
        <w:rPr>
          <w:rFonts w:ascii="Arial" w:hAnsi="Arial" w:cs="Arial"/>
          <w:sz w:val="20"/>
          <w:szCs w:val="20"/>
        </w:rPr>
        <w:t>8</w:t>
      </w:r>
      <w:r w:rsidR="001B3F2C">
        <w:rPr>
          <w:rFonts w:ascii="Arial" w:hAnsi="Arial" w:cs="Arial"/>
          <w:sz w:val="20"/>
          <w:szCs w:val="20"/>
        </w:rPr>
        <w:t>%</w:t>
      </w:r>
      <w:r w:rsidR="001B3F2C" w:rsidRPr="44FB0632">
        <w:rPr>
          <w:rFonts w:ascii="Arial" w:hAnsi="Arial" w:cs="Arial"/>
          <w:sz w:val="20"/>
          <w:szCs w:val="20"/>
        </w:rPr>
        <w:t xml:space="preserve"> foram</w:t>
      </w:r>
      <w:r w:rsidR="40C7B844" w:rsidRPr="44FB0632">
        <w:rPr>
          <w:rFonts w:ascii="Arial" w:hAnsi="Arial" w:cs="Arial"/>
          <w:sz w:val="20"/>
          <w:szCs w:val="20"/>
        </w:rPr>
        <w:t xml:space="preserve"> </w:t>
      </w:r>
      <w:r w:rsidR="00261887">
        <w:rPr>
          <w:rFonts w:ascii="Arial" w:hAnsi="Arial" w:cs="Arial"/>
          <w:sz w:val="20"/>
          <w:szCs w:val="20"/>
        </w:rPr>
        <w:t>provenientes</w:t>
      </w:r>
      <w:r w:rsidR="40C7B844" w:rsidRPr="44FB0632">
        <w:rPr>
          <w:rFonts w:ascii="Arial" w:hAnsi="Arial" w:cs="Arial"/>
          <w:sz w:val="20"/>
          <w:szCs w:val="20"/>
        </w:rPr>
        <w:t xml:space="preserve"> d</w:t>
      </w:r>
      <w:r w:rsidR="003C345D">
        <w:rPr>
          <w:rFonts w:ascii="Arial" w:hAnsi="Arial" w:cs="Arial"/>
          <w:sz w:val="20"/>
          <w:szCs w:val="20"/>
        </w:rPr>
        <w:t xml:space="preserve">os Estados Unidos. </w:t>
      </w:r>
      <w:r w:rsidR="003C345D" w:rsidRPr="00EE0D64">
        <w:rPr>
          <w:rFonts w:ascii="Arial" w:hAnsi="Arial" w:cs="Arial"/>
          <w:sz w:val="20"/>
          <w:szCs w:val="20"/>
        </w:rPr>
        <w:t xml:space="preserve">Por outro lado, as exportações brasileiras de etanol </w:t>
      </w:r>
      <w:r w:rsidR="000629A1" w:rsidRPr="00EE0D64">
        <w:rPr>
          <w:rFonts w:ascii="Arial" w:hAnsi="Arial" w:cs="Arial"/>
          <w:sz w:val="20"/>
          <w:szCs w:val="20"/>
        </w:rPr>
        <w:t xml:space="preserve">diminuíram </w:t>
      </w:r>
      <w:r w:rsidR="00EE0D64">
        <w:rPr>
          <w:rFonts w:ascii="Arial" w:hAnsi="Arial" w:cs="Arial"/>
          <w:sz w:val="20"/>
          <w:szCs w:val="20"/>
        </w:rPr>
        <w:t>17</w:t>
      </w:r>
      <w:r w:rsidR="003C345D" w:rsidRPr="00EE0D64">
        <w:rPr>
          <w:rFonts w:ascii="Arial" w:hAnsi="Arial" w:cs="Arial"/>
          <w:sz w:val="20"/>
          <w:szCs w:val="20"/>
        </w:rPr>
        <w:t>,</w:t>
      </w:r>
      <w:r w:rsidR="00EE0D64">
        <w:rPr>
          <w:rFonts w:ascii="Arial" w:hAnsi="Arial" w:cs="Arial"/>
          <w:sz w:val="20"/>
          <w:szCs w:val="20"/>
        </w:rPr>
        <w:t>4</w:t>
      </w:r>
      <w:r w:rsidR="003C345D" w:rsidRPr="00EE0D64">
        <w:rPr>
          <w:rFonts w:ascii="Arial" w:hAnsi="Arial" w:cs="Arial"/>
          <w:sz w:val="20"/>
          <w:szCs w:val="20"/>
        </w:rPr>
        <w:t>%</w:t>
      </w:r>
      <w:r w:rsidR="00261887">
        <w:rPr>
          <w:rFonts w:ascii="Arial" w:hAnsi="Arial" w:cs="Arial"/>
          <w:sz w:val="20"/>
          <w:szCs w:val="20"/>
        </w:rPr>
        <w:t>,</w:t>
      </w:r>
      <w:r w:rsidR="003C345D" w:rsidRPr="00EE0D64">
        <w:rPr>
          <w:rFonts w:ascii="Arial" w:hAnsi="Arial" w:cs="Arial"/>
          <w:sz w:val="20"/>
          <w:szCs w:val="20"/>
        </w:rPr>
        <w:t xml:space="preserve"> atingindo </w:t>
      </w:r>
      <w:r w:rsidR="000629A1" w:rsidRPr="00EE0D64">
        <w:rPr>
          <w:rFonts w:ascii="Arial" w:hAnsi="Arial" w:cs="Arial"/>
          <w:sz w:val="20"/>
          <w:szCs w:val="20"/>
        </w:rPr>
        <w:t>1,</w:t>
      </w:r>
      <w:r w:rsidR="00EE0D64">
        <w:rPr>
          <w:rFonts w:ascii="Arial" w:hAnsi="Arial" w:cs="Arial"/>
          <w:sz w:val="20"/>
          <w:szCs w:val="20"/>
        </w:rPr>
        <w:t>6</w:t>
      </w:r>
      <w:r w:rsidR="003C345D" w:rsidRPr="00EE0D64">
        <w:rPr>
          <w:rFonts w:ascii="Arial" w:hAnsi="Arial" w:cs="Arial"/>
          <w:sz w:val="20"/>
          <w:szCs w:val="20"/>
        </w:rPr>
        <w:t xml:space="preserve"> milh</w:t>
      </w:r>
      <w:r w:rsidR="001B3F2C" w:rsidRPr="00EE0D64">
        <w:rPr>
          <w:rFonts w:ascii="Arial" w:hAnsi="Arial" w:cs="Arial"/>
          <w:sz w:val="20"/>
          <w:szCs w:val="20"/>
        </w:rPr>
        <w:t>ão</w:t>
      </w:r>
      <w:r w:rsidR="003C345D" w:rsidRPr="00EE0D64">
        <w:rPr>
          <w:rFonts w:ascii="Arial" w:hAnsi="Arial" w:cs="Arial"/>
          <w:sz w:val="20"/>
          <w:szCs w:val="20"/>
        </w:rPr>
        <w:t xml:space="preserve"> de m³.</w:t>
      </w:r>
    </w:p>
    <w:p w14:paraId="709CF1E7" w14:textId="77777777" w:rsidR="000629A1" w:rsidRDefault="000629A1" w:rsidP="003C345D">
      <w:pPr>
        <w:pStyle w:val="Corpodetexto2"/>
        <w:jc w:val="both"/>
        <w:rPr>
          <w:color w:val="auto"/>
          <w:sz w:val="20"/>
          <w:szCs w:val="20"/>
        </w:rPr>
      </w:pPr>
    </w:p>
    <w:p w14:paraId="128B9F8D" w14:textId="678AF540" w:rsidR="000629A1" w:rsidRDefault="00261887" w:rsidP="003B3E7C">
      <w:pPr>
        <w:pStyle w:val="Corpodetexto2"/>
        <w:jc w:val="both"/>
        <w:rPr>
          <w:color w:val="auto"/>
          <w:sz w:val="20"/>
          <w:szCs w:val="20"/>
        </w:rPr>
      </w:pPr>
      <w:r w:rsidRPr="00261887">
        <w:rPr>
          <w:color w:val="auto"/>
          <w:sz w:val="20"/>
          <w:szCs w:val="20"/>
        </w:rPr>
        <w:t>Seguindo essa tendência de aumento das importações, a América do Norte registrou uma alta de 28,1%; a América Central e a América do Sul registraram, juntas, uma alta de 116,6%; a Europa registrou uma alta de 29,3%; e a região Ásia-Pacífico, uma alta de 9,4%. O Oriente Médio registrou diminuição de 17,8%</w:t>
      </w:r>
      <w:r>
        <w:rPr>
          <w:color w:val="auto"/>
          <w:sz w:val="20"/>
          <w:szCs w:val="20"/>
        </w:rPr>
        <w:t>.</w:t>
      </w:r>
    </w:p>
    <w:p w14:paraId="10FDBEDA" w14:textId="77777777" w:rsidR="00261887" w:rsidRDefault="00261887" w:rsidP="003B3E7C">
      <w:pPr>
        <w:pStyle w:val="Corpodetexto2"/>
        <w:jc w:val="both"/>
        <w:rPr>
          <w:color w:val="auto"/>
          <w:sz w:val="20"/>
          <w:szCs w:val="20"/>
        </w:rPr>
      </w:pPr>
    </w:p>
    <w:p w14:paraId="57E89523" w14:textId="2C5AA21B" w:rsidR="00CD4BC1" w:rsidRDefault="00261887" w:rsidP="00A72B24">
      <w:pPr>
        <w:pStyle w:val="Corpodetexto2"/>
        <w:jc w:val="both"/>
        <w:rPr>
          <w:color w:val="auto"/>
          <w:sz w:val="20"/>
          <w:szCs w:val="20"/>
        </w:rPr>
      </w:pPr>
      <w:r w:rsidRPr="00261887">
        <w:rPr>
          <w:color w:val="auto"/>
          <w:sz w:val="20"/>
          <w:szCs w:val="20"/>
        </w:rPr>
        <w:t>Os principais destinos do etanol brasileiro foram a região Ásia-Pacífico e a América do Norte, as quais importaram, respectivamente, 864,5 mil m³ (55,6% do total) e 255,9 mil m³ (16,5% do total). Em terceiro lugar, a África importou 202,2 mil m³ (13% do total). Em quarto, a Europa importou 1974,1 mil m³. Em quinto, a América Central e a América do Sul importaram, juntas, 21,3 mil m³ de etanol brasileiro. O Oriente Médio também teve destaque, tendo importado 14,2 mil m³ do derivado</w:t>
      </w:r>
      <w:r w:rsidR="000C0F00">
        <w:rPr>
          <w:color w:val="auto"/>
          <w:sz w:val="20"/>
          <w:szCs w:val="20"/>
        </w:rPr>
        <w:t>.</w:t>
      </w:r>
    </w:p>
    <w:p w14:paraId="6537F28F" w14:textId="77777777" w:rsidR="003B3E7C" w:rsidRDefault="003B3E7C" w:rsidP="003B3E7C">
      <w:pPr>
        <w:pStyle w:val="Corpodetexto2"/>
        <w:jc w:val="both"/>
        <w:rPr>
          <w:color w:val="auto"/>
          <w:sz w:val="20"/>
          <w:szCs w:val="20"/>
        </w:rPr>
      </w:pPr>
    </w:p>
    <w:p w14:paraId="35804DF5" w14:textId="3DC9FFD6" w:rsidR="003B3E7C" w:rsidRDefault="00261887" w:rsidP="003B3E7C">
      <w:pPr>
        <w:pStyle w:val="Corpodetexto2"/>
        <w:jc w:val="both"/>
        <w:rPr>
          <w:color w:val="auto"/>
          <w:sz w:val="20"/>
          <w:szCs w:val="20"/>
        </w:rPr>
      </w:pPr>
      <w:r w:rsidRPr="00261887">
        <w:rPr>
          <w:color w:val="auto"/>
          <w:sz w:val="20"/>
          <w:szCs w:val="20"/>
        </w:rPr>
        <w:t>Entre os países, a Coreia do Sul continuou sendo a que mais importou etanol brasileiro, com um total de 762,6 mil m³, o que representa 49% do volume total exportado pelo Brasil</w:t>
      </w:r>
      <w:r w:rsidR="15D8085A" w:rsidRPr="44FB0632">
        <w:rPr>
          <w:color w:val="auto"/>
          <w:sz w:val="20"/>
          <w:szCs w:val="20"/>
        </w:rPr>
        <w:t>.</w:t>
      </w:r>
    </w:p>
    <w:p w14:paraId="70DF9E56" w14:textId="77777777" w:rsidR="00BD782B" w:rsidRPr="008676E1" w:rsidRDefault="00BD782B" w:rsidP="00A72B24">
      <w:pPr>
        <w:pStyle w:val="Corpodetexto2"/>
        <w:jc w:val="both"/>
        <w:rPr>
          <w:color w:val="auto"/>
          <w:sz w:val="20"/>
          <w:szCs w:val="20"/>
        </w:rPr>
      </w:pPr>
    </w:p>
    <w:p w14:paraId="1FAEAEA6" w14:textId="28B4EF82" w:rsidR="009D24CD" w:rsidRPr="00C45173" w:rsidRDefault="009D24CD" w:rsidP="00C4517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C45173">
        <w:rPr>
          <w:rFonts w:ascii="Arial" w:hAnsi="Arial" w:cs="Arial"/>
          <w:color w:val="FF0000"/>
          <w:sz w:val="20"/>
          <w:szCs w:val="20"/>
        </w:rPr>
        <w:t>Tabela 4.</w:t>
      </w:r>
      <w:r w:rsidR="00FC6C77" w:rsidRPr="00C45173">
        <w:rPr>
          <w:rFonts w:ascii="Arial" w:hAnsi="Arial" w:cs="Arial"/>
          <w:color w:val="FF0000"/>
          <w:sz w:val="20"/>
          <w:szCs w:val="20"/>
        </w:rPr>
        <w:t>4</w:t>
      </w:r>
    </w:p>
    <w:p w14:paraId="5D7A8864" w14:textId="19B056BC" w:rsidR="001C3795" w:rsidRPr="00C45173" w:rsidRDefault="001C3795" w:rsidP="00C4517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C45173">
        <w:rPr>
          <w:rFonts w:ascii="Arial" w:hAnsi="Arial" w:cs="Arial"/>
          <w:color w:val="FF0000"/>
          <w:sz w:val="20"/>
          <w:szCs w:val="20"/>
        </w:rPr>
        <w:t>Tabela 4.</w:t>
      </w:r>
      <w:r w:rsidR="00FC6C77" w:rsidRPr="00C45173">
        <w:rPr>
          <w:rFonts w:ascii="Arial" w:hAnsi="Arial" w:cs="Arial"/>
          <w:color w:val="FF0000"/>
          <w:sz w:val="20"/>
          <w:szCs w:val="20"/>
        </w:rPr>
        <w:t>5</w:t>
      </w:r>
    </w:p>
    <w:p w14:paraId="1B2DBE1C" w14:textId="4DEB3EE1" w:rsidR="00FC6C77" w:rsidRDefault="00FC6C77" w:rsidP="00C4517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C45173">
        <w:rPr>
          <w:rFonts w:ascii="Arial" w:hAnsi="Arial" w:cs="Arial"/>
          <w:color w:val="FF0000"/>
          <w:sz w:val="20"/>
          <w:szCs w:val="20"/>
        </w:rPr>
        <w:t>Tabela 4.6</w:t>
      </w:r>
    </w:p>
    <w:p w14:paraId="11EA78D6" w14:textId="77777777" w:rsidR="00C45173" w:rsidRPr="00C45173" w:rsidRDefault="00C45173" w:rsidP="00C45173">
      <w:pPr>
        <w:pStyle w:val="Corpodetexto2"/>
        <w:jc w:val="both"/>
        <w:rPr>
          <w:color w:val="auto"/>
          <w:sz w:val="20"/>
          <w:szCs w:val="20"/>
        </w:rPr>
      </w:pPr>
    </w:p>
    <w:p w14:paraId="533F5F63" w14:textId="3A39E60F" w:rsidR="00C45173" w:rsidRDefault="00C45173" w:rsidP="00C4517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>
        <w:rPr>
          <w:rFonts w:ascii="Arial" w:hAnsi="Arial" w:cs="Arial"/>
          <w:color w:val="FF0000"/>
          <w:sz w:val="20"/>
          <w:szCs w:val="20"/>
        </w:rPr>
        <w:t>7</w:t>
      </w:r>
    </w:p>
    <w:p w14:paraId="76838B9B" w14:textId="3F3CC028" w:rsidR="00C45173" w:rsidRDefault="00C45173" w:rsidP="00C4517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>
        <w:rPr>
          <w:rFonts w:ascii="Arial" w:hAnsi="Arial" w:cs="Arial"/>
          <w:color w:val="FF0000"/>
          <w:sz w:val="20"/>
          <w:szCs w:val="20"/>
        </w:rPr>
        <w:t>8</w:t>
      </w:r>
    </w:p>
    <w:p w14:paraId="60F42CCF" w14:textId="7CBE4E75" w:rsidR="00C45173" w:rsidRDefault="00C45173" w:rsidP="00C4517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>
        <w:rPr>
          <w:rFonts w:ascii="Arial" w:hAnsi="Arial" w:cs="Arial"/>
          <w:color w:val="FF0000"/>
          <w:sz w:val="20"/>
          <w:szCs w:val="20"/>
        </w:rPr>
        <w:t>9</w:t>
      </w:r>
    </w:p>
    <w:p w14:paraId="44E871BC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4A5D23" w14:textId="77777777" w:rsidR="00361C0F" w:rsidRDefault="00361C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31E098" w14:textId="77777777" w:rsidR="00022207" w:rsidRPr="008676E1" w:rsidRDefault="0002220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591E1C" w14:textId="562B5D1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676E1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1.</w:t>
      </w:r>
      <w:r w:rsidRPr="008676E1">
        <w:rPr>
          <w:rFonts w:ascii="Arial" w:hAnsi="Arial" w:cs="Arial"/>
          <w:b/>
          <w:bCs/>
          <w:sz w:val="20"/>
          <w:szCs w:val="20"/>
        </w:rPr>
        <w:t>3 Distribuição</w:t>
      </w:r>
    </w:p>
    <w:p w14:paraId="738610EB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1BD004" w14:textId="15096BFB" w:rsidR="00A72B24" w:rsidRDefault="0E41A4E4" w:rsidP="00A72B24">
      <w:pPr>
        <w:pStyle w:val="Corpodetexto"/>
        <w:rPr>
          <w:color w:val="auto"/>
          <w:sz w:val="20"/>
          <w:szCs w:val="20"/>
        </w:rPr>
      </w:pPr>
      <w:r w:rsidRPr="44FB0632">
        <w:rPr>
          <w:color w:val="auto"/>
          <w:sz w:val="20"/>
          <w:szCs w:val="20"/>
        </w:rPr>
        <w:t xml:space="preserve">Por ser adicionado à gasolina A (aquela produzida </w:t>
      </w:r>
      <w:r w:rsidR="00574FCB">
        <w:rPr>
          <w:color w:val="auto"/>
          <w:sz w:val="20"/>
          <w:szCs w:val="20"/>
        </w:rPr>
        <w:t>por</w:t>
      </w:r>
      <w:r w:rsidRPr="44FB0632">
        <w:rPr>
          <w:color w:val="auto"/>
          <w:sz w:val="20"/>
          <w:szCs w:val="20"/>
        </w:rPr>
        <w:t xml:space="preserve"> refinarias, centrais petroquímicas e formuladores) para</w:t>
      </w:r>
      <w:r w:rsidR="000C47A4">
        <w:rPr>
          <w:color w:val="auto"/>
          <w:sz w:val="20"/>
          <w:szCs w:val="20"/>
        </w:rPr>
        <w:t xml:space="preserve"> a</w:t>
      </w:r>
      <w:r w:rsidRPr="44FB0632">
        <w:rPr>
          <w:color w:val="auto"/>
          <w:sz w:val="20"/>
          <w:szCs w:val="20"/>
        </w:rPr>
        <w:t xml:space="preserve"> produção de gasolina C</w:t>
      </w:r>
      <w:r w:rsidR="32BBDEC7" w:rsidRPr="44FB0632">
        <w:rPr>
          <w:color w:val="auto"/>
          <w:sz w:val="20"/>
          <w:szCs w:val="20"/>
        </w:rPr>
        <w:t xml:space="preserve">, o etanol anidro tem participação proporcional </w:t>
      </w:r>
      <w:r w:rsidR="3D2EB983" w:rsidRPr="44FB0632">
        <w:rPr>
          <w:color w:val="auto"/>
          <w:sz w:val="20"/>
          <w:szCs w:val="20"/>
        </w:rPr>
        <w:t>à</w:t>
      </w:r>
      <w:r w:rsidR="32BBDEC7" w:rsidRPr="44FB0632">
        <w:rPr>
          <w:color w:val="auto"/>
          <w:sz w:val="20"/>
          <w:szCs w:val="20"/>
        </w:rPr>
        <w:t xml:space="preserve"> da gasolina C no mercado de distribuição</w:t>
      </w:r>
      <w:r w:rsidR="13FE19F3" w:rsidRPr="44FB0632">
        <w:rPr>
          <w:color w:val="auto"/>
          <w:sz w:val="20"/>
          <w:szCs w:val="20"/>
        </w:rPr>
        <w:t>. A partir do volume de vendas desta última e do percentual de adição de etanol ani</w:t>
      </w:r>
      <w:r w:rsidR="7BBB4D36" w:rsidRPr="44FB0632">
        <w:rPr>
          <w:color w:val="auto"/>
          <w:sz w:val="20"/>
          <w:szCs w:val="20"/>
        </w:rPr>
        <w:t>dro vigente</w:t>
      </w:r>
      <w:r w:rsidR="13FE19F3" w:rsidRPr="44FB0632">
        <w:rPr>
          <w:color w:val="auto"/>
          <w:sz w:val="20"/>
          <w:szCs w:val="20"/>
        </w:rPr>
        <w:t xml:space="preserve">, </w:t>
      </w:r>
      <w:r w:rsidR="17A1B0CC" w:rsidRPr="44FB0632">
        <w:rPr>
          <w:color w:val="auto"/>
          <w:sz w:val="20"/>
          <w:szCs w:val="20"/>
        </w:rPr>
        <w:t>calcula</w:t>
      </w:r>
      <w:r w:rsidR="13FE19F3" w:rsidRPr="44FB0632">
        <w:rPr>
          <w:color w:val="auto"/>
          <w:sz w:val="20"/>
          <w:szCs w:val="20"/>
        </w:rPr>
        <w:t xml:space="preserve">-se que o volume de vendas de etanol anidro tenha sido </w:t>
      </w:r>
      <w:r w:rsidR="6209D608" w:rsidRPr="44FB0632">
        <w:rPr>
          <w:color w:val="auto"/>
          <w:sz w:val="20"/>
          <w:szCs w:val="20"/>
        </w:rPr>
        <w:t>equivalente a</w:t>
      </w:r>
      <w:r w:rsidR="13FE19F3" w:rsidRPr="44FB0632">
        <w:rPr>
          <w:color w:val="auto"/>
          <w:sz w:val="20"/>
          <w:szCs w:val="20"/>
        </w:rPr>
        <w:t xml:space="preserve"> </w:t>
      </w:r>
      <w:r w:rsidR="2F6C64FE" w:rsidRPr="44FB0632">
        <w:rPr>
          <w:color w:val="auto"/>
          <w:sz w:val="20"/>
          <w:szCs w:val="20"/>
        </w:rPr>
        <w:t>1</w:t>
      </w:r>
      <w:r w:rsidR="00281D57">
        <w:rPr>
          <w:color w:val="auto"/>
          <w:sz w:val="20"/>
          <w:szCs w:val="20"/>
        </w:rPr>
        <w:t>3,</w:t>
      </w:r>
      <w:r w:rsidR="00F01478">
        <w:rPr>
          <w:color w:val="auto"/>
          <w:sz w:val="20"/>
          <w:szCs w:val="20"/>
        </w:rPr>
        <w:t>2</w:t>
      </w:r>
      <w:r w:rsidR="55B1256E" w:rsidRPr="44FB0632">
        <w:rPr>
          <w:color w:val="auto"/>
          <w:sz w:val="20"/>
          <w:szCs w:val="20"/>
        </w:rPr>
        <w:t xml:space="preserve"> </w:t>
      </w:r>
      <w:r w:rsidR="7BE001ED" w:rsidRPr="44FB0632">
        <w:rPr>
          <w:color w:val="auto"/>
          <w:sz w:val="20"/>
          <w:szCs w:val="20"/>
        </w:rPr>
        <w:t xml:space="preserve">milhões de </w:t>
      </w:r>
      <w:r w:rsidR="00C54227">
        <w:rPr>
          <w:color w:val="auto"/>
          <w:sz w:val="20"/>
          <w:szCs w:val="20"/>
        </w:rPr>
        <w:t>m³</w:t>
      </w:r>
      <w:r w:rsidR="3E795455" w:rsidRPr="44FB0632">
        <w:rPr>
          <w:color w:val="auto"/>
          <w:sz w:val="20"/>
          <w:szCs w:val="20"/>
        </w:rPr>
        <w:t xml:space="preserve"> em </w:t>
      </w:r>
      <w:r w:rsidR="00A2703D">
        <w:rPr>
          <w:color w:val="auto"/>
          <w:sz w:val="20"/>
          <w:szCs w:val="20"/>
        </w:rPr>
        <w:t>202</w:t>
      </w:r>
      <w:r w:rsidR="00281D57">
        <w:rPr>
          <w:color w:val="auto"/>
          <w:sz w:val="20"/>
          <w:szCs w:val="20"/>
        </w:rPr>
        <w:t>5</w:t>
      </w:r>
      <w:r w:rsidR="3E795455" w:rsidRPr="44FB0632">
        <w:rPr>
          <w:color w:val="auto"/>
          <w:sz w:val="20"/>
          <w:szCs w:val="20"/>
        </w:rPr>
        <w:t>.</w:t>
      </w:r>
    </w:p>
    <w:p w14:paraId="637805D2" w14:textId="77777777" w:rsidR="00BD782B" w:rsidRPr="008676E1" w:rsidRDefault="00BD782B" w:rsidP="00A72B24">
      <w:pPr>
        <w:pStyle w:val="Corpodetexto"/>
        <w:rPr>
          <w:color w:val="auto"/>
          <w:sz w:val="20"/>
          <w:szCs w:val="20"/>
        </w:rPr>
      </w:pPr>
    </w:p>
    <w:p w14:paraId="3E12378C" w14:textId="06D2FCE1" w:rsidR="00BA744F" w:rsidRDefault="7BE001ED" w:rsidP="44FB0632">
      <w:pPr>
        <w:pStyle w:val="Corpodetexto"/>
        <w:rPr>
          <w:color w:val="auto"/>
          <w:sz w:val="20"/>
          <w:szCs w:val="20"/>
        </w:rPr>
      </w:pPr>
      <w:r w:rsidRPr="44FB0632">
        <w:rPr>
          <w:color w:val="auto"/>
          <w:sz w:val="20"/>
          <w:szCs w:val="20"/>
        </w:rPr>
        <w:t>As vendas de etanol hidratado pelas distribuidor</w:t>
      </w:r>
      <w:r w:rsidR="10059B2A" w:rsidRPr="44FB0632">
        <w:rPr>
          <w:color w:val="auto"/>
          <w:sz w:val="20"/>
          <w:szCs w:val="20"/>
        </w:rPr>
        <w:t>a</w:t>
      </w:r>
      <w:r w:rsidR="5AC012FE" w:rsidRPr="44FB0632">
        <w:rPr>
          <w:color w:val="auto"/>
          <w:sz w:val="20"/>
          <w:szCs w:val="20"/>
        </w:rPr>
        <w:t xml:space="preserve">s, por sua vez, totalizaram </w:t>
      </w:r>
      <w:r w:rsidR="00FE6951">
        <w:rPr>
          <w:color w:val="auto"/>
          <w:sz w:val="20"/>
          <w:szCs w:val="20"/>
        </w:rPr>
        <w:t>21,</w:t>
      </w:r>
      <w:r w:rsidR="002A601B">
        <w:rPr>
          <w:color w:val="auto"/>
          <w:sz w:val="20"/>
          <w:szCs w:val="20"/>
        </w:rPr>
        <w:t>2</w:t>
      </w:r>
      <w:r w:rsidRPr="44FB0632">
        <w:rPr>
          <w:color w:val="auto"/>
          <w:sz w:val="20"/>
          <w:szCs w:val="20"/>
        </w:rPr>
        <w:t xml:space="preserve"> milhões de </w:t>
      </w:r>
      <w:r w:rsidR="00C54227">
        <w:rPr>
          <w:color w:val="auto"/>
          <w:sz w:val="20"/>
          <w:szCs w:val="20"/>
        </w:rPr>
        <w:t>m³</w:t>
      </w:r>
      <w:r w:rsidR="5AC012FE" w:rsidRPr="44FB0632">
        <w:rPr>
          <w:color w:val="auto"/>
          <w:sz w:val="20"/>
          <w:szCs w:val="20"/>
        </w:rPr>
        <w:t xml:space="preserve">, volume </w:t>
      </w:r>
      <w:r w:rsidR="002A601B">
        <w:rPr>
          <w:color w:val="auto"/>
          <w:sz w:val="20"/>
          <w:szCs w:val="20"/>
        </w:rPr>
        <w:t>2</w:t>
      </w:r>
      <w:r w:rsidR="0064353A">
        <w:rPr>
          <w:color w:val="auto"/>
          <w:sz w:val="20"/>
          <w:szCs w:val="20"/>
        </w:rPr>
        <w:t>,</w:t>
      </w:r>
      <w:r w:rsidR="002A601B">
        <w:rPr>
          <w:color w:val="auto"/>
          <w:sz w:val="20"/>
          <w:szCs w:val="20"/>
        </w:rPr>
        <w:t>3</w:t>
      </w:r>
      <w:r w:rsidR="6315F439" w:rsidRPr="44FB0632">
        <w:rPr>
          <w:color w:val="auto"/>
          <w:sz w:val="20"/>
          <w:szCs w:val="20"/>
        </w:rPr>
        <w:t>%</w:t>
      </w:r>
      <w:r w:rsidR="5AC012FE" w:rsidRPr="44FB0632">
        <w:rPr>
          <w:color w:val="auto"/>
          <w:sz w:val="20"/>
          <w:szCs w:val="20"/>
        </w:rPr>
        <w:t xml:space="preserve"> </w:t>
      </w:r>
      <w:r w:rsidR="002A601B">
        <w:rPr>
          <w:color w:val="auto"/>
          <w:sz w:val="20"/>
          <w:szCs w:val="20"/>
        </w:rPr>
        <w:t>inferior</w:t>
      </w:r>
      <w:r w:rsidR="6234383D" w:rsidRPr="44FB0632">
        <w:rPr>
          <w:color w:val="auto"/>
          <w:sz w:val="20"/>
          <w:szCs w:val="20"/>
        </w:rPr>
        <w:t xml:space="preserve"> ao de </w:t>
      </w:r>
      <w:r w:rsidR="00A2703D">
        <w:rPr>
          <w:color w:val="auto"/>
          <w:sz w:val="20"/>
          <w:szCs w:val="20"/>
        </w:rPr>
        <w:t>202</w:t>
      </w:r>
      <w:r w:rsidR="002A601B">
        <w:rPr>
          <w:color w:val="auto"/>
          <w:sz w:val="20"/>
          <w:szCs w:val="20"/>
        </w:rPr>
        <w:t>4</w:t>
      </w:r>
      <w:r w:rsidRPr="44FB0632">
        <w:rPr>
          <w:color w:val="auto"/>
          <w:sz w:val="20"/>
          <w:szCs w:val="20"/>
        </w:rPr>
        <w:t>.</w:t>
      </w:r>
    </w:p>
    <w:p w14:paraId="650694FC" w14:textId="4B77D1DA" w:rsidR="00BA744F" w:rsidRDefault="00BA744F" w:rsidP="44FB0632">
      <w:pPr>
        <w:pStyle w:val="Corpodetexto"/>
        <w:rPr>
          <w:color w:val="auto"/>
          <w:sz w:val="20"/>
          <w:szCs w:val="20"/>
        </w:rPr>
      </w:pPr>
    </w:p>
    <w:p w14:paraId="6F3E9FB7" w14:textId="29148583" w:rsidR="0060449D" w:rsidRDefault="00022207" w:rsidP="00984F45">
      <w:pPr>
        <w:pStyle w:val="Corpodetexto"/>
        <w:rPr>
          <w:color w:val="auto"/>
          <w:sz w:val="20"/>
          <w:szCs w:val="20"/>
        </w:rPr>
      </w:pPr>
      <w:r w:rsidRPr="00022207">
        <w:rPr>
          <w:color w:val="auto"/>
          <w:sz w:val="20"/>
          <w:szCs w:val="20"/>
        </w:rPr>
        <w:t>Quase todas as regiões brasileiras registraram queda nas vendas de etanol hidratado, como mostra a tabela 4.7. O Centro-Oeste comercializou 3,4 milhões de m³ (16% do total), registrando queda de 5,3% - a maior entre todas as regiões brasileiras. O Sudeste comercializou 13,9 milhões de m³ (65,7% do total), mantendo o maior volume vendido pelas distribuidoras. O Sul comercializou 1,8 milhão de m³ (8,3% do total), registrando queda de 0,9%. O Nordeste comercializou 1,7 milhão de m³ (7,8% do total), registrando queda de 3,2%. Por fim, o Norte comercializou 473 mil m³ (2,2% do total), registrando alta de 0,7%</w:t>
      </w:r>
      <w:r w:rsidR="0060449D">
        <w:rPr>
          <w:color w:val="auto"/>
          <w:sz w:val="20"/>
          <w:szCs w:val="20"/>
        </w:rPr>
        <w:t>.</w:t>
      </w:r>
    </w:p>
    <w:p w14:paraId="18A8EB8A" w14:textId="77777777" w:rsidR="00022207" w:rsidRDefault="00022207" w:rsidP="00984F45">
      <w:pPr>
        <w:pStyle w:val="Corpodetexto"/>
        <w:rPr>
          <w:color w:val="auto"/>
          <w:sz w:val="20"/>
          <w:szCs w:val="20"/>
        </w:rPr>
      </w:pPr>
    </w:p>
    <w:p w14:paraId="6DE84B3A" w14:textId="38893988" w:rsidR="00545333" w:rsidRDefault="00022207" w:rsidP="00984F45">
      <w:pPr>
        <w:pStyle w:val="Corpodetexto"/>
        <w:rPr>
          <w:color w:val="auto"/>
          <w:sz w:val="20"/>
          <w:szCs w:val="20"/>
        </w:rPr>
      </w:pPr>
      <w:r w:rsidRPr="00022207">
        <w:rPr>
          <w:color w:val="auto"/>
          <w:sz w:val="20"/>
          <w:szCs w:val="20"/>
        </w:rPr>
        <w:t>Em 2025, São Paulo foi o estado que registrou o maior volume de vendas de etanol hidratado. Nele, foram comercializados 10,4 milhões de m³ (48,9% do total nacional), o que representa uma queda de 0,1% em relação a 2024. Em segundo lugar, Minas Gerais comercializou 2,2 milhões de m³ (10,6% do total nacional), registrando uma queda de 11,3%. Em terceiro, Goiás comercializou 1,6 milhão de m³ (7,7% do total nacional), registrando uma queda de 4,5%</w:t>
      </w:r>
    </w:p>
    <w:p w14:paraId="1BD21430" w14:textId="77777777" w:rsidR="00022207" w:rsidRPr="00984F45" w:rsidRDefault="00022207" w:rsidP="00984F45">
      <w:pPr>
        <w:pStyle w:val="Corpodetexto"/>
        <w:rPr>
          <w:color w:val="auto"/>
          <w:sz w:val="20"/>
          <w:szCs w:val="20"/>
        </w:rPr>
      </w:pPr>
    </w:p>
    <w:p w14:paraId="2B7E1C14" w14:textId="3AF20DA4" w:rsidR="009323D8" w:rsidRPr="008676E1" w:rsidRDefault="009323D8" w:rsidP="009323D8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Tabela 4.</w:t>
      </w:r>
      <w:r w:rsidR="00FC6C77">
        <w:rPr>
          <w:rFonts w:ascii="Arial" w:hAnsi="Arial" w:cs="Arial"/>
          <w:color w:val="FF0000"/>
          <w:sz w:val="20"/>
          <w:szCs w:val="20"/>
        </w:rPr>
        <w:t>7</w:t>
      </w:r>
    </w:p>
    <w:p w14:paraId="3A0FF5F2" w14:textId="77777777" w:rsidR="009323D8" w:rsidRPr="008676E1" w:rsidRDefault="009323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DBFE1F" w14:textId="179E0FB7" w:rsidR="009D24CD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 w:rsidR="00C45173">
        <w:rPr>
          <w:rFonts w:ascii="Arial" w:hAnsi="Arial" w:cs="Arial"/>
          <w:color w:val="FF0000"/>
          <w:sz w:val="20"/>
          <w:szCs w:val="20"/>
        </w:rPr>
        <w:t>10</w:t>
      </w:r>
    </w:p>
    <w:p w14:paraId="5630AD66" w14:textId="77777777" w:rsidR="009323D8" w:rsidRPr="009323D8" w:rsidRDefault="009323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3A0707" w14:textId="5B57C096" w:rsidR="00A72B24" w:rsidRDefault="00022207" w:rsidP="00A72B24">
      <w:pPr>
        <w:pStyle w:val="Corpodetexto"/>
        <w:rPr>
          <w:color w:val="auto"/>
          <w:sz w:val="20"/>
          <w:szCs w:val="20"/>
        </w:rPr>
      </w:pPr>
      <w:r w:rsidRPr="00022207">
        <w:rPr>
          <w:color w:val="auto"/>
          <w:sz w:val="20"/>
          <w:szCs w:val="20"/>
        </w:rPr>
        <w:t>Em 2025, três empresas distribuidoras lideraram as vendas de etanol hidratado no território nacional: Ipiranga (16,7%), Vibra (16%) e Raízen (14,9%). Juntas, as vendas dessas empresas somaram 46,9% do total. Os 53,1% restantes foram distribuídos por outras 148 empresas</w:t>
      </w:r>
      <w:r w:rsidR="3F68ECBD" w:rsidRPr="44FB0632">
        <w:rPr>
          <w:color w:val="auto"/>
          <w:sz w:val="20"/>
          <w:szCs w:val="20"/>
        </w:rPr>
        <w:t>.</w:t>
      </w:r>
    </w:p>
    <w:p w14:paraId="61829076" w14:textId="77777777" w:rsidR="006A59F7" w:rsidRDefault="006A59F7" w:rsidP="00A72B24">
      <w:pPr>
        <w:pStyle w:val="Corpodetexto"/>
        <w:rPr>
          <w:color w:val="auto"/>
          <w:sz w:val="20"/>
          <w:szCs w:val="20"/>
        </w:rPr>
      </w:pPr>
    </w:p>
    <w:p w14:paraId="2F528B45" w14:textId="11A0B9CD" w:rsidR="00F97EEF" w:rsidRDefault="00F97EEF" w:rsidP="00F97EEF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Tabela 4.</w:t>
      </w:r>
      <w:r w:rsidR="00FC6C77">
        <w:rPr>
          <w:rFonts w:ascii="Arial" w:hAnsi="Arial" w:cs="Arial"/>
          <w:color w:val="FF0000"/>
          <w:sz w:val="20"/>
          <w:szCs w:val="20"/>
        </w:rPr>
        <w:t>8</w:t>
      </w:r>
    </w:p>
    <w:p w14:paraId="052836B2" w14:textId="77777777" w:rsidR="000953C3" w:rsidRPr="008676E1" w:rsidRDefault="000953C3" w:rsidP="00F97EEF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346D9F27" w14:textId="40EA2773" w:rsidR="00486B15" w:rsidRPr="008676E1" w:rsidRDefault="00486B15" w:rsidP="00486B15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 w:rsidR="00C45173">
        <w:rPr>
          <w:rFonts w:ascii="Arial" w:hAnsi="Arial" w:cs="Arial"/>
          <w:color w:val="FF0000"/>
          <w:sz w:val="20"/>
          <w:szCs w:val="20"/>
        </w:rPr>
        <w:t>11</w:t>
      </w:r>
    </w:p>
    <w:p w14:paraId="321C2696" w14:textId="77777777" w:rsidR="00F97EEF" w:rsidRPr="008676E1" w:rsidRDefault="00F97EEF" w:rsidP="00A72B24">
      <w:pPr>
        <w:pStyle w:val="Corpodetexto"/>
        <w:rPr>
          <w:color w:val="auto"/>
          <w:sz w:val="20"/>
          <w:szCs w:val="20"/>
        </w:rPr>
      </w:pPr>
    </w:p>
    <w:p w14:paraId="0E685FDF" w14:textId="39C288F9" w:rsidR="008D7DEA" w:rsidRDefault="6209D608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>Somadas, a</w:t>
      </w:r>
      <w:r w:rsidR="3F68ECBD" w:rsidRPr="44FB0632">
        <w:rPr>
          <w:rFonts w:ascii="Arial" w:hAnsi="Arial" w:cs="Arial"/>
          <w:sz w:val="20"/>
          <w:szCs w:val="20"/>
        </w:rPr>
        <w:t>s vendas de etanol</w:t>
      </w:r>
      <w:r w:rsidR="2BCA08B6" w:rsidRPr="44FB0632">
        <w:rPr>
          <w:rFonts w:ascii="Arial" w:hAnsi="Arial" w:cs="Arial"/>
          <w:sz w:val="20"/>
          <w:szCs w:val="20"/>
        </w:rPr>
        <w:t xml:space="preserve"> anidro (</w:t>
      </w:r>
      <w:r w:rsidR="221A53A5" w:rsidRPr="44FB0632">
        <w:rPr>
          <w:rFonts w:ascii="Arial" w:hAnsi="Arial" w:cs="Arial"/>
          <w:sz w:val="20"/>
          <w:szCs w:val="20"/>
        </w:rPr>
        <w:t>1</w:t>
      </w:r>
      <w:r w:rsidR="008E3A22">
        <w:rPr>
          <w:rFonts w:ascii="Arial" w:hAnsi="Arial" w:cs="Arial"/>
          <w:sz w:val="20"/>
          <w:szCs w:val="20"/>
        </w:rPr>
        <w:t>3,</w:t>
      </w:r>
      <w:r w:rsidR="00F200AD">
        <w:rPr>
          <w:rFonts w:ascii="Arial" w:hAnsi="Arial" w:cs="Arial"/>
          <w:sz w:val="20"/>
          <w:szCs w:val="20"/>
        </w:rPr>
        <w:t>2</w:t>
      </w:r>
      <w:r w:rsidR="3F68ECBD" w:rsidRPr="44FB0632">
        <w:rPr>
          <w:rFonts w:ascii="Arial" w:hAnsi="Arial" w:cs="Arial"/>
          <w:sz w:val="20"/>
          <w:szCs w:val="20"/>
        </w:rPr>
        <w:t xml:space="preserve"> milhões de </w:t>
      </w:r>
      <w:r w:rsidR="00C54227">
        <w:rPr>
          <w:rFonts w:ascii="Arial" w:hAnsi="Arial" w:cs="Arial"/>
          <w:sz w:val="20"/>
          <w:szCs w:val="20"/>
        </w:rPr>
        <w:t>m³</w:t>
      </w:r>
      <w:r w:rsidR="210823C3" w:rsidRPr="44FB0632">
        <w:rPr>
          <w:rFonts w:ascii="Arial" w:hAnsi="Arial" w:cs="Arial"/>
          <w:sz w:val="20"/>
          <w:szCs w:val="20"/>
        </w:rPr>
        <w:t>) e hidratado (</w:t>
      </w:r>
      <w:r w:rsidR="00E53F65">
        <w:rPr>
          <w:rFonts w:ascii="Arial" w:hAnsi="Arial" w:cs="Arial"/>
          <w:sz w:val="20"/>
          <w:szCs w:val="20"/>
        </w:rPr>
        <w:t>21,</w:t>
      </w:r>
      <w:r w:rsidR="008E3A22">
        <w:rPr>
          <w:rFonts w:ascii="Arial" w:hAnsi="Arial" w:cs="Arial"/>
          <w:sz w:val="20"/>
          <w:szCs w:val="20"/>
        </w:rPr>
        <w:t>2</w:t>
      </w:r>
      <w:r w:rsidR="0019279E">
        <w:rPr>
          <w:rFonts w:ascii="Arial" w:hAnsi="Arial" w:cs="Arial"/>
          <w:sz w:val="20"/>
          <w:szCs w:val="20"/>
        </w:rPr>
        <w:t xml:space="preserve"> </w:t>
      </w:r>
      <w:r w:rsidR="3F68ECBD" w:rsidRPr="44FB0632">
        <w:rPr>
          <w:rFonts w:ascii="Arial" w:hAnsi="Arial" w:cs="Arial"/>
          <w:sz w:val="20"/>
          <w:szCs w:val="20"/>
        </w:rPr>
        <w:t xml:space="preserve">milhões de </w:t>
      </w:r>
      <w:r w:rsidR="00C54227">
        <w:rPr>
          <w:rFonts w:ascii="Arial" w:hAnsi="Arial" w:cs="Arial"/>
          <w:sz w:val="20"/>
          <w:szCs w:val="20"/>
        </w:rPr>
        <w:t>m³</w:t>
      </w:r>
      <w:r w:rsidR="3F68ECBD" w:rsidRPr="44FB0632">
        <w:rPr>
          <w:rFonts w:ascii="Arial" w:hAnsi="Arial" w:cs="Arial"/>
          <w:sz w:val="20"/>
          <w:szCs w:val="20"/>
        </w:rPr>
        <w:t>) foram</w:t>
      </w:r>
      <w:r w:rsidR="210823C3" w:rsidRPr="44FB0632">
        <w:rPr>
          <w:rFonts w:ascii="Arial" w:hAnsi="Arial" w:cs="Arial"/>
          <w:sz w:val="20"/>
          <w:szCs w:val="20"/>
        </w:rPr>
        <w:t xml:space="preserve"> </w:t>
      </w:r>
      <w:r w:rsidR="00E53F65">
        <w:rPr>
          <w:rFonts w:ascii="Arial" w:hAnsi="Arial" w:cs="Arial"/>
          <w:sz w:val="20"/>
          <w:szCs w:val="20"/>
        </w:rPr>
        <w:t>super</w:t>
      </w:r>
      <w:r w:rsidR="4604F036" w:rsidRPr="44FB0632">
        <w:rPr>
          <w:rFonts w:ascii="Arial" w:hAnsi="Arial" w:cs="Arial"/>
          <w:sz w:val="20"/>
          <w:szCs w:val="20"/>
        </w:rPr>
        <w:t>iores</w:t>
      </w:r>
      <w:r w:rsidR="210823C3" w:rsidRPr="44FB0632">
        <w:rPr>
          <w:rFonts w:ascii="Arial" w:hAnsi="Arial" w:cs="Arial"/>
          <w:sz w:val="20"/>
          <w:szCs w:val="20"/>
        </w:rPr>
        <w:t xml:space="preserve"> às de gasolina A (</w:t>
      </w:r>
      <w:r w:rsidR="221A53A5" w:rsidRPr="44FB0632">
        <w:rPr>
          <w:rFonts w:ascii="Arial" w:hAnsi="Arial" w:cs="Arial"/>
          <w:sz w:val="20"/>
          <w:szCs w:val="20"/>
        </w:rPr>
        <w:t>3</w:t>
      </w:r>
      <w:r w:rsidR="008E3A22">
        <w:rPr>
          <w:rFonts w:ascii="Arial" w:hAnsi="Arial" w:cs="Arial"/>
          <w:sz w:val="20"/>
          <w:szCs w:val="20"/>
        </w:rPr>
        <w:t>3</w:t>
      </w:r>
      <w:r w:rsidR="221A53A5" w:rsidRPr="44FB0632">
        <w:rPr>
          <w:rFonts w:ascii="Arial" w:hAnsi="Arial" w:cs="Arial"/>
          <w:sz w:val="20"/>
          <w:szCs w:val="20"/>
        </w:rPr>
        <w:t>,</w:t>
      </w:r>
      <w:r w:rsidR="00F200AD">
        <w:rPr>
          <w:rFonts w:ascii="Arial" w:hAnsi="Arial" w:cs="Arial"/>
          <w:sz w:val="20"/>
          <w:szCs w:val="20"/>
        </w:rPr>
        <w:t>4</w:t>
      </w:r>
      <w:r w:rsidR="3F68ECBD" w:rsidRPr="44FB0632">
        <w:rPr>
          <w:rFonts w:ascii="Arial" w:hAnsi="Arial" w:cs="Arial"/>
          <w:sz w:val="20"/>
          <w:szCs w:val="20"/>
        </w:rPr>
        <w:t xml:space="preserve"> milhões de </w:t>
      </w:r>
      <w:r w:rsidR="00C54227">
        <w:rPr>
          <w:rFonts w:ascii="Arial" w:hAnsi="Arial" w:cs="Arial"/>
          <w:sz w:val="20"/>
          <w:szCs w:val="20"/>
        </w:rPr>
        <w:t>m³</w:t>
      </w:r>
      <w:r w:rsidR="3F68ECBD" w:rsidRPr="44FB0632">
        <w:rPr>
          <w:rFonts w:ascii="Arial" w:hAnsi="Arial" w:cs="Arial"/>
          <w:sz w:val="20"/>
          <w:szCs w:val="20"/>
        </w:rPr>
        <w:t>).</w:t>
      </w:r>
    </w:p>
    <w:p w14:paraId="2BA226A1" w14:textId="77777777" w:rsidR="00426717" w:rsidRPr="008676E1" w:rsidRDefault="00426717" w:rsidP="00A72B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FE9D4F" w14:textId="35FCF5E6" w:rsidR="00E25675" w:rsidRPr="008676E1" w:rsidRDefault="00E25675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 w:rsidR="00C45173">
        <w:rPr>
          <w:rFonts w:ascii="Arial" w:hAnsi="Arial" w:cs="Arial"/>
          <w:color w:val="FF0000"/>
          <w:sz w:val="20"/>
          <w:szCs w:val="20"/>
        </w:rPr>
        <w:t>12</w:t>
      </w:r>
    </w:p>
    <w:p w14:paraId="0DE4B5B7" w14:textId="77777777" w:rsidR="004A614B" w:rsidRDefault="004A61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804A9B" w14:textId="77777777" w:rsidR="007B7090" w:rsidRDefault="007B709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7BF66C" w14:textId="6AE8A63B" w:rsidR="009D24CD" w:rsidRPr="00A0377D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0377D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1.</w:t>
      </w:r>
      <w:r w:rsidRPr="00A0377D">
        <w:rPr>
          <w:rFonts w:ascii="Arial" w:hAnsi="Arial" w:cs="Arial"/>
          <w:b/>
          <w:bCs/>
          <w:sz w:val="20"/>
          <w:szCs w:val="20"/>
        </w:rPr>
        <w:t xml:space="preserve">4 Preços do </w:t>
      </w:r>
      <w:r w:rsidR="00022207">
        <w:rPr>
          <w:rFonts w:ascii="Arial" w:hAnsi="Arial" w:cs="Arial"/>
          <w:b/>
          <w:bCs/>
          <w:sz w:val="20"/>
          <w:szCs w:val="20"/>
        </w:rPr>
        <w:t>e</w:t>
      </w:r>
      <w:r w:rsidR="00190E1D" w:rsidRPr="00A0377D">
        <w:rPr>
          <w:rFonts w:ascii="Arial" w:hAnsi="Arial" w:cs="Arial"/>
          <w:b/>
          <w:bCs/>
          <w:sz w:val="20"/>
          <w:szCs w:val="20"/>
        </w:rPr>
        <w:t>tanol</w:t>
      </w:r>
      <w:r w:rsidRPr="00A0377D">
        <w:rPr>
          <w:rFonts w:ascii="Arial" w:hAnsi="Arial" w:cs="Arial"/>
          <w:b/>
          <w:bCs/>
          <w:sz w:val="20"/>
          <w:szCs w:val="20"/>
        </w:rPr>
        <w:t xml:space="preserve"> </w:t>
      </w:r>
      <w:r w:rsidR="00022207">
        <w:rPr>
          <w:rFonts w:ascii="Arial" w:hAnsi="Arial" w:cs="Arial"/>
          <w:b/>
          <w:bCs/>
          <w:sz w:val="20"/>
          <w:szCs w:val="20"/>
        </w:rPr>
        <w:t>h</w:t>
      </w:r>
      <w:r w:rsidRPr="00A0377D">
        <w:rPr>
          <w:rFonts w:ascii="Arial" w:hAnsi="Arial" w:cs="Arial"/>
          <w:b/>
          <w:bCs/>
          <w:sz w:val="20"/>
          <w:szCs w:val="20"/>
        </w:rPr>
        <w:t xml:space="preserve">idratado ao </w:t>
      </w:r>
      <w:r w:rsidR="00022207">
        <w:rPr>
          <w:rFonts w:ascii="Arial" w:hAnsi="Arial" w:cs="Arial"/>
          <w:b/>
          <w:bCs/>
          <w:sz w:val="20"/>
          <w:szCs w:val="20"/>
        </w:rPr>
        <w:t>c</w:t>
      </w:r>
      <w:r w:rsidRPr="00A0377D">
        <w:rPr>
          <w:rFonts w:ascii="Arial" w:hAnsi="Arial" w:cs="Arial"/>
          <w:b/>
          <w:bCs/>
          <w:sz w:val="20"/>
          <w:szCs w:val="20"/>
        </w:rPr>
        <w:t>onsumidor</w:t>
      </w:r>
    </w:p>
    <w:p w14:paraId="66204FF1" w14:textId="77777777" w:rsidR="009D24CD" w:rsidRPr="00A0377D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2D51167" w14:textId="5F404FE1" w:rsidR="00C6728E" w:rsidRPr="008A7A15" w:rsidRDefault="6234383D" w:rsidP="44FB0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8E3A22">
        <w:rPr>
          <w:rFonts w:ascii="Arial" w:hAnsi="Arial" w:cs="Arial"/>
          <w:sz w:val="20"/>
          <w:szCs w:val="20"/>
        </w:rPr>
        <w:t>5</w:t>
      </w:r>
      <w:r w:rsidR="3F68ECBD" w:rsidRPr="44FB0632">
        <w:rPr>
          <w:rFonts w:ascii="Arial" w:hAnsi="Arial" w:cs="Arial"/>
          <w:sz w:val="20"/>
          <w:szCs w:val="20"/>
        </w:rPr>
        <w:t xml:space="preserve">, o preço médio anual do etanol hidratado ao consumidor foi </w:t>
      </w:r>
      <w:r w:rsidR="23E26EE8" w:rsidRPr="44FB0632">
        <w:rPr>
          <w:rFonts w:ascii="Arial" w:hAnsi="Arial" w:cs="Arial"/>
          <w:sz w:val="20"/>
          <w:szCs w:val="20"/>
        </w:rPr>
        <w:t xml:space="preserve">de R$ </w:t>
      </w:r>
      <w:r w:rsidR="008E3A22">
        <w:rPr>
          <w:rFonts w:ascii="Arial" w:hAnsi="Arial" w:cs="Arial"/>
          <w:sz w:val="20"/>
          <w:szCs w:val="20"/>
        </w:rPr>
        <w:t>4</w:t>
      </w:r>
      <w:r w:rsidR="00260E0A">
        <w:rPr>
          <w:rFonts w:ascii="Arial" w:hAnsi="Arial" w:cs="Arial"/>
          <w:sz w:val="20"/>
          <w:szCs w:val="20"/>
        </w:rPr>
        <w:t>,</w:t>
      </w:r>
      <w:r w:rsidR="008E3A22">
        <w:rPr>
          <w:rFonts w:ascii="Arial" w:hAnsi="Arial" w:cs="Arial"/>
          <w:sz w:val="20"/>
          <w:szCs w:val="20"/>
        </w:rPr>
        <w:t>28</w:t>
      </w:r>
      <w:r w:rsidR="3F68ECBD" w:rsidRPr="44FB0632">
        <w:rPr>
          <w:rFonts w:ascii="Arial" w:hAnsi="Arial" w:cs="Arial"/>
          <w:sz w:val="20"/>
          <w:szCs w:val="20"/>
        </w:rPr>
        <w:t>/litro</w:t>
      </w:r>
      <w:r w:rsidR="1223DE5E" w:rsidRPr="44FB0632">
        <w:rPr>
          <w:rFonts w:ascii="Arial" w:hAnsi="Arial" w:cs="Arial"/>
          <w:sz w:val="20"/>
          <w:szCs w:val="20"/>
        </w:rPr>
        <w:t xml:space="preserve">, valor </w:t>
      </w:r>
      <w:r w:rsidR="008E3A22">
        <w:rPr>
          <w:rFonts w:ascii="Arial" w:hAnsi="Arial" w:cs="Arial"/>
          <w:sz w:val="20"/>
          <w:szCs w:val="20"/>
        </w:rPr>
        <w:t>10</w:t>
      </w:r>
      <w:r w:rsidR="005A6A3C">
        <w:rPr>
          <w:rFonts w:ascii="Arial" w:hAnsi="Arial" w:cs="Arial"/>
          <w:sz w:val="20"/>
          <w:szCs w:val="20"/>
        </w:rPr>
        <w:t>,8</w:t>
      </w:r>
      <w:r w:rsidR="3F68ECBD" w:rsidRPr="44FB0632">
        <w:rPr>
          <w:rFonts w:ascii="Arial" w:hAnsi="Arial" w:cs="Arial"/>
          <w:sz w:val="20"/>
          <w:szCs w:val="20"/>
        </w:rPr>
        <w:t xml:space="preserve">% </w:t>
      </w:r>
      <w:r w:rsidR="005A6A3C">
        <w:rPr>
          <w:rFonts w:ascii="Arial" w:hAnsi="Arial" w:cs="Arial"/>
          <w:sz w:val="20"/>
          <w:szCs w:val="20"/>
        </w:rPr>
        <w:t>superior</w:t>
      </w:r>
      <w:r w:rsidR="3F68ECBD" w:rsidRPr="44FB0632">
        <w:rPr>
          <w:rFonts w:ascii="Arial" w:hAnsi="Arial" w:cs="Arial"/>
          <w:sz w:val="20"/>
          <w:szCs w:val="20"/>
        </w:rPr>
        <w:t xml:space="preserve"> </w:t>
      </w:r>
      <w:r w:rsidR="62C93829" w:rsidRPr="44FB0632">
        <w:rPr>
          <w:rFonts w:ascii="Arial" w:hAnsi="Arial" w:cs="Arial"/>
          <w:sz w:val="20"/>
          <w:szCs w:val="20"/>
        </w:rPr>
        <w:t>ao</w:t>
      </w:r>
      <w:r w:rsidR="13A593BD" w:rsidRPr="44FB0632">
        <w:rPr>
          <w:rFonts w:ascii="Arial" w:hAnsi="Arial" w:cs="Arial"/>
          <w:sz w:val="20"/>
          <w:szCs w:val="20"/>
        </w:rPr>
        <w:t xml:space="preserve"> </w:t>
      </w:r>
      <w:r w:rsidR="3F68ECBD" w:rsidRPr="44FB0632">
        <w:rPr>
          <w:rFonts w:ascii="Arial" w:hAnsi="Arial" w:cs="Arial"/>
          <w:sz w:val="20"/>
          <w:szCs w:val="20"/>
        </w:rPr>
        <w:t>registrado no ano anterior. Os</w:t>
      </w:r>
      <w:r w:rsidR="13A593BD" w:rsidRPr="44FB0632">
        <w:rPr>
          <w:rFonts w:ascii="Arial" w:hAnsi="Arial" w:cs="Arial"/>
          <w:sz w:val="20"/>
          <w:szCs w:val="20"/>
        </w:rPr>
        <w:t xml:space="preserve"> preços</w:t>
      </w:r>
      <w:r w:rsidR="3F68ECBD" w:rsidRPr="44FB0632">
        <w:rPr>
          <w:rFonts w:ascii="Arial" w:hAnsi="Arial" w:cs="Arial"/>
          <w:sz w:val="20"/>
          <w:szCs w:val="20"/>
        </w:rPr>
        <w:t xml:space="preserve"> mais baixos foram observados n</w:t>
      </w:r>
      <w:r w:rsidR="13A593BD" w:rsidRPr="44FB0632">
        <w:rPr>
          <w:rFonts w:ascii="Arial" w:hAnsi="Arial" w:cs="Arial"/>
          <w:sz w:val="20"/>
          <w:szCs w:val="20"/>
        </w:rPr>
        <w:t xml:space="preserve">a </w:t>
      </w:r>
      <w:r w:rsidR="00022207">
        <w:rPr>
          <w:rFonts w:ascii="Arial" w:hAnsi="Arial" w:cs="Arial"/>
          <w:sz w:val="20"/>
          <w:szCs w:val="20"/>
        </w:rPr>
        <w:t>r</w:t>
      </w:r>
      <w:r w:rsidR="00C54227">
        <w:rPr>
          <w:rFonts w:ascii="Arial" w:hAnsi="Arial" w:cs="Arial"/>
          <w:sz w:val="20"/>
          <w:szCs w:val="20"/>
        </w:rPr>
        <w:t>egião</w:t>
      </w:r>
      <w:r w:rsidR="13A593BD" w:rsidRPr="44FB0632">
        <w:rPr>
          <w:rFonts w:ascii="Arial" w:hAnsi="Arial" w:cs="Arial"/>
          <w:sz w:val="20"/>
          <w:szCs w:val="20"/>
        </w:rPr>
        <w:t xml:space="preserve"> </w:t>
      </w:r>
      <w:r w:rsidR="005A6A3C">
        <w:rPr>
          <w:rFonts w:ascii="Arial" w:hAnsi="Arial" w:cs="Arial"/>
          <w:sz w:val="20"/>
          <w:szCs w:val="20"/>
        </w:rPr>
        <w:t>Sudeste</w:t>
      </w:r>
      <w:r w:rsidR="3F68ECBD" w:rsidRPr="44FB0632">
        <w:rPr>
          <w:rFonts w:ascii="Arial" w:hAnsi="Arial" w:cs="Arial"/>
          <w:sz w:val="20"/>
          <w:szCs w:val="20"/>
        </w:rPr>
        <w:t xml:space="preserve"> (R$ </w:t>
      </w:r>
      <w:r w:rsidR="008E3A22">
        <w:rPr>
          <w:rFonts w:ascii="Arial" w:hAnsi="Arial" w:cs="Arial"/>
          <w:sz w:val="20"/>
          <w:szCs w:val="20"/>
        </w:rPr>
        <w:t>4</w:t>
      </w:r>
      <w:r w:rsidR="2249E249" w:rsidRPr="44FB0632">
        <w:rPr>
          <w:rFonts w:ascii="Arial" w:hAnsi="Arial" w:cs="Arial"/>
          <w:sz w:val="20"/>
          <w:szCs w:val="20"/>
        </w:rPr>
        <w:t>,</w:t>
      </w:r>
      <w:r w:rsidR="008E3A22">
        <w:rPr>
          <w:rFonts w:ascii="Arial" w:hAnsi="Arial" w:cs="Arial"/>
          <w:sz w:val="20"/>
          <w:szCs w:val="20"/>
        </w:rPr>
        <w:t>15</w:t>
      </w:r>
      <w:r w:rsidR="3F68ECBD" w:rsidRPr="44FB0632">
        <w:rPr>
          <w:rFonts w:ascii="Arial" w:hAnsi="Arial" w:cs="Arial"/>
          <w:sz w:val="20"/>
          <w:szCs w:val="20"/>
        </w:rPr>
        <w:t xml:space="preserve">/litro), com destaque para </w:t>
      </w:r>
      <w:r w:rsidR="13A593BD" w:rsidRPr="44FB0632">
        <w:rPr>
          <w:rFonts w:ascii="Arial" w:hAnsi="Arial" w:cs="Arial"/>
          <w:sz w:val="20"/>
          <w:szCs w:val="20"/>
        </w:rPr>
        <w:t xml:space="preserve">o </w:t>
      </w:r>
      <w:r w:rsidR="2FABE01D" w:rsidRPr="44FB0632">
        <w:rPr>
          <w:rFonts w:ascii="Arial" w:hAnsi="Arial" w:cs="Arial"/>
          <w:sz w:val="20"/>
          <w:szCs w:val="20"/>
        </w:rPr>
        <w:t>e</w:t>
      </w:r>
      <w:r w:rsidR="13A593BD" w:rsidRPr="44FB0632">
        <w:rPr>
          <w:rFonts w:ascii="Arial" w:hAnsi="Arial" w:cs="Arial"/>
          <w:sz w:val="20"/>
          <w:szCs w:val="20"/>
        </w:rPr>
        <w:t xml:space="preserve">stado </w:t>
      </w:r>
      <w:r w:rsidR="005A6A3C">
        <w:rPr>
          <w:rFonts w:ascii="Arial" w:hAnsi="Arial" w:cs="Arial"/>
          <w:sz w:val="20"/>
          <w:szCs w:val="20"/>
        </w:rPr>
        <w:t>de São Paulo</w:t>
      </w:r>
      <w:r w:rsidR="2DC23989" w:rsidRPr="44FB0632">
        <w:rPr>
          <w:rFonts w:ascii="Arial" w:hAnsi="Arial" w:cs="Arial"/>
          <w:sz w:val="20"/>
          <w:szCs w:val="20"/>
        </w:rPr>
        <w:t xml:space="preserve"> (R$ </w:t>
      </w:r>
      <w:r w:rsidR="008E3A22">
        <w:rPr>
          <w:rFonts w:ascii="Arial" w:hAnsi="Arial" w:cs="Arial"/>
          <w:sz w:val="20"/>
          <w:szCs w:val="20"/>
        </w:rPr>
        <w:t>4</w:t>
      </w:r>
      <w:r w:rsidR="002E3999">
        <w:rPr>
          <w:rFonts w:ascii="Arial" w:hAnsi="Arial" w:cs="Arial"/>
          <w:sz w:val="20"/>
          <w:szCs w:val="20"/>
        </w:rPr>
        <w:t>,</w:t>
      </w:r>
      <w:r w:rsidR="008E3A22">
        <w:rPr>
          <w:rFonts w:ascii="Arial" w:hAnsi="Arial" w:cs="Arial"/>
          <w:sz w:val="20"/>
          <w:szCs w:val="20"/>
        </w:rPr>
        <w:t>0</w:t>
      </w:r>
      <w:r w:rsidR="005A6A3C">
        <w:rPr>
          <w:rFonts w:ascii="Arial" w:hAnsi="Arial" w:cs="Arial"/>
          <w:sz w:val="20"/>
          <w:szCs w:val="20"/>
        </w:rPr>
        <w:t>9</w:t>
      </w:r>
      <w:r w:rsidR="21B36B62" w:rsidRPr="44FB0632">
        <w:rPr>
          <w:rFonts w:ascii="Arial" w:hAnsi="Arial" w:cs="Arial"/>
          <w:sz w:val="20"/>
          <w:szCs w:val="20"/>
        </w:rPr>
        <w:t>/litro</w:t>
      </w:r>
      <w:r w:rsidR="2DC23989" w:rsidRPr="44FB0632">
        <w:rPr>
          <w:rFonts w:ascii="Arial" w:hAnsi="Arial" w:cs="Arial"/>
          <w:sz w:val="20"/>
          <w:szCs w:val="20"/>
        </w:rPr>
        <w:t>)</w:t>
      </w:r>
      <w:r w:rsidR="53A48D05" w:rsidRPr="44FB0632">
        <w:rPr>
          <w:rFonts w:ascii="Arial" w:hAnsi="Arial" w:cs="Arial"/>
          <w:sz w:val="20"/>
          <w:szCs w:val="20"/>
        </w:rPr>
        <w:t>.</w:t>
      </w:r>
    </w:p>
    <w:p w14:paraId="125DF650" w14:textId="42F185AA" w:rsidR="00C6728E" w:rsidRPr="008A7A15" w:rsidRDefault="00C6728E" w:rsidP="44FB0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66AFD5" w14:textId="00151981" w:rsidR="00C6728E" w:rsidRPr="008A7A15" w:rsidRDefault="4F4210F5" w:rsidP="44FB0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Os preços mais altos foram registrados na </w:t>
      </w:r>
      <w:r w:rsidR="00C54227">
        <w:rPr>
          <w:rFonts w:ascii="Arial" w:hAnsi="Arial" w:cs="Arial"/>
          <w:sz w:val="20"/>
          <w:szCs w:val="20"/>
        </w:rPr>
        <w:t>Região</w:t>
      </w:r>
      <w:r w:rsidRPr="44FB0632">
        <w:rPr>
          <w:rFonts w:ascii="Arial" w:hAnsi="Arial" w:cs="Arial"/>
          <w:sz w:val="20"/>
          <w:szCs w:val="20"/>
        </w:rPr>
        <w:t xml:space="preserve"> Norte</w:t>
      </w:r>
      <w:r w:rsidR="002E3999">
        <w:rPr>
          <w:rFonts w:ascii="Arial" w:hAnsi="Arial" w:cs="Arial"/>
          <w:sz w:val="20"/>
          <w:szCs w:val="20"/>
        </w:rPr>
        <w:t xml:space="preserve"> (R$ </w:t>
      </w:r>
      <w:r w:rsidR="008E3A22">
        <w:rPr>
          <w:rFonts w:ascii="Arial" w:hAnsi="Arial" w:cs="Arial"/>
          <w:sz w:val="20"/>
          <w:szCs w:val="20"/>
        </w:rPr>
        <w:t>5</w:t>
      </w:r>
      <w:r w:rsidR="002E3999">
        <w:rPr>
          <w:rFonts w:ascii="Arial" w:hAnsi="Arial" w:cs="Arial"/>
          <w:sz w:val="20"/>
          <w:szCs w:val="20"/>
        </w:rPr>
        <w:t>,</w:t>
      </w:r>
      <w:r w:rsidR="0032480F">
        <w:rPr>
          <w:rFonts w:ascii="Arial" w:hAnsi="Arial" w:cs="Arial"/>
          <w:sz w:val="20"/>
          <w:szCs w:val="20"/>
        </w:rPr>
        <w:t>23</w:t>
      </w:r>
      <w:r w:rsidR="002E3999">
        <w:rPr>
          <w:rFonts w:ascii="Arial" w:hAnsi="Arial" w:cs="Arial"/>
          <w:sz w:val="20"/>
          <w:szCs w:val="20"/>
        </w:rPr>
        <w:t>/litro)</w:t>
      </w:r>
      <w:r w:rsidRPr="44FB0632">
        <w:rPr>
          <w:rFonts w:ascii="Arial" w:hAnsi="Arial" w:cs="Arial"/>
          <w:sz w:val="20"/>
          <w:szCs w:val="20"/>
        </w:rPr>
        <w:t xml:space="preserve"> e, </w:t>
      </w:r>
      <w:r w:rsidR="00022207">
        <w:rPr>
          <w:rFonts w:ascii="Arial" w:hAnsi="Arial" w:cs="Arial"/>
          <w:sz w:val="20"/>
          <w:szCs w:val="20"/>
        </w:rPr>
        <w:t>entre outros</w:t>
      </w:r>
      <w:r w:rsidRPr="44FB0632">
        <w:rPr>
          <w:rFonts w:ascii="Arial" w:hAnsi="Arial" w:cs="Arial"/>
          <w:sz w:val="20"/>
          <w:szCs w:val="20"/>
        </w:rPr>
        <w:t xml:space="preserve"> estados, </w:t>
      </w:r>
      <w:r w:rsidR="4F754143" w:rsidRPr="44FB0632">
        <w:rPr>
          <w:rFonts w:ascii="Arial" w:hAnsi="Arial" w:cs="Arial"/>
          <w:sz w:val="20"/>
          <w:szCs w:val="20"/>
        </w:rPr>
        <w:t xml:space="preserve">no </w:t>
      </w:r>
      <w:r w:rsidR="537CDB77" w:rsidRPr="44FB0632">
        <w:rPr>
          <w:rFonts w:ascii="Arial" w:hAnsi="Arial" w:cs="Arial"/>
          <w:sz w:val="20"/>
          <w:szCs w:val="20"/>
        </w:rPr>
        <w:t>Amapá</w:t>
      </w:r>
      <w:r w:rsidR="4F754143" w:rsidRPr="44FB0632">
        <w:rPr>
          <w:rFonts w:ascii="Arial" w:hAnsi="Arial" w:cs="Arial"/>
          <w:sz w:val="20"/>
          <w:szCs w:val="20"/>
        </w:rPr>
        <w:t xml:space="preserve"> </w:t>
      </w:r>
      <w:r w:rsidR="23E26EE8" w:rsidRPr="44FB0632">
        <w:rPr>
          <w:rFonts w:ascii="Arial" w:hAnsi="Arial" w:cs="Arial"/>
          <w:sz w:val="20"/>
          <w:szCs w:val="20"/>
        </w:rPr>
        <w:t xml:space="preserve">(R$ </w:t>
      </w:r>
      <w:r w:rsidR="2249E249" w:rsidRPr="44FB0632">
        <w:rPr>
          <w:rFonts w:ascii="Arial" w:hAnsi="Arial" w:cs="Arial"/>
          <w:sz w:val="20"/>
          <w:szCs w:val="20"/>
        </w:rPr>
        <w:t>5</w:t>
      </w:r>
      <w:r w:rsidR="537CDB77" w:rsidRPr="44FB0632">
        <w:rPr>
          <w:rFonts w:ascii="Arial" w:hAnsi="Arial" w:cs="Arial"/>
          <w:sz w:val="20"/>
          <w:szCs w:val="20"/>
        </w:rPr>
        <w:t>,</w:t>
      </w:r>
      <w:r w:rsidR="0032480F">
        <w:rPr>
          <w:rFonts w:ascii="Arial" w:hAnsi="Arial" w:cs="Arial"/>
          <w:sz w:val="20"/>
          <w:szCs w:val="20"/>
        </w:rPr>
        <w:t>45</w:t>
      </w:r>
      <w:r w:rsidR="74A32F9E" w:rsidRPr="44FB0632">
        <w:rPr>
          <w:rFonts w:ascii="Arial" w:hAnsi="Arial" w:cs="Arial"/>
          <w:sz w:val="20"/>
          <w:szCs w:val="20"/>
        </w:rPr>
        <w:t>/litro</w:t>
      </w:r>
      <w:r w:rsidR="23E26EE8" w:rsidRPr="44FB0632">
        <w:rPr>
          <w:rFonts w:ascii="Arial" w:hAnsi="Arial" w:cs="Arial"/>
          <w:sz w:val="20"/>
          <w:szCs w:val="20"/>
        </w:rPr>
        <w:t>).</w:t>
      </w:r>
    </w:p>
    <w:p w14:paraId="2DBF0D7D" w14:textId="77777777" w:rsidR="00426717" w:rsidRDefault="0042671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777697D0" w14:textId="41C4E0A1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Tabela 4.</w:t>
      </w:r>
      <w:r w:rsidR="00FC6C77">
        <w:rPr>
          <w:rFonts w:ascii="Arial" w:hAnsi="Arial" w:cs="Arial"/>
          <w:color w:val="FF0000"/>
          <w:sz w:val="20"/>
          <w:szCs w:val="20"/>
        </w:rPr>
        <w:t>9</w:t>
      </w:r>
    </w:p>
    <w:p w14:paraId="6B62F1B3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7F4BB4E8" w14:textId="71A754A9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 w:rsidR="003958B6" w:rsidRPr="008676E1">
        <w:rPr>
          <w:rFonts w:ascii="Arial" w:hAnsi="Arial" w:cs="Arial"/>
          <w:color w:val="FF0000"/>
          <w:sz w:val="20"/>
          <w:szCs w:val="20"/>
        </w:rPr>
        <w:t>1</w:t>
      </w:r>
      <w:r w:rsidR="00C45173">
        <w:rPr>
          <w:rFonts w:ascii="Arial" w:hAnsi="Arial" w:cs="Arial"/>
          <w:color w:val="FF0000"/>
          <w:sz w:val="20"/>
          <w:szCs w:val="20"/>
        </w:rPr>
        <w:t>3</w:t>
      </w:r>
    </w:p>
    <w:p w14:paraId="02F2C34E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0A4E5D" w14:textId="77777777" w:rsidR="009A71AA" w:rsidRDefault="009A71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53F5E53" w14:textId="77777777" w:rsidR="00387ECF" w:rsidRPr="008676E1" w:rsidRDefault="00387EC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4095CA" w14:textId="0B706F13" w:rsidR="009D24CD" w:rsidRPr="008676E1" w:rsidRDefault="00B4517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4.2 </w:t>
      </w:r>
      <w:r w:rsidR="00224134" w:rsidRPr="008676E1">
        <w:rPr>
          <w:rFonts w:ascii="Arial" w:hAnsi="Arial" w:cs="Arial"/>
          <w:b/>
          <w:bCs/>
          <w:sz w:val="20"/>
          <w:szCs w:val="20"/>
        </w:rPr>
        <w:t>BIODIESEL</w:t>
      </w:r>
    </w:p>
    <w:p w14:paraId="19219836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A1102DC" w14:textId="07304A0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676E1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2.1</w:t>
      </w:r>
      <w:r w:rsidRPr="008676E1">
        <w:rPr>
          <w:rFonts w:ascii="Arial" w:hAnsi="Arial" w:cs="Arial"/>
          <w:b/>
          <w:bCs/>
          <w:sz w:val="20"/>
          <w:szCs w:val="20"/>
        </w:rPr>
        <w:t xml:space="preserve"> </w:t>
      </w:r>
      <w:r w:rsidR="00BB06C3" w:rsidRPr="008676E1">
        <w:rPr>
          <w:rFonts w:ascii="Arial" w:hAnsi="Arial" w:cs="Arial"/>
          <w:b/>
          <w:bCs/>
          <w:sz w:val="20"/>
          <w:szCs w:val="20"/>
        </w:rPr>
        <w:t xml:space="preserve">Produção de </w:t>
      </w:r>
      <w:r w:rsidR="00387ECF">
        <w:rPr>
          <w:rFonts w:ascii="Arial" w:hAnsi="Arial" w:cs="Arial"/>
          <w:b/>
          <w:bCs/>
          <w:sz w:val="20"/>
          <w:szCs w:val="20"/>
        </w:rPr>
        <w:t>b</w:t>
      </w:r>
      <w:r w:rsidRPr="008676E1">
        <w:rPr>
          <w:rFonts w:ascii="Arial" w:hAnsi="Arial" w:cs="Arial"/>
          <w:b/>
          <w:bCs/>
          <w:sz w:val="20"/>
          <w:szCs w:val="20"/>
        </w:rPr>
        <w:t>iodiesel</w:t>
      </w:r>
    </w:p>
    <w:p w14:paraId="296FEF7D" w14:textId="77777777" w:rsidR="009D24CD" w:rsidRPr="008676E1" w:rsidRDefault="009D24C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EED9613" w14:textId="7CFC5562" w:rsidR="00962624" w:rsidRPr="001364D5" w:rsidRDefault="2E63154C" w:rsidP="00A72B24">
      <w:pPr>
        <w:pStyle w:val="Corpodetexto"/>
        <w:rPr>
          <w:color w:val="auto"/>
          <w:sz w:val="20"/>
          <w:szCs w:val="20"/>
        </w:rPr>
      </w:pPr>
      <w:r w:rsidRPr="44FB0632">
        <w:rPr>
          <w:sz w:val="20"/>
          <w:szCs w:val="20"/>
        </w:rPr>
        <w:t xml:space="preserve">O biodiesel é um combustível renovável obtido a partir de um processo químico denominado transesterificação. Por meio desse processo, os triglicerídeos presentes nos óleos e gordura animal reagem com um álcool primário, metanol ou etanol, gerando dois produtos: o éster e a glicerina. O </w:t>
      </w:r>
      <w:r w:rsidRPr="44FB0632">
        <w:rPr>
          <w:sz w:val="20"/>
          <w:szCs w:val="20"/>
        </w:rPr>
        <w:lastRenderedPageBreak/>
        <w:t xml:space="preserve">primeiro somente pode ser comercializado como biodiesel após passar por processos de purificação para adequação à especificação da qualidade, sendo destinado principalmente à aplicação em motores de ignição por compressão (ciclo Diesel). A sua mistura ao diesel fóssil teve início em 2004. Em </w:t>
      </w:r>
      <w:r w:rsidR="00A2703D">
        <w:rPr>
          <w:sz w:val="20"/>
          <w:szCs w:val="20"/>
        </w:rPr>
        <w:t>202</w:t>
      </w:r>
      <w:r w:rsidR="0032480F">
        <w:rPr>
          <w:sz w:val="20"/>
          <w:szCs w:val="20"/>
        </w:rPr>
        <w:t>5</w:t>
      </w:r>
      <w:r w:rsidRPr="44FB0632">
        <w:rPr>
          <w:sz w:val="20"/>
          <w:szCs w:val="20"/>
        </w:rPr>
        <w:t xml:space="preserve">, </w:t>
      </w:r>
      <w:r w:rsidR="02751F07" w:rsidRPr="44FB0632">
        <w:rPr>
          <w:color w:val="auto"/>
          <w:sz w:val="20"/>
          <w:szCs w:val="20"/>
        </w:rPr>
        <w:t>o</w:t>
      </w:r>
      <w:r w:rsidR="09CC896F" w:rsidRPr="44FB0632">
        <w:rPr>
          <w:color w:val="auto"/>
          <w:sz w:val="20"/>
          <w:szCs w:val="20"/>
        </w:rPr>
        <w:t xml:space="preserve"> percentual de</w:t>
      </w:r>
      <w:r w:rsidR="5732BAC6" w:rsidRPr="44FB0632">
        <w:rPr>
          <w:color w:val="auto"/>
          <w:sz w:val="20"/>
          <w:szCs w:val="20"/>
        </w:rPr>
        <w:t xml:space="preserve"> biodiesel adicionad</w:t>
      </w:r>
      <w:r w:rsidR="6EA65A86" w:rsidRPr="44FB0632">
        <w:rPr>
          <w:color w:val="auto"/>
          <w:sz w:val="20"/>
          <w:szCs w:val="20"/>
        </w:rPr>
        <w:t>o</w:t>
      </w:r>
      <w:r w:rsidR="5732BAC6" w:rsidRPr="44FB0632">
        <w:rPr>
          <w:color w:val="auto"/>
          <w:sz w:val="20"/>
          <w:szCs w:val="20"/>
        </w:rPr>
        <w:t xml:space="preserve"> ao óleo diesel </w:t>
      </w:r>
      <w:r w:rsidR="002F2C59">
        <w:rPr>
          <w:color w:val="auto"/>
          <w:sz w:val="20"/>
          <w:szCs w:val="20"/>
        </w:rPr>
        <w:t>foi</w:t>
      </w:r>
      <w:r w:rsidR="5732BAC6" w:rsidRPr="44FB0632">
        <w:rPr>
          <w:color w:val="auto"/>
          <w:sz w:val="20"/>
          <w:szCs w:val="20"/>
        </w:rPr>
        <w:t xml:space="preserve"> </w:t>
      </w:r>
      <w:r w:rsidR="2AF48F8A" w:rsidRPr="44FB0632">
        <w:rPr>
          <w:color w:val="auto"/>
          <w:sz w:val="20"/>
          <w:szCs w:val="20"/>
        </w:rPr>
        <w:t xml:space="preserve">de </w:t>
      </w:r>
      <w:r w:rsidR="0D07E293" w:rsidRPr="44FB0632">
        <w:rPr>
          <w:color w:val="auto"/>
          <w:sz w:val="20"/>
          <w:szCs w:val="20"/>
        </w:rPr>
        <w:t>1</w:t>
      </w:r>
      <w:r w:rsidR="0032480F">
        <w:rPr>
          <w:color w:val="auto"/>
          <w:sz w:val="20"/>
          <w:szCs w:val="20"/>
        </w:rPr>
        <w:t>4</w:t>
      </w:r>
      <w:r w:rsidR="5732BAC6" w:rsidRPr="44FB0632">
        <w:rPr>
          <w:color w:val="auto"/>
          <w:sz w:val="20"/>
          <w:szCs w:val="20"/>
        </w:rPr>
        <w:t xml:space="preserve">% </w:t>
      </w:r>
      <w:r w:rsidR="00585D78">
        <w:rPr>
          <w:color w:val="auto"/>
          <w:sz w:val="20"/>
          <w:szCs w:val="20"/>
        </w:rPr>
        <w:t xml:space="preserve">até </w:t>
      </w:r>
      <w:r w:rsidR="0032480F">
        <w:rPr>
          <w:color w:val="auto"/>
          <w:sz w:val="20"/>
          <w:szCs w:val="20"/>
        </w:rPr>
        <w:t>julho</w:t>
      </w:r>
      <w:r w:rsidR="00585D78">
        <w:rPr>
          <w:color w:val="auto"/>
          <w:sz w:val="20"/>
          <w:szCs w:val="20"/>
        </w:rPr>
        <w:t xml:space="preserve"> e 1</w:t>
      </w:r>
      <w:r w:rsidR="0032480F">
        <w:rPr>
          <w:color w:val="auto"/>
          <w:sz w:val="20"/>
          <w:szCs w:val="20"/>
        </w:rPr>
        <w:t>5</w:t>
      </w:r>
      <w:r w:rsidR="00585D78">
        <w:rPr>
          <w:color w:val="auto"/>
          <w:sz w:val="20"/>
          <w:szCs w:val="20"/>
        </w:rPr>
        <w:t>% no restante do ano</w:t>
      </w:r>
      <w:r w:rsidR="09CC896F" w:rsidRPr="44FB0632">
        <w:rPr>
          <w:color w:val="auto"/>
          <w:sz w:val="20"/>
          <w:szCs w:val="20"/>
        </w:rPr>
        <w:t>.</w:t>
      </w:r>
    </w:p>
    <w:p w14:paraId="7194DBDC" w14:textId="77777777" w:rsidR="00237CC2" w:rsidRDefault="00237CC2" w:rsidP="00A72B24">
      <w:pPr>
        <w:pStyle w:val="Corpodetexto"/>
        <w:rPr>
          <w:color w:val="auto"/>
          <w:sz w:val="20"/>
          <w:szCs w:val="20"/>
        </w:rPr>
      </w:pPr>
    </w:p>
    <w:p w14:paraId="703C7A1D" w14:textId="7CDA9CBC" w:rsidR="00A72B24" w:rsidRDefault="6234383D" w:rsidP="00FD35CC">
      <w:pPr>
        <w:pStyle w:val="Corpodetexto"/>
        <w:rPr>
          <w:color w:val="auto"/>
          <w:sz w:val="20"/>
          <w:szCs w:val="20"/>
        </w:rPr>
      </w:pPr>
      <w:r w:rsidRPr="44FB0632">
        <w:rPr>
          <w:color w:val="auto"/>
          <w:sz w:val="20"/>
          <w:szCs w:val="20"/>
        </w:rPr>
        <w:t xml:space="preserve">Em </w:t>
      </w:r>
      <w:r w:rsidR="00A2703D">
        <w:rPr>
          <w:color w:val="auto"/>
          <w:sz w:val="20"/>
          <w:szCs w:val="20"/>
        </w:rPr>
        <w:t>202</w:t>
      </w:r>
      <w:r w:rsidR="0032480F">
        <w:rPr>
          <w:color w:val="auto"/>
          <w:sz w:val="20"/>
          <w:szCs w:val="20"/>
        </w:rPr>
        <w:t>5</w:t>
      </w:r>
      <w:r w:rsidR="5732BAC6" w:rsidRPr="44FB0632">
        <w:rPr>
          <w:color w:val="auto"/>
          <w:sz w:val="20"/>
          <w:szCs w:val="20"/>
        </w:rPr>
        <w:t xml:space="preserve">, a capacidade nominal </w:t>
      </w:r>
      <w:r w:rsidR="13A593BD" w:rsidRPr="44FB0632">
        <w:rPr>
          <w:color w:val="auto"/>
          <w:sz w:val="20"/>
          <w:szCs w:val="20"/>
        </w:rPr>
        <w:t>de</w:t>
      </w:r>
      <w:r w:rsidR="5732BAC6" w:rsidRPr="44FB0632">
        <w:rPr>
          <w:color w:val="auto"/>
          <w:sz w:val="20"/>
          <w:szCs w:val="20"/>
        </w:rPr>
        <w:t xml:space="preserve"> produção de biodiesel (B100) no Brasil era de cerca de </w:t>
      </w:r>
      <w:r w:rsidR="321933B9" w:rsidRPr="44FB0632">
        <w:rPr>
          <w:color w:val="auto"/>
          <w:sz w:val="20"/>
          <w:szCs w:val="20"/>
        </w:rPr>
        <w:t>1</w:t>
      </w:r>
      <w:r w:rsidR="0032480F">
        <w:rPr>
          <w:color w:val="auto"/>
          <w:sz w:val="20"/>
          <w:szCs w:val="20"/>
        </w:rPr>
        <w:t>5</w:t>
      </w:r>
      <w:r w:rsidR="321933B9" w:rsidRPr="44FB0632">
        <w:rPr>
          <w:color w:val="auto"/>
          <w:sz w:val="20"/>
          <w:szCs w:val="20"/>
        </w:rPr>
        <w:t>,</w:t>
      </w:r>
      <w:r w:rsidR="0032480F">
        <w:rPr>
          <w:color w:val="auto"/>
          <w:sz w:val="20"/>
          <w:szCs w:val="20"/>
        </w:rPr>
        <w:t>6</w:t>
      </w:r>
      <w:r w:rsidR="5732BAC6" w:rsidRPr="44FB0632">
        <w:rPr>
          <w:color w:val="auto"/>
          <w:sz w:val="20"/>
          <w:szCs w:val="20"/>
        </w:rPr>
        <w:t xml:space="preserve"> milhões de </w:t>
      </w:r>
      <w:r w:rsidR="00C54227">
        <w:rPr>
          <w:color w:val="auto"/>
          <w:sz w:val="20"/>
          <w:szCs w:val="20"/>
        </w:rPr>
        <w:t>m³</w:t>
      </w:r>
      <w:r w:rsidR="72577C72" w:rsidRPr="44FB0632">
        <w:rPr>
          <w:color w:val="auto"/>
          <w:sz w:val="20"/>
          <w:szCs w:val="20"/>
        </w:rPr>
        <w:t xml:space="preserve"> (</w:t>
      </w:r>
      <w:r w:rsidR="00986BF7">
        <w:rPr>
          <w:color w:val="auto"/>
          <w:sz w:val="20"/>
          <w:szCs w:val="20"/>
        </w:rPr>
        <w:t>4</w:t>
      </w:r>
      <w:r w:rsidR="0032480F">
        <w:rPr>
          <w:color w:val="auto"/>
          <w:sz w:val="20"/>
          <w:szCs w:val="20"/>
        </w:rPr>
        <w:t>3</w:t>
      </w:r>
      <w:r w:rsidR="321933B9" w:rsidRPr="44FB0632">
        <w:rPr>
          <w:color w:val="auto"/>
          <w:sz w:val="20"/>
          <w:szCs w:val="20"/>
        </w:rPr>
        <w:t>,</w:t>
      </w:r>
      <w:r w:rsidR="0032480F">
        <w:rPr>
          <w:color w:val="auto"/>
          <w:sz w:val="20"/>
          <w:szCs w:val="20"/>
        </w:rPr>
        <w:t>3</w:t>
      </w:r>
      <w:r w:rsidR="5732BAC6" w:rsidRPr="44FB0632">
        <w:rPr>
          <w:color w:val="auto"/>
          <w:sz w:val="20"/>
          <w:szCs w:val="20"/>
        </w:rPr>
        <w:t xml:space="preserve"> mil </w:t>
      </w:r>
      <w:r w:rsidR="00C54227">
        <w:rPr>
          <w:color w:val="auto"/>
          <w:sz w:val="20"/>
          <w:szCs w:val="20"/>
        </w:rPr>
        <w:t>m³</w:t>
      </w:r>
      <w:r w:rsidR="5732BAC6" w:rsidRPr="44FB0632">
        <w:rPr>
          <w:color w:val="auto"/>
          <w:sz w:val="20"/>
          <w:szCs w:val="20"/>
        </w:rPr>
        <w:t xml:space="preserve">/dia). </w:t>
      </w:r>
      <w:r w:rsidR="57FA9700" w:rsidRPr="44FB0632">
        <w:rPr>
          <w:color w:val="auto"/>
          <w:sz w:val="20"/>
          <w:szCs w:val="20"/>
        </w:rPr>
        <w:t>Já</w:t>
      </w:r>
      <w:r w:rsidR="786DDEF8" w:rsidRPr="44FB0632">
        <w:rPr>
          <w:color w:val="auto"/>
          <w:sz w:val="20"/>
          <w:szCs w:val="20"/>
        </w:rPr>
        <w:t xml:space="preserve"> a produção nacional foi de </w:t>
      </w:r>
      <w:r w:rsidR="441238B3" w:rsidRPr="44FB0632">
        <w:rPr>
          <w:color w:val="auto"/>
          <w:sz w:val="20"/>
          <w:szCs w:val="20"/>
        </w:rPr>
        <w:t>pouco m</w:t>
      </w:r>
      <w:r w:rsidR="0032480F">
        <w:rPr>
          <w:color w:val="auto"/>
          <w:sz w:val="20"/>
          <w:szCs w:val="20"/>
        </w:rPr>
        <w:t>ais</w:t>
      </w:r>
      <w:r w:rsidR="441238B3" w:rsidRPr="44FB0632">
        <w:rPr>
          <w:color w:val="auto"/>
          <w:sz w:val="20"/>
          <w:szCs w:val="20"/>
        </w:rPr>
        <w:t xml:space="preserve"> de </w:t>
      </w:r>
      <w:r w:rsidR="00C5043D">
        <w:rPr>
          <w:color w:val="auto"/>
          <w:sz w:val="20"/>
          <w:szCs w:val="20"/>
        </w:rPr>
        <w:t>9,</w:t>
      </w:r>
      <w:r w:rsidR="0032480F">
        <w:rPr>
          <w:color w:val="auto"/>
          <w:sz w:val="20"/>
          <w:szCs w:val="20"/>
        </w:rPr>
        <w:t>8</w:t>
      </w:r>
      <w:r w:rsidR="5732BAC6" w:rsidRPr="44FB0632">
        <w:rPr>
          <w:color w:val="auto"/>
          <w:sz w:val="20"/>
          <w:szCs w:val="20"/>
        </w:rPr>
        <w:t xml:space="preserve"> milhões de </w:t>
      </w:r>
      <w:r w:rsidR="00C54227">
        <w:rPr>
          <w:color w:val="auto"/>
          <w:sz w:val="20"/>
          <w:szCs w:val="20"/>
        </w:rPr>
        <w:t>m³</w:t>
      </w:r>
      <w:r w:rsidR="5732BAC6" w:rsidRPr="44FB0632">
        <w:rPr>
          <w:color w:val="auto"/>
          <w:sz w:val="20"/>
          <w:szCs w:val="20"/>
        </w:rPr>
        <w:t xml:space="preserve">, o que correspondeu a </w:t>
      </w:r>
      <w:r w:rsidR="00986BF7">
        <w:rPr>
          <w:color w:val="auto"/>
          <w:sz w:val="20"/>
          <w:szCs w:val="20"/>
        </w:rPr>
        <w:t>6</w:t>
      </w:r>
      <w:r w:rsidR="0032480F">
        <w:rPr>
          <w:color w:val="auto"/>
          <w:sz w:val="20"/>
          <w:szCs w:val="20"/>
        </w:rPr>
        <w:t>3</w:t>
      </w:r>
      <w:r w:rsidR="00986BF7">
        <w:rPr>
          <w:color w:val="auto"/>
          <w:sz w:val="20"/>
          <w:szCs w:val="20"/>
        </w:rPr>
        <w:t>,</w:t>
      </w:r>
      <w:r w:rsidR="0032480F">
        <w:rPr>
          <w:color w:val="auto"/>
          <w:sz w:val="20"/>
          <w:szCs w:val="20"/>
        </w:rPr>
        <w:t>2</w:t>
      </w:r>
      <w:r w:rsidR="6832AC4C" w:rsidRPr="44FB0632">
        <w:rPr>
          <w:color w:val="auto"/>
          <w:sz w:val="20"/>
          <w:szCs w:val="20"/>
        </w:rPr>
        <w:t xml:space="preserve">% </w:t>
      </w:r>
      <w:r w:rsidR="76542B46" w:rsidRPr="44FB0632">
        <w:rPr>
          <w:color w:val="auto"/>
          <w:sz w:val="20"/>
          <w:szCs w:val="20"/>
        </w:rPr>
        <w:t>da capacidade total.</w:t>
      </w:r>
    </w:p>
    <w:p w14:paraId="769D0D3C" w14:textId="77777777" w:rsidR="00237CC2" w:rsidRPr="008676E1" w:rsidRDefault="00237CC2" w:rsidP="00A72B24">
      <w:pPr>
        <w:pStyle w:val="Corpodetexto"/>
        <w:rPr>
          <w:color w:val="auto"/>
          <w:sz w:val="20"/>
          <w:szCs w:val="20"/>
        </w:rPr>
      </w:pPr>
    </w:p>
    <w:p w14:paraId="1C2B5933" w14:textId="06B53C84" w:rsidR="0088605C" w:rsidRDefault="6234383D" w:rsidP="00A72B24">
      <w:pPr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Em comparação a </w:t>
      </w:r>
      <w:r w:rsidR="00A2703D">
        <w:rPr>
          <w:rFonts w:ascii="Arial" w:hAnsi="Arial" w:cs="Arial"/>
          <w:sz w:val="20"/>
          <w:szCs w:val="20"/>
        </w:rPr>
        <w:t>202</w:t>
      </w:r>
      <w:r w:rsidR="0032480F">
        <w:rPr>
          <w:rFonts w:ascii="Arial" w:hAnsi="Arial" w:cs="Arial"/>
          <w:sz w:val="20"/>
          <w:szCs w:val="20"/>
        </w:rPr>
        <w:t>4</w:t>
      </w:r>
      <w:r w:rsidR="76542B46" w:rsidRPr="44FB0632">
        <w:rPr>
          <w:rFonts w:ascii="Arial" w:hAnsi="Arial" w:cs="Arial"/>
          <w:sz w:val="20"/>
          <w:szCs w:val="20"/>
        </w:rPr>
        <w:t>, a produ</w:t>
      </w:r>
      <w:r w:rsidR="13E170F8" w:rsidRPr="44FB0632">
        <w:rPr>
          <w:rFonts w:ascii="Arial" w:hAnsi="Arial" w:cs="Arial"/>
          <w:sz w:val="20"/>
          <w:szCs w:val="20"/>
        </w:rPr>
        <w:t>ç</w:t>
      </w:r>
      <w:r w:rsidR="13A593BD" w:rsidRPr="44FB0632">
        <w:rPr>
          <w:rFonts w:ascii="Arial" w:hAnsi="Arial" w:cs="Arial"/>
          <w:sz w:val="20"/>
          <w:szCs w:val="20"/>
        </w:rPr>
        <w:t xml:space="preserve">ão de biodiesel foi </w:t>
      </w:r>
      <w:r w:rsidR="0032480F">
        <w:rPr>
          <w:rFonts w:ascii="Arial" w:hAnsi="Arial" w:cs="Arial"/>
          <w:sz w:val="20"/>
          <w:szCs w:val="20"/>
        </w:rPr>
        <w:t>8</w:t>
      </w:r>
      <w:r w:rsidR="00EE3BD8">
        <w:rPr>
          <w:rFonts w:ascii="Arial" w:hAnsi="Arial" w:cs="Arial"/>
          <w:sz w:val="20"/>
          <w:szCs w:val="20"/>
        </w:rPr>
        <w:t>,</w:t>
      </w:r>
      <w:r w:rsidR="0032480F">
        <w:rPr>
          <w:rFonts w:ascii="Arial" w:hAnsi="Arial" w:cs="Arial"/>
          <w:sz w:val="20"/>
          <w:szCs w:val="20"/>
        </w:rPr>
        <w:t>7</w:t>
      </w:r>
      <w:r w:rsidR="021E0198" w:rsidRPr="44FB0632">
        <w:rPr>
          <w:rFonts w:ascii="Arial" w:hAnsi="Arial" w:cs="Arial"/>
          <w:sz w:val="20"/>
          <w:szCs w:val="20"/>
        </w:rPr>
        <w:t>%</w:t>
      </w:r>
      <w:r w:rsidR="321933B9" w:rsidRPr="44FB0632">
        <w:rPr>
          <w:rFonts w:ascii="Arial" w:hAnsi="Arial" w:cs="Arial"/>
          <w:sz w:val="20"/>
          <w:szCs w:val="20"/>
        </w:rPr>
        <w:t xml:space="preserve"> </w:t>
      </w:r>
      <w:r w:rsidR="00EE3BD8">
        <w:rPr>
          <w:rFonts w:ascii="Arial" w:hAnsi="Arial" w:cs="Arial"/>
          <w:sz w:val="20"/>
          <w:szCs w:val="20"/>
        </w:rPr>
        <w:t>sup</w:t>
      </w:r>
      <w:r w:rsidR="79918273" w:rsidRPr="44FB0632">
        <w:rPr>
          <w:rFonts w:ascii="Arial" w:hAnsi="Arial" w:cs="Arial"/>
          <w:sz w:val="20"/>
          <w:szCs w:val="20"/>
        </w:rPr>
        <w:t>erior</w:t>
      </w:r>
      <w:r w:rsidR="7C96A3EB" w:rsidRPr="44FB0632">
        <w:rPr>
          <w:rFonts w:ascii="Arial" w:hAnsi="Arial" w:cs="Arial"/>
          <w:sz w:val="20"/>
          <w:szCs w:val="20"/>
        </w:rPr>
        <w:t xml:space="preserve">. </w:t>
      </w:r>
      <w:r w:rsidR="26C9BF14" w:rsidRPr="44FB0632">
        <w:rPr>
          <w:rFonts w:ascii="Arial" w:hAnsi="Arial" w:cs="Arial"/>
          <w:sz w:val="20"/>
          <w:szCs w:val="20"/>
        </w:rPr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32480F">
        <w:rPr>
          <w:rFonts w:ascii="Arial" w:hAnsi="Arial" w:cs="Arial"/>
          <w:sz w:val="20"/>
          <w:szCs w:val="20"/>
        </w:rPr>
        <w:t>5</w:t>
      </w:r>
      <w:r w:rsidR="79918273" w:rsidRPr="44FB0632">
        <w:rPr>
          <w:rFonts w:ascii="Arial" w:hAnsi="Arial" w:cs="Arial"/>
          <w:sz w:val="20"/>
          <w:szCs w:val="20"/>
        </w:rPr>
        <w:t xml:space="preserve">, </w:t>
      </w:r>
      <w:r w:rsidR="0088605C">
        <w:rPr>
          <w:rFonts w:ascii="Arial" w:hAnsi="Arial" w:cs="Arial"/>
          <w:sz w:val="20"/>
          <w:szCs w:val="20"/>
        </w:rPr>
        <w:t xml:space="preserve">todas as regiões registraram aumento na produção de biodiesel. </w:t>
      </w:r>
      <w:r w:rsidR="00387ECF" w:rsidRPr="00387ECF">
        <w:rPr>
          <w:rFonts w:ascii="Arial" w:hAnsi="Arial" w:cs="Arial"/>
          <w:sz w:val="20"/>
          <w:szCs w:val="20"/>
        </w:rPr>
        <w:t>A região Sul foi a maior produtora de biodiesel em 2025, com 4,0 milhões de m³ (41,0% do total nacional), o que equivale a uma alta de 8,5%. Em segundo lugar, a região Centro-Oeste registrou 3,8 milhões de m³ produzidos (38,5% do total nacional), o que equivale a uma alta de 5,7%. Em terceiro, a região Nordeste registrou 821,1 mil m³ produzidos (8,3% do total nacional), o que equivale a uma alta de 4,5%. Em quarto, a região Sudeste registrou 615,3 mil m³ produzidos (6,3% do total nacional), o que equivale a uma alta de 8,3%. Por fim, em quinto, a região Norte registrou 581,1 mil m³ (5,9% do total nacional), o que equivale a uma alta de 46,9%</w:t>
      </w:r>
      <w:r w:rsidR="006F14A4">
        <w:rPr>
          <w:rFonts w:ascii="Arial" w:hAnsi="Arial" w:cs="Arial"/>
          <w:sz w:val="20"/>
          <w:szCs w:val="20"/>
        </w:rPr>
        <w:t>.</w:t>
      </w:r>
    </w:p>
    <w:p w14:paraId="1231BE67" w14:textId="77777777" w:rsidR="00573164" w:rsidRDefault="00573164" w:rsidP="00A72B24">
      <w:pPr>
        <w:jc w:val="both"/>
        <w:rPr>
          <w:rFonts w:ascii="Arial" w:hAnsi="Arial" w:cs="Arial"/>
          <w:sz w:val="20"/>
          <w:szCs w:val="20"/>
        </w:rPr>
      </w:pPr>
    </w:p>
    <w:p w14:paraId="6D07F7B1" w14:textId="2FBC2883" w:rsidR="00E64D69" w:rsidRDefault="00387ECF" w:rsidP="00A72B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87ECF">
        <w:rPr>
          <w:rFonts w:ascii="Arial" w:hAnsi="Arial" w:cs="Arial"/>
          <w:color w:val="000000" w:themeColor="text1"/>
          <w:sz w:val="20"/>
          <w:szCs w:val="20"/>
        </w:rPr>
        <w:t>Em 2025, considerando os estados, o Rio Grande do Sul foi o maior produtor de biodiesel, com um volume de aproximadamente 2,2 milhões de m³, o que equivale a 22,8% do total nacional e representa um crescimento de 15% em relação a 2024. Em segundo lugar, Mato Grosso registrou 2,1 milhões de m³ produzidos, o que equivale a 21,7% do total nacional e representa uma alta de 11,3%. Em terceiro, o Paraná registrou 1,3 milhão de m³ produzidos, o que equivale a 13,2% do total nacional e representa variação não considerável em relação ao ano anterior</w:t>
      </w:r>
      <w:r w:rsidR="0092591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D7AA69" w14:textId="77777777" w:rsidR="00607D2B" w:rsidRPr="008676E1" w:rsidRDefault="00607D2B" w:rsidP="00A72B24">
      <w:pPr>
        <w:jc w:val="both"/>
        <w:rPr>
          <w:rFonts w:ascii="Arial" w:hAnsi="Arial" w:cs="Arial"/>
          <w:sz w:val="20"/>
          <w:szCs w:val="20"/>
        </w:rPr>
      </w:pPr>
    </w:p>
    <w:p w14:paraId="0685FD36" w14:textId="6FB00E86" w:rsidR="00B32E21" w:rsidRPr="008676E1" w:rsidRDefault="00B32E21" w:rsidP="00B32E21">
      <w:pPr>
        <w:pStyle w:val="Ttulo2"/>
        <w:rPr>
          <w:rFonts w:ascii="Arial" w:hAnsi="Arial" w:cs="Arial"/>
          <w:b w:val="0"/>
          <w:bCs w:val="0"/>
          <w:sz w:val="20"/>
          <w:szCs w:val="20"/>
        </w:rPr>
      </w:pPr>
      <w:r w:rsidRPr="008676E1">
        <w:rPr>
          <w:rFonts w:ascii="Arial" w:hAnsi="Arial" w:cs="Arial"/>
          <w:b w:val="0"/>
          <w:bCs w:val="0"/>
          <w:sz w:val="20"/>
          <w:szCs w:val="20"/>
        </w:rPr>
        <w:t>Tabela 4.</w:t>
      </w:r>
      <w:r w:rsidR="00C85CDA">
        <w:rPr>
          <w:rFonts w:ascii="Arial" w:hAnsi="Arial" w:cs="Arial"/>
          <w:b w:val="0"/>
          <w:bCs w:val="0"/>
          <w:sz w:val="20"/>
          <w:szCs w:val="20"/>
        </w:rPr>
        <w:t>10</w:t>
      </w:r>
    </w:p>
    <w:p w14:paraId="283415A2" w14:textId="7999F5DA" w:rsidR="00011C78" w:rsidRPr="008676E1" w:rsidRDefault="00011C78" w:rsidP="00011C78">
      <w:pPr>
        <w:pStyle w:val="Ttulo2"/>
        <w:rPr>
          <w:rFonts w:ascii="Arial" w:hAnsi="Arial" w:cs="Arial"/>
          <w:b w:val="0"/>
          <w:bCs w:val="0"/>
          <w:sz w:val="20"/>
          <w:szCs w:val="20"/>
        </w:rPr>
      </w:pPr>
      <w:r w:rsidRPr="008676E1">
        <w:rPr>
          <w:rFonts w:ascii="Arial" w:hAnsi="Arial" w:cs="Arial"/>
          <w:b w:val="0"/>
          <w:bCs w:val="0"/>
          <w:sz w:val="20"/>
          <w:szCs w:val="20"/>
        </w:rPr>
        <w:t>Tabela 4.1</w:t>
      </w:r>
      <w:r w:rsidR="00C85CDA">
        <w:rPr>
          <w:rFonts w:ascii="Arial" w:hAnsi="Arial" w:cs="Arial"/>
          <w:b w:val="0"/>
          <w:bCs w:val="0"/>
          <w:sz w:val="20"/>
          <w:szCs w:val="20"/>
        </w:rPr>
        <w:t>1</w:t>
      </w:r>
    </w:p>
    <w:p w14:paraId="7196D064" w14:textId="77777777" w:rsidR="00B32E21" w:rsidRPr="008676E1" w:rsidRDefault="00B32E21" w:rsidP="00B32E21">
      <w:pPr>
        <w:rPr>
          <w:sz w:val="20"/>
          <w:szCs w:val="20"/>
        </w:rPr>
      </w:pPr>
    </w:p>
    <w:p w14:paraId="16761F22" w14:textId="7C6739A2" w:rsidR="00F9307B" w:rsidRPr="008676E1" w:rsidRDefault="00F9307B">
      <w:pPr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</w:t>
      </w:r>
      <w:r w:rsidR="00766773" w:rsidRPr="008676E1">
        <w:rPr>
          <w:rFonts w:ascii="Arial" w:hAnsi="Arial" w:cs="Arial"/>
          <w:color w:val="FF0000"/>
          <w:sz w:val="20"/>
          <w:szCs w:val="20"/>
        </w:rPr>
        <w:t>1</w:t>
      </w:r>
      <w:r w:rsidR="00BF781D">
        <w:rPr>
          <w:rFonts w:ascii="Arial" w:hAnsi="Arial" w:cs="Arial"/>
          <w:color w:val="FF0000"/>
          <w:sz w:val="20"/>
          <w:szCs w:val="20"/>
        </w:rPr>
        <w:t>4</w:t>
      </w:r>
    </w:p>
    <w:p w14:paraId="34FF1C98" w14:textId="77777777" w:rsidR="00BB06C3" w:rsidRDefault="00BB06C3">
      <w:pPr>
        <w:rPr>
          <w:rFonts w:ascii="Arial" w:hAnsi="Arial" w:cs="Arial"/>
          <w:sz w:val="20"/>
          <w:szCs w:val="20"/>
        </w:rPr>
      </w:pPr>
    </w:p>
    <w:p w14:paraId="593F6E3C" w14:textId="77777777" w:rsidR="00574FCB" w:rsidRDefault="00574FCB" w:rsidP="009626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2F13CE9" w14:textId="702AF991" w:rsidR="00962624" w:rsidRPr="008676E1" w:rsidRDefault="00962624" w:rsidP="009626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676E1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2.2</w:t>
      </w:r>
      <w:r w:rsidRPr="008676E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Consumo de </w:t>
      </w:r>
      <w:r w:rsidR="00387ECF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etanol</w:t>
      </w:r>
    </w:p>
    <w:p w14:paraId="48A21919" w14:textId="77777777" w:rsidR="00962624" w:rsidRPr="008676E1" w:rsidRDefault="00962624">
      <w:pPr>
        <w:rPr>
          <w:rFonts w:ascii="Arial" w:hAnsi="Arial" w:cs="Arial"/>
          <w:sz w:val="20"/>
          <w:szCs w:val="20"/>
        </w:rPr>
      </w:pPr>
    </w:p>
    <w:p w14:paraId="5A79EA22" w14:textId="77777777" w:rsidR="00742344" w:rsidRDefault="00742344" w:rsidP="00C84ACE">
      <w:pPr>
        <w:jc w:val="both"/>
        <w:rPr>
          <w:rFonts w:ascii="Arial" w:hAnsi="Arial" w:cs="Arial"/>
          <w:sz w:val="20"/>
          <w:szCs w:val="20"/>
        </w:rPr>
      </w:pPr>
      <w:r w:rsidRPr="00742344">
        <w:rPr>
          <w:rFonts w:ascii="Arial" w:hAnsi="Arial" w:cs="Arial"/>
          <w:sz w:val="20"/>
          <w:szCs w:val="20"/>
        </w:rPr>
        <w:t>O consumo de metanol pode variar em função do processo de produção e das matérias-primas utilizadas na fabricação de biodiesel.</w:t>
      </w:r>
    </w:p>
    <w:p w14:paraId="6BD18F9B" w14:textId="77777777" w:rsidR="00742344" w:rsidRDefault="00742344" w:rsidP="00C84ACE">
      <w:pPr>
        <w:jc w:val="both"/>
        <w:rPr>
          <w:rFonts w:ascii="Arial" w:hAnsi="Arial" w:cs="Arial"/>
          <w:sz w:val="20"/>
          <w:szCs w:val="20"/>
        </w:rPr>
      </w:pPr>
    </w:p>
    <w:p w14:paraId="76430709" w14:textId="54EF0701" w:rsidR="00535F97" w:rsidRDefault="2C3C8BA5" w:rsidP="00C84ACE">
      <w:pPr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E96C51">
        <w:rPr>
          <w:rFonts w:ascii="Arial" w:hAnsi="Arial" w:cs="Arial"/>
          <w:sz w:val="20"/>
          <w:szCs w:val="20"/>
        </w:rPr>
        <w:t>5</w:t>
      </w:r>
      <w:r w:rsidRPr="44FB0632">
        <w:rPr>
          <w:rFonts w:ascii="Arial" w:hAnsi="Arial" w:cs="Arial"/>
          <w:sz w:val="20"/>
          <w:szCs w:val="20"/>
        </w:rPr>
        <w:t>, o</w:t>
      </w:r>
      <w:r w:rsidR="5F742157" w:rsidRPr="44FB0632">
        <w:rPr>
          <w:rFonts w:ascii="Arial" w:hAnsi="Arial" w:cs="Arial"/>
          <w:sz w:val="20"/>
          <w:szCs w:val="20"/>
        </w:rPr>
        <w:t xml:space="preserve"> consumo total de metanol empregado na produção de biodiesel pelo processo de transesterificação de óleos vegetais e gorduras animais foi </w:t>
      </w:r>
      <w:r w:rsidR="62317B64" w:rsidRPr="44FB0632">
        <w:rPr>
          <w:rFonts w:ascii="Arial" w:hAnsi="Arial" w:cs="Arial"/>
          <w:sz w:val="20"/>
          <w:szCs w:val="20"/>
        </w:rPr>
        <w:t>de pouco m</w:t>
      </w:r>
      <w:r w:rsidR="00F53BAE">
        <w:rPr>
          <w:rFonts w:ascii="Arial" w:hAnsi="Arial" w:cs="Arial"/>
          <w:sz w:val="20"/>
          <w:szCs w:val="20"/>
        </w:rPr>
        <w:t>enos</w:t>
      </w:r>
      <w:r w:rsidR="62317B64" w:rsidRPr="44FB0632">
        <w:rPr>
          <w:rFonts w:ascii="Arial" w:hAnsi="Arial" w:cs="Arial"/>
          <w:sz w:val="20"/>
          <w:szCs w:val="20"/>
        </w:rPr>
        <w:t xml:space="preserve"> de</w:t>
      </w:r>
      <w:r w:rsidR="260C4864" w:rsidRPr="44FB0632">
        <w:rPr>
          <w:rFonts w:ascii="Arial" w:hAnsi="Arial" w:cs="Arial"/>
          <w:sz w:val="20"/>
          <w:szCs w:val="20"/>
        </w:rPr>
        <w:t xml:space="preserve"> </w:t>
      </w:r>
      <w:r w:rsidR="00F53BAE">
        <w:rPr>
          <w:rFonts w:ascii="Arial" w:hAnsi="Arial" w:cs="Arial"/>
          <w:sz w:val="20"/>
          <w:szCs w:val="20"/>
        </w:rPr>
        <w:t>1</w:t>
      </w:r>
      <w:r w:rsidR="00E96C51">
        <w:rPr>
          <w:rFonts w:ascii="Arial" w:hAnsi="Arial" w:cs="Arial"/>
          <w:sz w:val="20"/>
          <w:szCs w:val="20"/>
        </w:rPr>
        <w:t>,1</w:t>
      </w:r>
      <w:r w:rsidR="0BBEB8A1" w:rsidRPr="44FB0632">
        <w:rPr>
          <w:rFonts w:ascii="Arial" w:hAnsi="Arial" w:cs="Arial"/>
          <w:sz w:val="20"/>
          <w:szCs w:val="20"/>
        </w:rPr>
        <w:t xml:space="preserve"> mil</w:t>
      </w:r>
      <w:r w:rsidR="00F53BAE">
        <w:rPr>
          <w:rFonts w:ascii="Arial" w:hAnsi="Arial" w:cs="Arial"/>
          <w:sz w:val="20"/>
          <w:szCs w:val="20"/>
        </w:rPr>
        <w:t>hão de</w:t>
      </w:r>
      <w:r w:rsidR="0BBEB8A1" w:rsidRPr="44FB0632">
        <w:rPr>
          <w:rFonts w:ascii="Arial" w:hAnsi="Arial" w:cs="Arial"/>
          <w:sz w:val="20"/>
          <w:szCs w:val="20"/>
        </w:rPr>
        <w:t xml:space="preserve"> </w:t>
      </w:r>
      <w:r w:rsidR="00C54227">
        <w:rPr>
          <w:rFonts w:ascii="Arial" w:hAnsi="Arial" w:cs="Arial"/>
          <w:sz w:val="20"/>
          <w:szCs w:val="20"/>
        </w:rPr>
        <w:t>m³</w:t>
      </w:r>
      <w:r w:rsidR="6234383D" w:rsidRPr="44FB0632">
        <w:rPr>
          <w:rFonts w:ascii="Arial" w:hAnsi="Arial" w:cs="Arial"/>
          <w:sz w:val="20"/>
          <w:szCs w:val="20"/>
        </w:rPr>
        <w:t xml:space="preserve">, </w:t>
      </w:r>
      <w:r w:rsidR="00E96C51">
        <w:rPr>
          <w:rFonts w:ascii="Arial" w:hAnsi="Arial" w:cs="Arial"/>
          <w:sz w:val="20"/>
          <w:szCs w:val="20"/>
        </w:rPr>
        <w:t>7,7</w:t>
      </w:r>
      <w:r w:rsidR="260C4864" w:rsidRPr="44FB0632">
        <w:rPr>
          <w:rFonts w:ascii="Arial" w:hAnsi="Arial" w:cs="Arial"/>
          <w:sz w:val="20"/>
          <w:szCs w:val="20"/>
        </w:rPr>
        <w:t xml:space="preserve">% </w:t>
      </w:r>
      <w:r w:rsidR="003159FB">
        <w:rPr>
          <w:rFonts w:ascii="Arial" w:hAnsi="Arial" w:cs="Arial"/>
          <w:sz w:val="20"/>
          <w:szCs w:val="20"/>
        </w:rPr>
        <w:t>maior</w:t>
      </w:r>
      <w:r w:rsidR="6234383D" w:rsidRPr="44FB0632">
        <w:rPr>
          <w:rFonts w:ascii="Arial" w:hAnsi="Arial" w:cs="Arial"/>
          <w:sz w:val="20"/>
          <w:szCs w:val="20"/>
        </w:rPr>
        <w:t xml:space="preserve"> </w:t>
      </w:r>
      <w:r w:rsidR="000C47A4">
        <w:rPr>
          <w:rFonts w:ascii="Arial" w:hAnsi="Arial" w:cs="Arial"/>
          <w:sz w:val="20"/>
          <w:szCs w:val="20"/>
        </w:rPr>
        <w:t xml:space="preserve">do </w:t>
      </w:r>
      <w:r w:rsidR="6234383D" w:rsidRPr="44FB0632">
        <w:rPr>
          <w:rFonts w:ascii="Arial" w:hAnsi="Arial" w:cs="Arial"/>
          <w:sz w:val="20"/>
          <w:szCs w:val="20"/>
        </w:rPr>
        <w:t xml:space="preserve">que em </w:t>
      </w:r>
      <w:r w:rsidR="00A2703D">
        <w:rPr>
          <w:rFonts w:ascii="Arial" w:hAnsi="Arial" w:cs="Arial"/>
          <w:sz w:val="20"/>
          <w:szCs w:val="20"/>
        </w:rPr>
        <w:t>202</w:t>
      </w:r>
      <w:r w:rsidR="00E96C51">
        <w:rPr>
          <w:rFonts w:ascii="Arial" w:hAnsi="Arial" w:cs="Arial"/>
          <w:sz w:val="20"/>
          <w:szCs w:val="20"/>
        </w:rPr>
        <w:t>4</w:t>
      </w:r>
      <w:r w:rsidR="0BBEB8A1" w:rsidRPr="44FB0632">
        <w:rPr>
          <w:rFonts w:ascii="Arial" w:hAnsi="Arial" w:cs="Arial"/>
          <w:sz w:val="20"/>
          <w:szCs w:val="20"/>
        </w:rPr>
        <w:t>.</w:t>
      </w:r>
    </w:p>
    <w:p w14:paraId="238601FE" w14:textId="77777777" w:rsidR="001A71F9" w:rsidRPr="008676E1" w:rsidRDefault="001A71F9" w:rsidP="00C84ACE">
      <w:pPr>
        <w:jc w:val="both"/>
        <w:rPr>
          <w:rFonts w:ascii="Arial" w:hAnsi="Arial" w:cs="Arial"/>
          <w:sz w:val="20"/>
          <w:szCs w:val="20"/>
        </w:rPr>
      </w:pPr>
    </w:p>
    <w:p w14:paraId="7F331049" w14:textId="5B9A0670" w:rsidR="00F53BAE" w:rsidRDefault="00387ECF" w:rsidP="00F53BAE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87ECF">
        <w:rPr>
          <w:rFonts w:ascii="Arial" w:hAnsi="Arial" w:cs="Arial"/>
          <w:sz w:val="20"/>
          <w:szCs w:val="20"/>
        </w:rPr>
        <w:t>A região Centro-Oeste foi a maior consumidora de metanol para a produção de biodiesel, com 451,0 mil m³ (40,0% do total nacional). A região Sul foi a segunda maior consumidora, com 450,2 mil m³ (40,0% do total nacional). A região Nordeste ficou em terceiro lugar, com 95,1 mil m³ (8,4% do total nacional). A região Sudeste, em quarto, com 72,1 mil m³ (6,4% do total nacional). Por fim, a região Norte ficou em quinto lugar, com 57,8 mil m³ (5,1% do total nacional)</w:t>
      </w:r>
      <w:r>
        <w:rPr>
          <w:rFonts w:ascii="Arial" w:hAnsi="Arial" w:cs="Arial"/>
          <w:sz w:val="20"/>
          <w:szCs w:val="20"/>
        </w:rPr>
        <w:t>.</w:t>
      </w:r>
    </w:p>
    <w:p w14:paraId="5B08B5D1" w14:textId="77777777" w:rsidR="005E5184" w:rsidRDefault="005E5184" w:rsidP="00C84ACE">
      <w:pPr>
        <w:jc w:val="both"/>
        <w:rPr>
          <w:rFonts w:ascii="Arial" w:hAnsi="Arial" w:cs="Arial"/>
          <w:sz w:val="20"/>
          <w:szCs w:val="20"/>
        </w:rPr>
      </w:pPr>
    </w:p>
    <w:p w14:paraId="78954DF8" w14:textId="77777777" w:rsidR="00387ECF" w:rsidRDefault="00387ECF" w:rsidP="00C84ACE">
      <w:pPr>
        <w:jc w:val="both"/>
        <w:rPr>
          <w:rFonts w:ascii="Arial" w:hAnsi="Arial" w:cs="Arial"/>
          <w:sz w:val="20"/>
          <w:szCs w:val="20"/>
        </w:rPr>
      </w:pPr>
    </w:p>
    <w:p w14:paraId="47247D6D" w14:textId="77777777" w:rsidR="00387ECF" w:rsidRDefault="00387ECF" w:rsidP="00C84ACE">
      <w:pPr>
        <w:jc w:val="both"/>
        <w:rPr>
          <w:rFonts w:ascii="Arial" w:hAnsi="Arial" w:cs="Arial"/>
          <w:sz w:val="20"/>
          <w:szCs w:val="20"/>
        </w:rPr>
      </w:pPr>
    </w:p>
    <w:p w14:paraId="5AA35B35" w14:textId="77777777" w:rsidR="00387ECF" w:rsidRDefault="00387ECF" w:rsidP="00C84ACE">
      <w:pPr>
        <w:jc w:val="both"/>
        <w:rPr>
          <w:rFonts w:ascii="Arial" w:hAnsi="Arial" w:cs="Arial"/>
          <w:sz w:val="20"/>
          <w:szCs w:val="20"/>
        </w:rPr>
      </w:pPr>
    </w:p>
    <w:p w14:paraId="2B956B9A" w14:textId="6B0E7BAB" w:rsidR="00962624" w:rsidRPr="008676E1" w:rsidRDefault="00962624" w:rsidP="009626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676E1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2.3</w:t>
      </w:r>
      <w:r w:rsidRPr="008676E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Produção de </w:t>
      </w:r>
      <w:r w:rsidR="00387ECF"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licerina</w:t>
      </w:r>
    </w:p>
    <w:p w14:paraId="16DEB4AB" w14:textId="77777777" w:rsidR="00962624" w:rsidRPr="008676E1" w:rsidRDefault="00962624" w:rsidP="00962624">
      <w:pPr>
        <w:rPr>
          <w:rFonts w:ascii="Arial" w:hAnsi="Arial" w:cs="Arial"/>
          <w:sz w:val="20"/>
          <w:szCs w:val="20"/>
        </w:rPr>
      </w:pPr>
    </w:p>
    <w:p w14:paraId="394029C5" w14:textId="6DABA170" w:rsidR="00A56C9B" w:rsidRDefault="2A91B304" w:rsidP="00A56C9B">
      <w:pPr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A glicerina </w:t>
      </w:r>
      <w:r w:rsidR="6AAEC50B" w:rsidRPr="44FB0632">
        <w:rPr>
          <w:rFonts w:ascii="Arial" w:hAnsi="Arial" w:cs="Arial"/>
          <w:sz w:val="20"/>
          <w:szCs w:val="20"/>
        </w:rPr>
        <w:t xml:space="preserve">gerada na produção de biodiesel </w:t>
      </w:r>
      <w:r w:rsidRPr="44FB0632">
        <w:rPr>
          <w:rFonts w:ascii="Arial" w:hAnsi="Arial" w:cs="Arial"/>
          <w:sz w:val="20"/>
          <w:szCs w:val="20"/>
        </w:rPr>
        <w:t xml:space="preserve">pode variar em função do processo de produção e das matérias-primas utilizadas. </w:t>
      </w:r>
      <w:r w:rsidR="739C0494" w:rsidRPr="44FB0632">
        <w:rPr>
          <w:rFonts w:ascii="Arial" w:hAnsi="Arial" w:cs="Arial"/>
          <w:sz w:val="20"/>
          <w:szCs w:val="20"/>
        </w:rPr>
        <w:t xml:space="preserve">O volume apresentado na tabela 4.12 </w:t>
      </w:r>
      <w:r w:rsidR="1BE5447F" w:rsidRPr="44FB0632">
        <w:rPr>
          <w:rFonts w:ascii="Arial" w:hAnsi="Arial" w:cs="Arial"/>
          <w:sz w:val="20"/>
          <w:szCs w:val="20"/>
        </w:rPr>
        <w:t>r</w:t>
      </w:r>
      <w:r w:rsidRPr="44FB0632">
        <w:rPr>
          <w:rFonts w:ascii="Arial" w:hAnsi="Arial" w:cs="Arial"/>
          <w:sz w:val="20"/>
          <w:szCs w:val="20"/>
        </w:rPr>
        <w:t>efere</w:t>
      </w:r>
      <w:r w:rsidR="003049F7">
        <w:rPr>
          <w:rFonts w:ascii="Arial" w:hAnsi="Arial" w:cs="Arial"/>
          <w:sz w:val="20"/>
          <w:szCs w:val="20"/>
        </w:rPr>
        <w:t>-se</w:t>
      </w:r>
      <w:r w:rsidRPr="44FB0632">
        <w:rPr>
          <w:rFonts w:ascii="Arial" w:hAnsi="Arial" w:cs="Arial"/>
          <w:sz w:val="20"/>
          <w:szCs w:val="20"/>
        </w:rPr>
        <w:t xml:space="preserve"> à produção de glicerina bruta.</w:t>
      </w:r>
    </w:p>
    <w:p w14:paraId="0AD9C6F4" w14:textId="77777777" w:rsidR="00A56C9B" w:rsidRDefault="00A56C9B" w:rsidP="00A56C9B">
      <w:pPr>
        <w:jc w:val="both"/>
        <w:rPr>
          <w:rFonts w:ascii="Arial" w:hAnsi="Arial" w:cs="Arial"/>
          <w:sz w:val="20"/>
          <w:szCs w:val="20"/>
        </w:rPr>
      </w:pPr>
    </w:p>
    <w:p w14:paraId="2A3E9836" w14:textId="3CF81CF2" w:rsidR="00FD67D0" w:rsidRDefault="6234383D" w:rsidP="00C84ACE">
      <w:pPr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lastRenderedPageBreak/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195F8E">
        <w:rPr>
          <w:rFonts w:ascii="Arial" w:hAnsi="Arial" w:cs="Arial"/>
          <w:sz w:val="20"/>
          <w:szCs w:val="20"/>
        </w:rPr>
        <w:t>5</w:t>
      </w:r>
      <w:r w:rsidR="0EB5775F" w:rsidRPr="44FB0632">
        <w:rPr>
          <w:rFonts w:ascii="Arial" w:hAnsi="Arial" w:cs="Arial"/>
          <w:sz w:val="20"/>
          <w:szCs w:val="20"/>
        </w:rPr>
        <w:t>, foram ge</w:t>
      </w:r>
      <w:r w:rsidR="05623FF3" w:rsidRPr="44FB0632">
        <w:rPr>
          <w:rFonts w:ascii="Arial" w:hAnsi="Arial" w:cs="Arial"/>
          <w:sz w:val="20"/>
          <w:szCs w:val="20"/>
        </w:rPr>
        <w:t xml:space="preserve">rados </w:t>
      </w:r>
      <w:r w:rsidR="00195F8E">
        <w:rPr>
          <w:rFonts w:ascii="Arial" w:hAnsi="Arial" w:cs="Arial"/>
          <w:sz w:val="20"/>
          <w:szCs w:val="20"/>
        </w:rPr>
        <w:t>922</w:t>
      </w:r>
      <w:r w:rsidR="333363DB" w:rsidRPr="44FB0632">
        <w:rPr>
          <w:rFonts w:ascii="Arial" w:hAnsi="Arial" w:cs="Arial"/>
          <w:sz w:val="20"/>
          <w:szCs w:val="20"/>
        </w:rPr>
        <w:t xml:space="preserve"> </w:t>
      </w:r>
      <w:r w:rsidR="51EA6167" w:rsidRPr="44FB0632">
        <w:rPr>
          <w:rFonts w:ascii="Arial" w:hAnsi="Arial" w:cs="Arial"/>
          <w:sz w:val="20"/>
          <w:szCs w:val="20"/>
        </w:rPr>
        <w:t xml:space="preserve">mil </w:t>
      </w:r>
      <w:r w:rsidR="00C54227">
        <w:rPr>
          <w:rFonts w:ascii="Arial" w:hAnsi="Arial" w:cs="Arial"/>
          <w:sz w:val="20"/>
          <w:szCs w:val="20"/>
        </w:rPr>
        <w:t>m³</w:t>
      </w:r>
      <w:r w:rsidR="51EA6167" w:rsidRPr="44FB0632">
        <w:rPr>
          <w:rFonts w:ascii="Arial" w:hAnsi="Arial" w:cs="Arial"/>
          <w:sz w:val="20"/>
          <w:szCs w:val="20"/>
        </w:rPr>
        <w:t xml:space="preserve"> de glicerina como subproduto </w:t>
      </w:r>
      <w:r w:rsidR="13A593BD" w:rsidRPr="44FB0632">
        <w:rPr>
          <w:rFonts w:ascii="Arial" w:hAnsi="Arial" w:cs="Arial"/>
          <w:sz w:val="20"/>
          <w:szCs w:val="20"/>
        </w:rPr>
        <w:t>d</w:t>
      </w:r>
      <w:r w:rsidR="51EA6167" w:rsidRPr="44FB0632">
        <w:rPr>
          <w:rFonts w:ascii="Arial" w:hAnsi="Arial" w:cs="Arial"/>
          <w:sz w:val="20"/>
          <w:szCs w:val="20"/>
        </w:rPr>
        <w:t>a pr</w:t>
      </w:r>
      <w:r w:rsidR="0EB5775F" w:rsidRPr="44FB0632">
        <w:rPr>
          <w:rFonts w:ascii="Arial" w:hAnsi="Arial" w:cs="Arial"/>
          <w:sz w:val="20"/>
          <w:szCs w:val="20"/>
        </w:rPr>
        <w:t xml:space="preserve">odução de biodiesel (B100), </w:t>
      </w:r>
      <w:r w:rsidR="00A31127">
        <w:rPr>
          <w:rFonts w:ascii="Arial" w:hAnsi="Arial" w:cs="Arial"/>
          <w:sz w:val="20"/>
          <w:szCs w:val="20"/>
        </w:rPr>
        <w:t>14</w:t>
      </w:r>
      <w:r w:rsidR="00D456D3">
        <w:rPr>
          <w:rFonts w:ascii="Arial" w:hAnsi="Arial" w:cs="Arial"/>
          <w:sz w:val="20"/>
          <w:szCs w:val="20"/>
        </w:rPr>
        <w:t>,</w:t>
      </w:r>
      <w:r w:rsidR="00A31127">
        <w:rPr>
          <w:rFonts w:ascii="Arial" w:hAnsi="Arial" w:cs="Arial"/>
          <w:sz w:val="20"/>
          <w:szCs w:val="20"/>
        </w:rPr>
        <w:t>9</w:t>
      </w:r>
      <w:r w:rsidR="0EB5775F" w:rsidRPr="44FB0632">
        <w:rPr>
          <w:rFonts w:ascii="Arial" w:hAnsi="Arial" w:cs="Arial"/>
          <w:sz w:val="20"/>
          <w:szCs w:val="20"/>
        </w:rPr>
        <w:t xml:space="preserve">% a </w:t>
      </w:r>
      <w:r w:rsidR="00066260">
        <w:rPr>
          <w:rFonts w:ascii="Arial" w:hAnsi="Arial" w:cs="Arial"/>
          <w:sz w:val="20"/>
          <w:szCs w:val="20"/>
        </w:rPr>
        <w:t>mai</w:t>
      </w:r>
      <w:r w:rsidR="1BDF64B9" w:rsidRPr="44FB0632">
        <w:rPr>
          <w:rFonts w:ascii="Arial" w:hAnsi="Arial" w:cs="Arial"/>
          <w:sz w:val="20"/>
          <w:szCs w:val="20"/>
        </w:rPr>
        <w:t>s</w:t>
      </w:r>
      <w:r w:rsidR="0EB5775F" w:rsidRPr="44FB0632">
        <w:rPr>
          <w:rFonts w:ascii="Arial" w:hAnsi="Arial" w:cs="Arial"/>
          <w:sz w:val="20"/>
          <w:szCs w:val="20"/>
        </w:rPr>
        <w:t xml:space="preserve"> </w:t>
      </w:r>
      <w:r w:rsidR="26E59FBF" w:rsidRPr="44FB0632">
        <w:rPr>
          <w:rFonts w:ascii="Arial" w:hAnsi="Arial" w:cs="Arial"/>
          <w:sz w:val="20"/>
          <w:szCs w:val="20"/>
        </w:rPr>
        <w:t xml:space="preserve">do </w:t>
      </w:r>
      <w:r w:rsidR="0EB5775F" w:rsidRPr="44FB0632">
        <w:rPr>
          <w:rFonts w:ascii="Arial" w:hAnsi="Arial" w:cs="Arial"/>
          <w:sz w:val="20"/>
          <w:szCs w:val="20"/>
        </w:rPr>
        <w:t xml:space="preserve">que em </w:t>
      </w:r>
      <w:r w:rsidR="00A2703D">
        <w:rPr>
          <w:rFonts w:ascii="Arial" w:hAnsi="Arial" w:cs="Arial"/>
          <w:sz w:val="20"/>
          <w:szCs w:val="20"/>
        </w:rPr>
        <w:t>202</w:t>
      </w:r>
      <w:r w:rsidR="00A31127">
        <w:rPr>
          <w:rFonts w:ascii="Arial" w:hAnsi="Arial" w:cs="Arial"/>
          <w:sz w:val="20"/>
          <w:szCs w:val="20"/>
        </w:rPr>
        <w:t>4</w:t>
      </w:r>
      <w:r w:rsidR="51EA6167" w:rsidRPr="44FB0632">
        <w:rPr>
          <w:rFonts w:ascii="Arial" w:hAnsi="Arial" w:cs="Arial"/>
          <w:sz w:val="20"/>
          <w:szCs w:val="20"/>
        </w:rPr>
        <w:t xml:space="preserve">. </w:t>
      </w:r>
      <w:r w:rsidR="52355CDA" w:rsidRPr="44FB0632">
        <w:rPr>
          <w:rFonts w:ascii="Arial" w:hAnsi="Arial" w:cs="Arial"/>
          <w:sz w:val="20"/>
          <w:szCs w:val="20"/>
        </w:rPr>
        <w:t>O maior volume</w:t>
      </w:r>
      <w:r w:rsidR="51EA6167" w:rsidRPr="44FB0632">
        <w:rPr>
          <w:rFonts w:ascii="Arial" w:hAnsi="Arial" w:cs="Arial"/>
          <w:sz w:val="20"/>
          <w:szCs w:val="20"/>
        </w:rPr>
        <w:t xml:space="preserve"> </w:t>
      </w:r>
      <w:r w:rsidR="003A5180">
        <w:rPr>
          <w:rFonts w:ascii="Arial" w:hAnsi="Arial" w:cs="Arial"/>
          <w:sz w:val="20"/>
          <w:szCs w:val="20"/>
        </w:rPr>
        <w:t xml:space="preserve">de produção </w:t>
      </w:r>
      <w:r w:rsidR="51EA6167" w:rsidRPr="44FB0632">
        <w:rPr>
          <w:rFonts w:ascii="Arial" w:hAnsi="Arial" w:cs="Arial"/>
          <w:sz w:val="20"/>
          <w:szCs w:val="20"/>
        </w:rPr>
        <w:t xml:space="preserve">se </w:t>
      </w:r>
      <w:r w:rsidR="04C295E0" w:rsidRPr="44FB0632">
        <w:rPr>
          <w:rFonts w:ascii="Arial" w:hAnsi="Arial" w:cs="Arial"/>
          <w:sz w:val="20"/>
          <w:szCs w:val="20"/>
        </w:rPr>
        <w:t xml:space="preserve">deu na </w:t>
      </w:r>
      <w:r w:rsidR="00387ECF">
        <w:rPr>
          <w:rFonts w:ascii="Arial" w:hAnsi="Arial" w:cs="Arial"/>
          <w:sz w:val="20"/>
          <w:szCs w:val="20"/>
        </w:rPr>
        <w:t>r</w:t>
      </w:r>
      <w:r w:rsidR="00C54227">
        <w:rPr>
          <w:rFonts w:ascii="Arial" w:hAnsi="Arial" w:cs="Arial"/>
          <w:sz w:val="20"/>
          <w:szCs w:val="20"/>
        </w:rPr>
        <w:t>egião</w:t>
      </w:r>
      <w:r w:rsidR="04C295E0" w:rsidRPr="44FB0632">
        <w:rPr>
          <w:rFonts w:ascii="Arial" w:hAnsi="Arial" w:cs="Arial"/>
          <w:sz w:val="20"/>
          <w:szCs w:val="20"/>
        </w:rPr>
        <w:t xml:space="preserve"> </w:t>
      </w:r>
      <w:r w:rsidR="377A65F6" w:rsidRPr="44FB0632">
        <w:rPr>
          <w:rFonts w:ascii="Arial" w:hAnsi="Arial" w:cs="Arial"/>
          <w:sz w:val="20"/>
          <w:szCs w:val="20"/>
        </w:rPr>
        <w:t>Centro-Oeste</w:t>
      </w:r>
      <w:r w:rsidR="0B294EA7" w:rsidRPr="44FB0632">
        <w:rPr>
          <w:rFonts w:ascii="Arial" w:hAnsi="Arial" w:cs="Arial"/>
          <w:sz w:val="20"/>
          <w:szCs w:val="20"/>
        </w:rPr>
        <w:t xml:space="preserve"> </w:t>
      </w:r>
      <w:r w:rsidR="04C295E0" w:rsidRPr="44FB0632">
        <w:rPr>
          <w:rFonts w:ascii="Arial" w:hAnsi="Arial" w:cs="Arial"/>
          <w:sz w:val="20"/>
          <w:szCs w:val="20"/>
        </w:rPr>
        <w:t>(4</w:t>
      </w:r>
      <w:r w:rsidR="008D304C">
        <w:rPr>
          <w:rFonts w:ascii="Arial" w:hAnsi="Arial" w:cs="Arial"/>
          <w:sz w:val="20"/>
          <w:szCs w:val="20"/>
        </w:rPr>
        <w:t>2</w:t>
      </w:r>
      <w:r w:rsidR="377A65F6" w:rsidRPr="44FB0632">
        <w:rPr>
          <w:rFonts w:ascii="Arial" w:hAnsi="Arial" w:cs="Arial"/>
          <w:sz w:val="20"/>
          <w:szCs w:val="20"/>
        </w:rPr>
        <w:t>,</w:t>
      </w:r>
      <w:r w:rsidR="00A31127">
        <w:rPr>
          <w:rFonts w:ascii="Arial" w:hAnsi="Arial" w:cs="Arial"/>
          <w:sz w:val="20"/>
          <w:szCs w:val="20"/>
        </w:rPr>
        <w:t>7</w:t>
      </w:r>
      <w:r w:rsidR="51EA6167" w:rsidRPr="44FB0632">
        <w:rPr>
          <w:rFonts w:ascii="Arial" w:hAnsi="Arial" w:cs="Arial"/>
          <w:sz w:val="20"/>
          <w:szCs w:val="20"/>
        </w:rPr>
        <w:t>% do total), segui</w:t>
      </w:r>
      <w:r w:rsidR="0EB5775F" w:rsidRPr="44FB0632">
        <w:rPr>
          <w:rFonts w:ascii="Arial" w:hAnsi="Arial" w:cs="Arial"/>
          <w:sz w:val="20"/>
          <w:szCs w:val="20"/>
        </w:rPr>
        <w:t xml:space="preserve">da das </w:t>
      </w:r>
      <w:r w:rsidR="00C54227">
        <w:rPr>
          <w:rFonts w:ascii="Arial" w:hAnsi="Arial" w:cs="Arial"/>
          <w:sz w:val="20"/>
          <w:szCs w:val="20"/>
        </w:rPr>
        <w:t>Regiões</w:t>
      </w:r>
      <w:r w:rsidR="7411A3EC" w:rsidRPr="44FB0632">
        <w:rPr>
          <w:rFonts w:ascii="Arial" w:hAnsi="Arial" w:cs="Arial"/>
          <w:sz w:val="20"/>
          <w:szCs w:val="20"/>
        </w:rPr>
        <w:t xml:space="preserve"> </w:t>
      </w:r>
      <w:r w:rsidR="377A65F6" w:rsidRPr="44FB0632">
        <w:rPr>
          <w:rFonts w:ascii="Arial" w:hAnsi="Arial" w:cs="Arial"/>
          <w:sz w:val="20"/>
          <w:szCs w:val="20"/>
        </w:rPr>
        <w:t>Sul</w:t>
      </w:r>
      <w:r w:rsidR="7411A3EC" w:rsidRPr="44FB0632">
        <w:rPr>
          <w:rFonts w:ascii="Arial" w:hAnsi="Arial" w:cs="Arial"/>
          <w:sz w:val="20"/>
          <w:szCs w:val="20"/>
        </w:rPr>
        <w:t xml:space="preserve"> (</w:t>
      </w:r>
      <w:r w:rsidR="00D456D3">
        <w:rPr>
          <w:rFonts w:ascii="Arial" w:hAnsi="Arial" w:cs="Arial"/>
          <w:sz w:val="20"/>
          <w:szCs w:val="20"/>
        </w:rPr>
        <w:t>3</w:t>
      </w:r>
      <w:r w:rsidR="00A31127">
        <w:rPr>
          <w:rFonts w:ascii="Arial" w:hAnsi="Arial" w:cs="Arial"/>
          <w:sz w:val="20"/>
          <w:szCs w:val="20"/>
        </w:rPr>
        <w:t>8</w:t>
      </w:r>
      <w:r w:rsidR="6C9971C4" w:rsidRPr="44FB0632">
        <w:rPr>
          <w:rFonts w:ascii="Arial" w:hAnsi="Arial" w:cs="Arial"/>
          <w:sz w:val="20"/>
          <w:szCs w:val="20"/>
        </w:rPr>
        <w:t>,</w:t>
      </w:r>
      <w:r w:rsidR="00A31127">
        <w:rPr>
          <w:rFonts w:ascii="Arial" w:hAnsi="Arial" w:cs="Arial"/>
          <w:sz w:val="20"/>
          <w:szCs w:val="20"/>
        </w:rPr>
        <w:t>2</w:t>
      </w:r>
      <w:r w:rsidR="51EA6167" w:rsidRPr="44FB0632">
        <w:rPr>
          <w:rFonts w:ascii="Arial" w:hAnsi="Arial" w:cs="Arial"/>
          <w:sz w:val="20"/>
          <w:szCs w:val="20"/>
        </w:rPr>
        <w:t xml:space="preserve">%), </w:t>
      </w:r>
      <w:r w:rsidR="6C9971C4" w:rsidRPr="44FB0632">
        <w:rPr>
          <w:rFonts w:ascii="Arial" w:hAnsi="Arial" w:cs="Arial"/>
          <w:sz w:val="20"/>
          <w:szCs w:val="20"/>
        </w:rPr>
        <w:t>Nor</w:t>
      </w:r>
      <w:r w:rsidR="0E9F9E1C" w:rsidRPr="44FB0632">
        <w:rPr>
          <w:rFonts w:ascii="Arial" w:hAnsi="Arial" w:cs="Arial"/>
          <w:sz w:val="20"/>
          <w:szCs w:val="20"/>
        </w:rPr>
        <w:t>deste</w:t>
      </w:r>
      <w:r w:rsidR="51EA6167" w:rsidRPr="44FB0632">
        <w:rPr>
          <w:rFonts w:ascii="Arial" w:hAnsi="Arial" w:cs="Arial"/>
          <w:sz w:val="20"/>
          <w:szCs w:val="20"/>
        </w:rPr>
        <w:t xml:space="preserve"> (</w:t>
      </w:r>
      <w:r w:rsidR="00130F9B">
        <w:rPr>
          <w:rFonts w:ascii="Arial" w:hAnsi="Arial" w:cs="Arial"/>
          <w:sz w:val="20"/>
          <w:szCs w:val="20"/>
        </w:rPr>
        <w:t>8</w:t>
      </w:r>
      <w:r w:rsidR="0E9F9E1C" w:rsidRPr="44FB0632">
        <w:rPr>
          <w:rFonts w:ascii="Arial" w:hAnsi="Arial" w:cs="Arial"/>
          <w:sz w:val="20"/>
          <w:szCs w:val="20"/>
        </w:rPr>
        <w:t>,</w:t>
      </w:r>
      <w:r w:rsidR="00A31127">
        <w:rPr>
          <w:rFonts w:ascii="Arial" w:hAnsi="Arial" w:cs="Arial"/>
          <w:sz w:val="20"/>
          <w:szCs w:val="20"/>
        </w:rPr>
        <w:t>6</w:t>
      </w:r>
      <w:r w:rsidR="0EB5775F" w:rsidRPr="44FB0632">
        <w:rPr>
          <w:rFonts w:ascii="Arial" w:hAnsi="Arial" w:cs="Arial"/>
          <w:sz w:val="20"/>
          <w:szCs w:val="20"/>
        </w:rPr>
        <w:t xml:space="preserve">%), </w:t>
      </w:r>
      <w:r w:rsidR="0E9F9E1C" w:rsidRPr="44FB0632">
        <w:rPr>
          <w:rFonts w:ascii="Arial" w:hAnsi="Arial" w:cs="Arial"/>
          <w:sz w:val="20"/>
          <w:szCs w:val="20"/>
        </w:rPr>
        <w:t>Sudeste</w:t>
      </w:r>
      <w:r w:rsidR="0EB5775F" w:rsidRPr="44FB0632">
        <w:rPr>
          <w:rFonts w:ascii="Arial" w:hAnsi="Arial" w:cs="Arial"/>
          <w:sz w:val="20"/>
          <w:szCs w:val="20"/>
        </w:rPr>
        <w:t xml:space="preserve"> (</w:t>
      </w:r>
      <w:r w:rsidR="00130F9B">
        <w:rPr>
          <w:rFonts w:ascii="Arial" w:hAnsi="Arial" w:cs="Arial"/>
          <w:sz w:val="20"/>
          <w:szCs w:val="20"/>
        </w:rPr>
        <w:t>5</w:t>
      </w:r>
      <w:r w:rsidR="0E9F9E1C" w:rsidRPr="44FB0632">
        <w:rPr>
          <w:rFonts w:ascii="Arial" w:hAnsi="Arial" w:cs="Arial"/>
          <w:sz w:val="20"/>
          <w:szCs w:val="20"/>
        </w:rPr>
        <w:t>,</w:t>
      </w:r>
      <w:r w:rsidR="00D456D3">
        <w:rPr>
          <w:rFonts w:ascii="Arial" w:hAnsi="Arial" w:cs="Arial"/>
          <w:sz w:val="20"/>
          <w:szCs w:val="20"/>
        </w:rPr>
        <w:t>7</w:t>
      </w:r>
      <w:r w:rsidR="0EB5775F" w:rsidRPr="44FB0632">
        <w:rPr>
          <w:rFonts w:ascii="Arial" w:hAnsi="Arial" w:cs="Arial"/>
          <w:sz w:val="20"/>
          <w:szCs w:val="20"/>
        </w:rPr>
        <w:t>%) e Norte (</w:t>
      </w:r>
      <w:r w:rsidR="00A31127">
        <w:rPr>
          <w:rFonts w:ascii="Arial" w:hAnsi="Arial" w:cs="Arial"/>
          <w:sz w:val="20"/>
          <w:szCs w:val="20"/>
        </w:rPr>
        <w:t>4</w:t>
      </w:r>
      <w:r w:rsidR="0EB5775F" w:rsidRPr="44FB0632">
        <w:rPr>
          <w:rFonts w:ascii="Arial" w:hAnsi="Arial" w:cs="Arial"/>
          <w:sz w:val="20"/>
          <w:szCs w:val="20"/>
        </w:rPr>
        <w:t>,</w:t>
      </w:r>
      <w:r w:rsidR="00A31127">
        <w:rPr>
          <w:rFonts w:ascii="Arial" w:hAnsi="Arial" w:cs="Arial"/>
          <w:sz w:val="20"/>
          <w:szCs w:val="20"/>
        </w:rPr>
        <w:t>7</w:t>
      </w:r>
      <w:r w:rsidR="45D632E7" w:rsidRPr="44FB0632">
        <w:rPr>
          <w:rFonts w:ascii="Arial" w:hAnsi="Arial" w:cs="Arial"/>
          <w:sz w:val="20"/>
          <w:szCs w:val="20"/>
        </w:rPr>
        <w:t>%).</w:t>
      </w:r>
    </w:p>
    <w:p w14:paraId="4B1F511A" w14:textId="77777777" w:rsidR="00EE1BBA" w:rsidRDefault="00EE1BBA" w:rsidP="00C84ACE">
      <w:pPr>
        <w:jc w:val="both"/>
        <w:rPr>
          <w:rFonts w:ascii="Arial" w:hAnsi="Arial" w:cs="Arial"/>
          <w:sz w:val="20"/>
          <w:szCs w:val="20"/>
        </w:rPr>
      </w:pPr>
    </w:p>
    <w:p w14:paraId="65F9C3DC" w14:textId="77777777" w:rsidR="005E5184" w:rsidRPr="008676E1" w:rsidRDefault="005E5184" w:rsidP="00C84ACE">
      <w:pPr>
        <w:jc w:val="both"/>
        <w:rPr>
          <w:rFonts w:ascii="Arial" w:hAnsi="Arial" w:cs="Arial"/>
          <w:sz w:val="20"/>
          <w:szCs w:val="20"/>
        </w:rPr>
      </w:pPr>
    </w:p>
    <w:p w14:paraId="61D6C3EC" w14:textId="38571043" w:rsidR="00962624" w:rsidRPr="008676E1" w:rsidRDefault="00962624" w:rsidP="009626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676E1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2.4</w:t>
      </w:r>
      <w:r w:rsidRPr="008676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62624">
        <w:rPr>
          <w:rFonts w:ascii="Arial" w:hAnsi="Arial" w:cs="Arial"/>
          <w:b/>
          <w:bCs/>
          <w:sz w:val="20"/>
          <w:szCs w:val="20"/>
        </w:rPr>
        <w:t xml:space="preserve">Matérias-primas </w:t>
      </w:r>
      <w:r w:rsidR="000760F6">
        <w:rPr>
          <w:rFonts w:ascii="Arial" w:hAnsi="Arial" w:cs="Arial"/>
          <w:b/>
          <w:bCs/>
          <w:sz w:val="20"/>
          <w:szCs w:val="20"/>
        </w:rPr>
        <w:t>u</w:t>
      </w:r>
      <w:r w:rsidRPr="00962624">
        <w:rPr>
          <w:rFonts w:ascii="Arial" w:hAnsi="Arial" w:cs="Arial"/>
          <w:b/>
          <w:bCs/>
          <w:sz w:val="20"/>
          <w:szCs w:val="20"/>
        </w:rPr>
        <w:t xml:space="preserve">tilizadas na </w:t>
      </w:r>
      <w:r w:rsidR="000760F6">
        <w:rPr>
          <w:rFonts w:ascii="Arial" w:hAnsi="Arial" w:cs="Arial"/>
          <w:b/>
          <w:bCs/>
          <w:sz w:val="20"/>
          <w:szCs w:val="20"/>
        </w:rPr>
        <w:t>p</w:t>
      </w:r>
      <w:r w:rsidRPr="00962624">
        <w:rPr>
          <w:rFonts w:ascii="Arial" w:hAnsi="Arial" w:cs="Arial"/>
          <w:b/>
          <w:bCs/>
          <w:sz w:val="20"/>
          <w:szCs w:val="20"/>
        </w:rPr>
        <w:t xml:space="preserve">rodução de </w:t>
      </w:r>
      <w:r w:rsidR="000760F6">
        <w:rPr>
          <w:rFonts w:ascii="Arial" w:hAnsi="Arial" w:cs="Arial"/>
          <w:b/>
          <w:bCs/>
          <w:sz w:val="20"/>
          <w:szCs w:val="20"/>
        </w:rPr>
        <w:t>b</w:t>
      </w:r>
      <w:r w:rsidRPr="00962624">
        <w:rPr>
          <w:rFonts w:ascii="Arial" w:hAnsi="Arial" w:cs="Arial"/>
          <w:b/>
          <w:bCs/>
          <w:sz w:val="20"/>
          <w:szCs w:val="20"/>
        </w:rPr>
        <w:t>iodiesel</w:t>
      </w:r>
    </w:p>
    <w:p w14:paraId="5023141B" w14:textId="77777777" w:rsidR="005E0845" w:rsidRPr="008676E1" w:rsidRDefault="005E0845" w:rsidP="00E767C3">
      <w:pPr>
        <w:rPr>
          <w:rFonts w:ascii="Arial" w:hAnsi="Arial" w:cs="Arial"/>
          <w:b/>
          <w:bCs/>
          <w:sz w:val="20"/>
          <w:szCs w:val="20"/>
        </w:rPr>
      </w:pPr>
    </w:p>
    <w:p w14:paraId="53A5D217" w14:textId="7D118387" w:rsidR="00431099" w:rsidRDefault="6FDF53E7" w:rsidP="005C565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>A</w:t>
      </w:r>
      <w:r w:rsidR="45D632E7" w:rsidRPr="44FB0632">
        <w:rPr>
          <w:rFonts w:ascii="Arial" w:hAnsi="Arial" w:cs="Arial"/>
          <w:sz w:val="20"/>
          <w:szCs w:val="20"/>
        </w:rPr>
        <w:t xml:space="preserve"> soja</w:t>
      </w:r>
      <w:r w:rsidR="2FB3869C" w:rsidRPr="44FB0632">
        <w:rPr>
          <w:rFonts w:ascii="Arial" w:hAnsi="Arial" w:cs="Arial"/>
          <w:sz w:val="20"/>
          <w:szCs w:val="20"/>
        </w:rPr>
        <w:t xml:space="preserve"> é</w:t>
      </w:r>
      <w:r w:rsidR="45D632E7" w:rsidRPr="44FB0632">
        <w:rPr>
          <w:rFonts w:ascii="Arial" w:hAnsi="Arial" w:cs="Arial"/>
          <w:sz w:val="20"/>
          <w:szCs w:val="20"/>
        </w:rPr>
        <w:t xml:space="preserve"> a principal maté</w:t>
      </w:r>
      <w:r w:rsidR="0533A842" w:rsidRPr="44FB0632">
        <w:rPr>
          <w:rFonts w:ascii="Arial" w:hAnsi="Arial" w:cs="Arial"/>
          <w:sz w:val="20"/>
          <w:szCs w:val="20"/>
        </w:rPr>
        <w:t>ri</w:t>
      </w:r>
      <w:r w:rsidR="45D632E7" w:rsidRPr="44FB0632">
        <w:rPr>
          <w:rFonts w:ascii="Arial" w:hAnsi="Arial" w:cs="Arial"/>
          <w:sz w:val="20"/>
          <w:szCs w:val="20"/>
        </w:rPr>
        <w:t xml:space="preserve">a-prima </w:t>
      </w:r>
      <w:r w:rsidR="6430D8C9" w:rsidRPr="44FB0632">
        <w:rPr>
          <w:rFonts w:ascii="Arial" w:hAnsi="Arial" w:cs="Arial"/>
          <w:sz w:val="20"/>
          <w:szCs w:val="20"/>
        </w:rPr>
        <w:t>utilizada na</w:t>
      </w:r>
      <w:r w:rsidR="45D632E7" w:rsidRPr="44FB0632">
        <w:rPr>
          <w:rFonts w:ascii="Arial" w:hAnsi="Arial" w:cs="Arial"/>
          <w:sz w:val="20"/>
          <w:szCs w:val="20"/>
        </w:rPr>
        <w:t xml:space="preserve"> produção de biod</w:t>
      </w:r>
      <w:r w:rsidR="7411A3EC" w:rsidRPr="44FB0632">
        <w:rPr>
          <w:rFonts w:ascii="Arial" w:hAnsi="Arial" w:cs="Arial"/>
          <w:sz w:val="20"/>
          <w:szCs w:val="20"/>
        </w:rPr>
        <w:t>iesel (B100)</w:t>
      </w:r>
      <w:r w:rsidR="54FB3E57" w:rsidRPr="44FB0632">
        <w:rPr>
          <w:rFonts w:ascii="Arial" w:hAnsi="Arial" w:cs="Arial"/>
          <w:sz w:val="20"/>
          <w:szCs w:val="20"/>
        </w:rPr>
        <w:t>.</w:t>
      </w:r>
      <w:r w:rsidR="7411A3EC" w:rsidRPr="44FB0632">
        <w:rPr>
          <w:rFonts w:ascii="Arial" w:hAnsi="Arial" w:cs="Arial"/>
          <w:sz w:val="20"/>
          <w:szCs w:val="20"/>
        </w:rPr>
        <w:t xml:space="preserve"> </w:t>
      </w:r>
      <w:r w:rsidR="2B03C548" w:rsidRPr="44FB0632">
        <w:rPr>
          <w:rFonts w:ascii="Arial" w:hAnsi="Arial" w:cs="Arial"/>
          <w:sz w:val="20"/>
          <w:szCs w:val="20"/>
        </w:rPr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A31127">
        <w:rPr>
          <w:rFonts w:ascii="Arial" w:hAnsi="Arial" w:cs="Arial"/>
          <w:sz w:val="20"/>
          <w:szCs w:val="20"/>
        </w:rPr>
        <w:t>5</w:t>
      </w:r>
      <w:r w:rsidR="2B03C548" w:rsidRPr="44FB0632">
        <w:rPr>
          <w:rFonts w:ascii="Arial" w:hAnsi="Arial" w:cs="Arial"/>
          <w:sz w:val="20"/>
          <w:szCs w:val="20"/>
        </w:rPr>
        <w:t xml:space="preserve">, </w:t>
      </w:r>
      <w:r w:rsidR="005C0ADB">
        <w:rPr>
          <w:rFonts w:ascii="Arial" w:hAnsi="Arial" w:cs="Arial"/>
          <w:sz w:val="20"/>
          <w:szCs w:val="20"/>
        </w:rPr>
        <w:t>7</w:t>
      </w:r>
      <w:r w:rsidR="00A31127">
        <w:rPr>
          <w:rFonts w:ascii="Arial" w:hAnsi="Arial" w:cs="Arial"/>
          <w:sz w:val="20"/>
          <w:szCs w:val="20"/>
        </w:rPr>
        <w:t>3,3</w:t>
      </w:r>
      <w:r w:rsidR="45D632E7" w:rsidRPr="44FB0632">
        <w:rPr>
          <w:rFonts w:ascii="Arial" w:hAnsi="Arial" w:cs="Arial"/>
          <w:sz w:val="20"/>
          <w:szCs w:val="20"/>
        </w:rPr>
        <w:t>% do total</w:t>
      </w:r>
      <w:r w:rsidR="7AAABC62" w:rsidRPr="44FB0632">
        <w:rPr>
          <w:rFonts w:ascii="Arial" w:hAnsi="Arial" w:cs="Arial"/>
          <w:sz w:val="20"/>
          <w:szCs w:val="20"/>
        </w:rPr>
        <w:t xml:space="preserve"> de matéria prima utilizada correspondeu à soja</w:t>
      </w:r>
      <w:r w:rsidR="45D632E7" w:rsidRPr="44FB0632">
        <w:rPr>
          <w:rFonts w:ascii="Arial" w:hAnsi="Arial" w:cs="Arial"/>
          <w:sz w:val="20"/>
          <w:szCs w:val="20"/>
        </w:rPr>
        <w:t>.</w:t>
      </w:r>
      <w:r w:rsidR="30526C41" w:rsidRPr="44FB0632">
        <w:rPr>
          <w:rFonts w:ascii="Arial" w:hAnsi="Arial" w:cs="Arial"/>
          <w:sz w:val="20"/>
          <w:szCs w:val="20"/>
        </w:rPr>
        <w:t xml:space="preserve"> </w:t>
      </w:r>
      <w:r w:rsidR="4C20AAE1" w:rsidRPr="44FB0632">
        <w:rPr>
          <w:rFonts w:ascii="Arial" w:hAnsi="Arial" w:cs="Arial"/>
          <w:sz w:val="20"/>
          <w:szCs w:val="20"/>
        </w:rPr>
        <w:t>As demais matérias-primas utilizadas podem ser conferidas na tabela 4.13.</w:t>
      </w:r>
    </w:p>
    <w:p w14:paraId="1F3B1409" w14:textId="77777777" w:rsidR="008C6B26" w:rsidRPr="008676E1" w:rsidRDefault="008C6B26" w:rsidP="005E08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516F35" w14:textId="1B3BB698" w:rsidR="00C84ACE" w:rsidRPr="008676E1" w:rsidRDefault="00C84ACE" w:rsidP="00C84ACE">
      <w:pPr>
        <w:pStyle w:val="Ttulo2"/>
        <w:rPr>
          <w:rFonts w:ascii="Arial" w:hAnsi="Arial" w:cs="Arial"/>
          <w:b w:val="0"/>
          <w:bCs w:val="0"/>
          <w:sz w:val="20"/>
          <w:szCs w:val="20"/>
        </w:rPr>
      </w:pPr>
      <w:r w:rsidRPr="008676E1">
        <w:rPr>
          <w:rFonts w:ascii="Arial" w:hAnsi="Arial" w:cs="Arial"/>
          <w:b w:val="0"/>
          <w:bCs w:val="0"/>
          <w:sz w:val="20"/>
          <w:szCs w:val="20"/>
        </w:rPr>
        <w:t>Tabela 4.1</w:t>
      </w:r>
      <w:r w:rsidR="00FC6C77">
        <w:rPr>
          <w:rFonts w:ascii="Arial" w:hAnsi="Arial" w:cs="Arial"/>
          <w:b w:val="0"/>
          <w:bCs w:val="0"/>
          <w:sz w:val="20"/>
          <w:szCs w:val="20"/>
        </w:rPr>
        <w:t>2</w:t>
      </w:r>
    </w:p>
    <w:p w14:paraId="0642F953" w14:textId="001E2B89" w:rsidR="00C84ACE" w:rsidRPr="008676E1" w:rsidRDefault="00C84ACE" w:rsidP="00C84ACE">
      <w:pPr>
        <w:pStyle w:val="Ttulo2"/>
        <w:rPr>
          <w:rFonts w:ascii="Arial" w:hAnsi="Arial" w:cs="Arial"/>
          <w:b w:val="0"/>
          <w:bCs w:val="0"/>
          <w:sz w:val="20"/>
          <w:szCs w:val="20"/>
        </w:rPr>
      </w:pPr>
      <w:r w:rsidRPr="008676E1">
        <w:rPr>
          <w:rFonts w:ascii="Arial" w:hAnsi="Arial" w:cs="Arial"/>
          <w:b w:val="0"/>
          <w:bCs w:val="0"/>
          <w:sz w:val="20"/>
          <w:szCs w:val="20"/>
        </w:rPr>
        <w:t>Tabela 4.1</w:t>
      </w:r>
      <w:r w:rsidR="00FC6C77">
        <w:rPr>
          <w:rFonts w:ascii="Arial" w:hAnsi="Arial" w:cs="Arial"/>
          <w:b w:val="0"/>
          <w:bCs w:val="0"/>
          <w:sz w:val="20"/>
          <w:szCs w:val="20"/>
        </w:rPr>
        <w:t>3</w:t>
      </w:r>
    </w:p>
    <w:p w14:paraId="4E91B272" w14:textId="5414FA31" w:rsidR="00C84ACE" w:rsidRPr="008676E1" w:rsidRDefault="00C84ACE" w:rsidP="00C84ACE">
      <w:pPr>
        <w:pStyle w:val="Ttulo2"/>
        <w:rPr>
          <w:rFonts w:ascii="Arial" w:hAnsi="Arial" w:cs="Arial"/>
          <w:b w:val="0"/>
          <w:bCs w:val="0"/>
          <w:sz w:val="20"/>
          <w:szCs w:val="20"/>
        </w:rPr>
      </w:pPr>
      <w:r w:rsidRPr="008676E1">
        <w:rPr>
          <w:rFonts w:ascii="Arial" w:hAnsi="Arial" w:cs="Arial"/>
          <w:b w:val="0"/>
          <w:bCs w:val="0"/>
          <w:sz w:val="20"/>
          <w:szCs w:val="20"/>
        </w:rPr>
        <w:t>Tabela 4.1</w:t>
      </w:r>
      <w:r w:rsidR="00FC6C77">
        <w:rPr>
          <w:rFonts w:ascii="Arial" w:hAnsi="Arial" w:cs="Arial"/>
          <w:b w:val="0"/>
          <w:bCs w:val="0"/>
          <w:sz w:val="20"/>
          <w:szCs w:val="20"/>
        </w:rPr>
        <w:t>4</w:t>
      </w:r>
    </w:p>
    <w:p w14:paraId="562C75D1" w14:textId="77777777" w:rsidR="00C84ACE" w:rsidRPr="008676E1" w:rsidRDefault="00C84ACE">
      <w:pPr>
        <w:rPr>
          <w:rFonts w:ascii="Arial" w:hAnsi="Arial" w:cs="Arial"/>
          <w:sz w:val="20"/>
          <w:szCs w:val="20"/>
        </w:rPr>
      </w:pPr>
    </w:p>
    <w:p w14:paraId="2230BFAB" w14:textId="63812E89" w:rsidR="00C84ACE" w:rsidRPr="008676E1" w:rsidRDefault="00C84ACE" w:rsidP="00C84ACE">
      <w:pPr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4.1</w:t>
      </w:r>
      <w:r w:rsidR="00FA3214">
        <w:rPr>
          <w:rFonts w:ascii="Arial" w:hAnsi="Arial" w:cs="Arial"/>
          <w:color w:val="FF0000"/>
          <w:sz w:val="20"/>
          <w:szCs w:val="20"/>
        </w:rPr>
        <w:t>5</w:t>
      </w:r>
    </w:p>
    <w:p w14:paraId="5B3FDE33" w14:textId="41127389" w:rsidR="00C84ACE" w:rsidRDefault="00C84ACE" w:rsidP="00C84ACE">
      <w:pPr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4.1</w:t>
      </w:r>
      <w:r w:rsidR="00FA3214">
        <w:rPr>
          <w:rFonts w:ascii="Arial" w:hAnsi="Arial" w:cs="Arial"/>
          <w:color w:val="FF0000"/>
          <w:sz w:val="20"/>
          <w:szCs w:val="20"/>
        </w:rPr>
        <w:t>6</w:t>
      </w:r>
    </w:p>
    <w:p w14:paraId="6612E03C" w14:textId="6DE57C27" w:rsidR="003525D9" w:rsidRDefault="003525D9" w:rsidP="003525D9">
      <w:pPr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Gráfico 4.1</w:t>
      </w:r>
      <w:r w:rsidR="00FA3214">
        <w:rPr>
          <w:rFonts w:ascii="Arial" w:hAnsi="Arial" w:cs="Arial"/>
          <w:color w:val="FF0000"/>
          <w:sz w:val="20"/>
          <w:szCs w:val="20"/>
        </w:rPr>
        <w:t>7</w:t>
      </w:r>
    </w:p>
    <w:p w14:paraId="664355AD" w14:textId="77777777" w:rsidR="00C84ACE" w:rsidRPr="008676E1" w:rsidRDefault="00C84ACE" w:rsidP="00C84ACE">
      <w:pPr>
        <w:rPr>
          <w:rFonts w:ascii="Arial" w:hAnsi="Arial" w:cs="Arial"/>
          <w:sz w:val="20"/>
          <w:szCs w:val="20"/>
        </w:rPr>
      </w:pPr>
    </w:p>
    <w:p w14:paraId="3D5A6291" w14:textId="77777777" w:rsidR="00C84ACE" w:rsidRPr="008676E1" w:rsidRDefault="00C84ACE" w:rsidP="00C84ACE">
      <w:pPr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Cartograma 4.1</w:t>
      </w:r>
    </w:p>
    <w:p w14:paraId="7B4EBDC9" w14:textId="77777777" w:rsidR="00C84ACE" w:rsidRDefault="00C84ACE" w:rsidP="00C84ACE">
      <w:pPr>
        <w:rPr>
          <w:rFonts w:ascii="Arial" w:hAnsi="Arial" w:cs="Arial"/>
          <w:color w:val="FF0000"/>
          <w:sz w:val="20"/>
          <w:szCs w:val="20"/>
        </w:rPr>
      </w:pPr>
      <w:r w:rsidRPr="008676E1">
        <w:rPr>
          <w:rFonts w:ascii="Arial" w:hAnsi="Arial" w:cs="Arial"/>
          <w:color w:val="FF0000"/>
          <w:sz w:val="20"/>
          <w:szCs w:val="20"/>
        </w:rPr>
        <w:t>Cartograma 4.2</w:t>
      </w:r>
    </w:p>
    <w:p w14:paraId="0D6A99B6" w14:textId="77777777" w:rsidR="003A5180" w:rsidRDefault="003A5180" w:rsidP="00C84ACE">
      <w:pPr>
        <w:rPr>
          <w:rFonts w:ascii="Arial" w:hAnsi="Arial" w:cs="Arial"/>
          <w:sz w:val="20"/>
          <w:szCs w:val="20"/>
        </w:rPr>
      </w:pPr>
    </w:p>
    <w:p w14:paraId="3DC0619C" w14:textId="77777777" w:rsidR="00C45173" w:rsidRPr="003A5180" w:rsidRDefault="00C45173" w:rsidP="00C84ACE">
      <w:pPr>
        <w:rPr>
          <w:rFonts w:ascii="Arial" w:hAnsi="Arial" w:cs="Arial"/>
          <w:sz w:val="20"/>
          <w:szCs w:val="20"/>
        </w:rPr>
      </w:pPr>
    </w:p>
    <w:p w14:paraId="4C68E7D2" w14:textId="20DAB328" w:rsidR="00BB06C3" w:rsidRPr="002F12AB" w:rsidRDefault="00BB06C3" w:rsidP="00BB06C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F12AB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2.5</w:t>
      </w:r>
      <w:r w:rsidRPr="002F12AB">
        <w:rPr>
          <w:rFonts w:ascii="Arial" w:hAnsi="Arial" w:cs="Arial"/>
          <w:b/>
          <w:bCs/>
          <w:sz w:val="20"/>
          <w:szCs w:val="20"/>
        </w:rPr>
        <w:t xml:space="preserve"> Leilões de Biodiesel</w:t>
      </w:r>
    </w:p>
    <w:p w14:paraId="44FB30F8" w14:textId="77777777" w:rsidR="00BB06C3" w:rsidRPr="002F12AB" w:rsidRDefault="00BB06C3">
      <w:pPr>
        <w:rPr>
          <w:rFonts w:ascii="Arial" w:hAnsi="Arial" w:cs="Arial"/>
          <w:sz w:val="20"/>
          <w:szCs w:val="20"/>
        </w:rPr>
      </w:pPr>
    </w:p>
    <w:p w14:paraId="7B379CAD" w14:textId="02FA3B01" w:rsidR="002B44E3" w:rsidRDefault="3F63A91F" w:rsidP="00952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A partir de janeiro de </w:t>
      </w:r>
      <w:r w:rsidR="00A2703D">
        <w:rPr>
          <w:rFonts w:ascii="Arial" w:hAnsi="Arial" w:cs="Arial"/>
          <w:sz w:val="20"/>
          <w:szCs w:val="20"/>
        </w:rPr>
        <w:t>2024</w:t>
      </w:r>
      <w:r w:rsidR="003049F7">
        <w:rPr>
          <w:rFonts w:ascii="Arial" w:hAnsi="Arial" w:cs="Arial"/>
          <w:sz w:val="20"/>
          <w:szCs w:val="20"/>
        </w:rPr>
        <w:t>,</w:t>
      </w:r>
      <w:r w:rsidRPr="44FB0632">
        <w:rPr>
          <w:rFonts w:ascii="Arial" w:hAnsi="Arial" w:cs="Arial"/>
          <w:sz w:val="20"/>
          <w:szCs w:val="20"/>
        </w:rPr>
        <w:t xml:space="preserve"> passou a vigorar um novo modelo de comercialização de biodiesel</w:t>
      </w:r>
      <w:r w:rsidR="62580E42" w:rsidRPr="44FB0632">
        <w:rPr>
          <w:rFonts w:ascii="Arial" w:hAnsi="Arial" w:cs="Arial"/>
          <w:sz w:val="20"/>
          <w:szCs w:val="20"/>
        </w:rPr>
        <w:t>,</w:t>
      </w:r>
      <w:r w:rsidRPr="44FB0632">
        <w:rPr>
          <w:rFonts w:ascii="Arial" w:hAnsi="Arial" w:cs="Arial"/>
          <w:sz w:val="20"/>
          <w:szCs w:val="20"/>
        </w:rPr>
        <w:t xml:space="preserve"> e</w:t>
      </w:r>
      <w:r w:rsidR="68868788" w:rsidRPr="44FB0632">
        <w:rPr>
          <w:rFonts w:ascii="Arial" w:hAnsi="Arial" w:cs="Arial"/>
          <w:sz w:val="20"/>
          <w:szCs w:val="20"/>
        </w:rPr>
        <w:t>m</w:t>
      </w:r>
      <w:r w:rsidRPr="44FB0632">
        <w:rPr>
          <w:rFonts w:ascii="Arial" w:hAnsi="Arial" w:cs="Arial"/>
          <w:sz w:val="20"/>
          <w:szCs w:val="20"/>
        </w:rPr>
        <w:t xml:space="preserve"> substituição aos leilões públicos</w:t>
      </w:r>
      <w:r w:rsidR="03E22D23" w:rsidRPr="44FB0632">
        <w:rPr>
          <w:rFonts w:ascii="Arial" w:hAnsi="Arial" w:cs="Arial"/>
          <w:sz w:val="20"/>
          <w:szCs w:val="20"/>
        </w:rPr>
        <w:t>,</w:t>
      </w:r>
      <w:r w:rsidRPr="44FB0632">
        <w:rPr>
          <w:rFonts w:ascii="Arial" w:hAnsi="Arial" w:cs="Arial"/>
          <w:sz w:val="20"/>
          <w:szCs w:val="20"/>
        </w:rPr>
        <w:t xml:space="preserve"> para atendimento do percentual de mistura obrigatória ao diesel de origem fóssil</w:t>
      </w:r>
      <w:r w:rsidR="40D0CA66" w:rsidRPr="44FB0632">
        <w:rPr>
          <w:rFonts w:ascii="Arial" w:hAnsi="Arial" w:cs="Arial"/>
          <w:sz w:val="20"/>
          <w:szCs w:val="20"/>
        </w:rPr>
        <w:t>.</w:t>
      </w:r>
      <w:r w:rsidR="68868788" w:rsidRPr="44FB0632">
        <w:rPr>
          <w:rFonts w:ascii="Arial" w:hAnsi="Arial" w:cs="Arial"/>
          <w:sz w:val="20"/>
          <w:szCs w:val="20"/>
        </w:rPr>
        <w:t xml:space="preserve"> </w:t>
      </w:r>
      <w:r w:rsidR="0AE94494" w:rsidRPr="44FB0632">
        <w:rPr>
          <w:rFonts w:ascii="Arial" w:hAnsi="Arial" w:cs="Arial"/>
          <w:sz w:val="20"/>
          <w:szCs w:val="20"/>
        </w:rPr>
        <w:t>Nesse novo modelo,</w:t>
      </w:r>
      <w:r w:rsidRPr="44FB0632">
        <w:rPr>
          <w:rFonts w:ascii="Arial" w:hAnsi="Arial" w:cs="Arial"/>
          <w:sz w:val="20"/>
          <w:szCs w:val="20"/>
        </w:rPr>
        <w:t xml:space="preserve"> as distribuidoras </w:t>
      </w:r>
      <w:r w:rsidR="68868788" w:rsidRPr="44FB0632">
        <w:rPr>
          <w:rFonts w:ascii="Arial" w:hAnsi="Arial" w:cs="Arial"/>
          <w:sz w:val="20"/>
          <w:szCs w:val="20"/>
        </w:rPr>
        <w:t xml:space="preserve">passaram a </w:t>
      </w:r>
      <w:r w:rsidRPr="44FB0632">
        <w:rPr>
          <w:rFonts w:ascii="Arial" w:hAnsi="Arial" w:cs="Arial"/>
          <w:sz w:val="20"/>
          <w:szCs w:val="20"/>
        </w:rPr>
        <w:t>compra</w:t>
      </w:r>
      <w:r w:rsidR="68868788" w:rsidRPr="44FB0632">
        <w:rPr>
          <w:rFonts w:ascii="Arial" w:hAnsi="Arial" w:cs="Arial"/>
          <w:sz w:val="20"/>
          <w:szCs w:val="20"/>
        </w:rPr>
        <w:t>r</w:t>
      </w:r>
      <w:r w:rsidRPr="44FB0632">
        <w:rPr>
          <w:rFonts w:ascii="Arial" w:hAnsi="Arial" w:cs="Arial"/>
          <w:sz w:val="20"/>
          <w:szCs w:val="20"/>
        </w:rPr>
        <w:t xml:space="preserve"> o biodiesel diretamente dos produtores, </w:t>
      </w:r>
      <w:r w:rsidR="68868788" w:rsidRPr="44FB0632">
        <w:rPr>
          <w:rFonts w:ascii="Arial" w:hAnsi="Arial" w:cs="Arial"/>
          <w:sz w:val="20"/>
          <w:szCs w:val="20"/>
        </w:rPr>
        <w:t>conforme</w:t>
      </w:r>
      <w:r w:rsidRPr="44FB0632">
        <w:rPr>
          <w:rFonts w:ascii="Arial" w:hAnsi="Arial" w:cs="Arial"/>
          <w:sz w:val="20"/>
          <w:szCs w:val="20"/>
        </w:rPr>
        <w:t xml:space="preserve"> a Resolução CNPE nº 14/2020 </w:t>
      </w:r>
      <w:r w:rsidR="68868788" w:rsidRPr="44FB0632">
        <w:rPr>
          <w:rFonts w:ascii="Arial" w:hAnsi="Arial" w:cs="Arial"/>
          <w:sz w:val="20"/>
          <w:szCs w:val="20"/>
        </w:rPr>
        <w:t>e a</w:t>
      </w:r>
      <w:r w:rsidRPr="44FB0632">
        <w:rPr>
          <w:rFonts w:ascii="Arial" w:hAnsi="Arial" w:cs="Arial"/>
          <w:sz w:val="20"/>
          <w:szCs w:val="20"/>
        </w:rPr>
        <w:t xml:space="preserve"> Resolução ANP</w:t>
      </w:r>
      <w:r w:rsidR="23D0A5B3" w:rsidRPr="44FB0632">
        <w:rPr>
          <w:rFonts w:ascii="Arial" w:hAnsi="Arial" w:cs="Arial"/>
          <w:sz w:val="20"/>
          <w:szCs w:val="20"/>
        </w:rPr>
        <w:t xml:space="preserve"> nº</w:t>
      </w:r>
      <w:r w:rsidRPr="44FB0632">
        <w:rPr>
          <w:rFonts w:ascii="Arial" w:hAnsi="Arial" w:cs="Arial"/>
          <w:sz w:val="20"/>
          <w:szCs w:val="20"/>
        </w:rPr>
        <w:t xml:space="preserve"> </w:t>
      </w:r>
      <w:r w:rsidR="68868788" w:rsidRPr="44FB0632">
        <w:rPr>
          <w:rFonts w:ascii="Arial" w:hAnsi="Arial" w:cs="Arial"/>
          <w:sz w:val="20"/>
          <w:szCs w:val="20"/>
        </w:rPr>
        <w:t>857/</w:t>
      </w:r>
      <w:r w:rsidR="00A2703D">
        <w:rPr>
          <w:rFonts w:ascii="Arial" w:hAnsi="Arial" w:cs="Arial"/>
          <w:sz w:val="20"/>
          <w:szCs w:val="20"/>
        </w:rPr>
        <w:t>202</w:t>
      </w:r>
      <w:r w:rsidR="000760F6">
        <w:rPr>
          <w:rFonts w:ascii="Arial" w:hAnsi="Arial" w:cs="Arial"/>
          <w:sz w:val="20"/>
          <w:szCs w:val="20"/>
        </w:rPr>
        <w:t>1</w:t>
      </w:r>
      <w:r w:rsidR="68868788" w:rsidRPr="44FB0632">
        <w:rPr>
          <w:rFonts w:ascii="Arial" w:hAnsi="Arial" w:cs="Arial"/>
          <w:sz w:val="20"/>
          <w:szCs w:val="20"/>
        </w:rPr>
        <w:t>.</w:t>
      </w:r>
    </w:p>
    <w:p w14:paraId="6AF2884D" w14:textId="77777777" w:rsidR="007B0322" w:rsidRDefault="007B0322" w:rsidP="00952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93CE03" w14:textId="15A3352A" w:rsidR="007B0322" w:rsidRDefault="007B0322" w:rsidP="00952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B0322">
        <w:rPr>
          <w:rFonts w:ascii="Arial" w:hAnsi="Arial" w:cs="Arial"/>
          <w:sz w:val="20"/>
          <w:szCs w:val="20"/>
        </w:rPr>
        <w:t>As metas mínimas de contratação estabelecidas para os distribuidores de combustíveis líquidos e os produtores de biodiesel, conforme a Resolução ANP nº 857/</w:t>
      </w:r>
      <w:r w:rsidR="00A2703D">
        <w:rPr>
          <w:rFonts w:ascii="Arial" w:hAnsi="Arial" w:cs="Arial"/>
          <w:sz w:val="20"/>
          <w:szCs w:val="20"/>
        </w:rPr>
        <w:t>202</w:t>
      </w:r>
      <w:r w:rsidR="000760F6">
        <w:rPr>
          <w:rFonts w:ascii="Arial" w:hAnsi="Arial" w:cs="Arial"/>
          <w:sz w:val="20"/>
          <w:szCs w:val="20"/>
        </w:rPr>
        <w:t>1</w:t>
      </w:r>
      <w:r w:rsidRPr="007B0322">
        <w:rPr>
          <w:rFonts w:ascii="Arial" w:hAnsi="Arial" w:cs="Arial"/>
          <w:sz w:val="20"/>
          <w:szCs w:val="20"/>
        </w:rPr>
        <w:t xml:space="preserve">, podem ser consultadas </w:t>
      </w:r>
      <w:r w:rsidR="001A1EEC">
        <w:rPr>
          <w:rFonts w:ascii="Arial" w:hAnsi="Arial" w:cs="Arial"/>
          <w:sz w:val="20"/>
          <w:szCs w:val="20"/>
        </w:rPr>
        <w:t xml:space="preserve">no </w:t>
      </w:r>
      <w:r w:rsidR="003052E8">
        <w:rPr>
          <w:rFonts w:ascii="Arial" w:hAnsi="Arial" w:cs="Arial"/>
          <w:sz w:val="20"/>
          <w:szCs w:val="20"/>
        </w:rPr>
        <w:t xml:space="preserve">site da ANP, </w:t>
      </w:r>
      <w:r w:rsidR="001A1EEC" w:rsidRPr="003049F7">
        <w:rPr>
          <w:rFonts w:ascii="Arial" w:hAnsi="Arial" w:cs="Arial"/>
          <w:i/>
          <w:iCs/>
          <w:sz w:val="20"/>
          <w:szCs w:val="20"/>
        </w:rPr>
        <w:t>link</w:t>
      </w:r>
      <w:r w:rsidR="001A1EEC">
        <w:rPr>
          <w:rFonts w:ascii="Arial" w:hAnsi="Arial" w:cs="Arial"/>
          <w:sz w:val="20"/>
          <w:szCs w:val="20"/>
        </w:rPr>
        <w:t xml:space="preserve"> (</w:t>
      </w:r>
      <w:hyperlink r:id="rId5" w:history="1">
        <w:r w:rsidR="003052E8" w:rsidRPr="003049F7">
          <w:rPr>
            <w:rStyle w:val="Hyperlink"/>
            <w:rFonts w:ascii="Arial" w:hAnsi="Arial" w:cs="Arial"/>
            <w:sz w:val="20"/>
            <w:szCs w:val="20"/>
          </w:rPr>
          <w:t>https://www.gov.br/anp/pt-br/assuntos/distribuicao-e-revenda/comercializacao-de-biodiesel</w:t>
        </w:r>
      </w:hyperlink>
      <w:r w:rsidR="001A1EEC">
        <w:rPr>
          <w:rFonts w:ascii="Arial" w:hAnsi="Arial" w:cs="Arial"/>
          <w:sz w:val="20"/>
          <w:szCs w:val="20"/>
        </w:rPr>
        <w:t>)</w:t>
      </w:r>
      <w:r w:rsidR="003052E8">
        <w:rPr>
          <w:rFonts w:ascii="Arial" w:hAnsi="Arial" w:cs="Arial"/>
          <w:sz w:val="20"/>
          <w:szCs w:val="20"/>
        </w:rPr>
        <w:t>.</w:t>
      </w:r>
    </w:p>
    <w:p w14:paraId="5E8CF03B" w14:textId="24974D07" w:rsidR="44FB0632" w:rsidRDefault="44FB0632" w:rsidP="44FB0632">
      <w:pPr>
        <w:jc w:val="both"/>
        <w:rPr>
          <w:rFonts w:ascii="Arial" w:hAnsi="Arial" w:cs="Arial"/>
          <w:sz w:val="20"/>
          <w:szCs w:val="20"/>
        </w:rPr>
      </w:pPr>
    </w:p>
    <w:p w14:paraId="7BC03E39" w14:textId="7B6072FE" w:rsidR="3C30782B" w:rsidRDefault="3C30782B" w:rsidP="44FB0632">
      <w:pPr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>Na tabela 4.1</w:t>
      </w:r>
      <w:r w:rsidR="00FC6C77">
        <w:rPr>
          <w:rFonts w:ascii="Arial" w:hAnsi="Arial" w:cs="Arial"/>
          <w:sz w:val="20"/>
          <w:szCs w:val="20"/>
        </w:rPr>
        <w:t>5</w:t>
      </w:r>
      <w:r w:rsidR="003049F7">
        <w:rPr>
          <w:rFonts w:ascii="Arial" w:hAnsi="Arial" w:cs="Arial"/>
          <w:sz w:val="20"/>
          <w:szCs w:val="20"/>
        </w:rPr>
        <w:t>,</w:t>
      </w:r>
      <w:r w:rsidRPr="44FB0632">
        <w:rPr>
          <w:rFonts w:ascii="Arial" w:hAnsi="Arial" w:cs="Arial"/>
          <w:sz w:val="20"/>
          <w:szCs w:val="20"/>
        </w:rPr>
        <w:t xml:space="preserve"> apresentam-se os </w:t>
      </w:r>
      <w:r w:rsidR="0030157D">
        <w:rPr>
          <w:rFonts w:ascii="Arial" w:hAnsi="Arial" w:cs="Arial"/>
          <w:sz w:val="20"/>
          <w:szCs w:val="20"/>
        </w:rPr>
        <w:t xml:space="preserve">leilões </w:t>
      </w:r>
      <w:r w:rsidR="00067032">
        <w:rPr>
          <w:rFonts w:ascii="Arial" w:hAnsi="Arial" w:cs="Arial"/>
          <w:sz w:val="20"/>
          <w:szCs w:val="20"/>
        </w:rPr>
        <w:t xml:space="preserve">de biodiesel e os </w:t>
      </w:r>
      <w:r w:rsidRPr="44FB0632">
        <w:rPr>
          <w:rFonts w:ascii="Arial" w:hAnsi="Arial" w:cs="Arial"/>
          <w:sz w:val="20"/>
          <w:szCs w:val="20"/>
        </w:rPr>
        <w:t xml:space="preserve">volumes comercializados até </w:t>
      </w:r>
      <w:r w:rsidR="00A2703D">
        <w:rPr>
          <w:rFonts w:ascii="Arial" w:hAnsi="Arial" w:cs="Arial"/>
          <w:sz w:val="20"/>
          <w:szCs w:val="20"/>
        </w:rPr>
        <w:t>202</w:t>
      </w:r>
      <w:r w:rsidR="005C0ADB">
        <w:rPr>
          <w:rFonts w:ascii="Arial" w:hAnsi="Arial" w:cs="Arial"/>
          <w:sz w:val="20"/>
          <w:szCs w:val="20"/>
        </w:rPr>
        <w:t>1</w:t>
      </w:r>
      <w:r w:rsidR="5D6237B4" w:rsidRPr="44FB0632">
        <w:rPr>
          <w:rFonts w:ascii="Arial" w:hAnsi="Arial" w:cs="Arial"/>
          <w:sz w:val="20"/>
          <w:szCs w:val="20"/>
        </w:rPr>
        <w:t>.</w:t>
      </w:r>
    </w:p>
    <w:p w14:paraId="52B2B11F" w14:textId="0EEBD464" w:rsidR="44FB0632" w:rsidRDefault="44FB0632" w:rsidP="44FB0632">
      <w:pPr>
        <w:jc w:val="both"/>
        <w:rPr>
          <w:rFonts w:ascii="Arial" w:hAnsi="Arial" w:cs="Arial"/>
          <w:sz w:val="20"/>
          <w:szCs w:val="20"/>
        </w:rPr>
      </w:pPr>
    </w:p>
    <w:p w14:paraId="710F1488" w14:textId="27D8D133" w:rsidR="00FC6C77" w:rsidRPr="008676E1" w:rsidRDefault="00FC6C77" w:rsidP="00FC6C77">
      <w:pPr>
        <w:pStyle w:val="Ttulo2"/>
        <w:rPr>
          <w:rFonts w:ascii="Arial" w:hAnsi="Arial" w:cs="Arial"/>
          <w:b w:val="0"/>
          <w:bCs w:val="0"/>
          <w:sz w:val="20"/>
          <w:szCs w:val="20"/>
        </w:rPr>
      </w:pPr>
      <w:r w:rsidRPr="008676E1">
        <w:rPr>
          <w:rFonts w:ascii="Arial" w:hAnsi="Arial" w:cs="Arial"/>
          <w:b w:val="0"/>
          <w:bCs w:val="0"/>
          <w:sz w:val="20"/>
          <w:szCs w:val="20"/>
        </w:rPr>
        <w:t>Tabela 4.1</w:t>
      </w:r>
      <w:r>
        <w:rPr>
          <w:rFonts w:ascii="Arial" w:hAnsi="Arial" w:cs="Arial"/>
          <w:b w:val="0"/>
          <w:bCs w:val="0"/>
          <w:sz w:val="20"/>
          <w:szCs w:val="20"/>
        </w:rPr>
        <w:t>5</w:t>
      </w:r>
    </w:p>
    <w:p w14:paraId="30545E7D" w14:textId="77777777" w:rsidR="00FC6C77" w:rsidRDefault="00FC6C77" w:rsidP="44FB0632">
      <w:pPr>
        <w:jc w:val="both"/>
        <w:rPr>
          <w:rFonts w:ascii="Arial" w:hAnsi="Arial" w:cs="Arial"/>
          <w:sz w:val="20"/>
          <w:szCs w:val="20"/>
        </w:rPr>
      </w:pPr>
    </w:p>
    <w:p w14:paraId="3041E394" w14:textId="77777777" w:rsidR="005E5184" w:rsidRDefault="005E5184">
      <w:pPr>
        <w:rPr>
          <w:rFonts w:ascii="Arial" w:hAnsi="Arial" w:cs="Arial"/>
          <w:sz w:val="20"/>
          <w:szCs w:val="20"/>
        </w:rPr>
      </w:pPr>
    </w:p>
    <w:p w14:paraId="6D4FCF38" w14:textId="0A8D1764" w:rsidR="00546FE3" w:rsidRPr="00AB4B1C" w:rsidRDefault="00546FE3" w:rsidP="00AB4B1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B4B1C">
        <w:rPr>
          <w:rFonts w:ascii="Arial" w:hAnsi="Arial" w:cs="Arial"/>
          <w:b/>
          <w:bCs/>
          <w:sz w:val="20"/>
          <w:szCs w:val="20"/>
        </w:rPr>
        <w:t>4.</w:t>
      </w:r>
      <w:r w:rsidR="00B45175">
        <w:rPr>
          <w:rFonts w:ascii="Arial" w:hAnsi="Arial" w:cs="Arial"/>
          <w:b/>
          <w:bCs/>
          <w:sz w:val="20"/>
          <w:szCs w:val="20"/>
        </w:rPr>
        <w:t>3</w:t>
      </w:r>
      <w:r w:rsidRPr="00AB4B1C">
        <w:rPr>
          <w:rFonts w:ascii="Arial" w:hAnsi="Arial" w:cs="Arial"/>
          <w:b/>
          <w:bCs/>
          <w:sz w:val="20"/>
          <w:szCs w:val="20"/>
        </w:rPr>
        <w:t xml:space="preserve"> </w:t>
      </w:r>
      <w:r w:rsidR="00224134" w:rsidRPr="00AB4B1C">
        <w:rPr>
          <w:rFonts w:ascii="Arial" w:hAnsi="Arial" w:cs="Arial"/>
          <w:b/>
          <w:bCs/>
          <w:sz w:val="20"/>
          <w:szCs w:val="20"/>
        </w:rPr>
        <w:t>BIOMETANO</w:t>
      </w:r>
    </w:p>
    <w:p w14:paraId="7689CC4C" w14:textId="77777777" w:rsidR="00546FE3" w:rsidRDefault="00546FE3">
      <w:pPr>
        <w:rPr>
          <w:rFonts w:ascii="Arial" w:hAnsi="Arial" w:cs="Arial"/>
          <w:sz w:val="20"/>
          <w:szCs w:val="20"/>
        </w:rPr>
      </w:pPr>
    </w:p>
    <w:p w14:paraId="0705297E" w14:textId="2491C496" w:rsidR="009B1706" w:rsidRPr="009B1706" w:rsidRDefault="009B1706" w:rsidP="009B1706">
      <w:pPr>
        <w:jc w:val="both"/>
        <w:rPr>
          <w:rFonts w:ascii="Arial" w:hAnsi="Arial" w:cs="Arial"/>
          <w:sz w:val="20"/>
          <w:szCs w:val="20"/>
        </w:rPr>
      </w:pPr>
      <w:r w:rsidRPr="009B1706">
        <w:rPr>
          <w:rFonts w:ascii="Arial" w:hAnsi="Arial" w:cs="Arial"/>
          <w:sz w:val="20"/>
          <w:szCs w:val="20"/>
        </w:rPr>
        <w:t xml:space="preserve">O biometano é um biocombustível </w:t>
      </w:r>
      <w:r w:rsidR="004421C0" w:rsidRPr="004421C0">
        <w:rPr>
          <w:rFonts w:ascii="Arial" w:hAnsi="Arial" w:cs="Arial"/>
          <w:sz w:val="20"/>
          <w:szCs w:val="20"/>
        </w:rPr>
        <w:t>gasoso constituído essencialmente de metano, derivado da purificação do biogás.</w:t>
      </w:r>
      <w:r w:rsidRPr="009B1706">
        <w:rPr>
          <w:rFonts w:ascii="Arial" w:hAnsi="Arial" w:cs="Arial"/>
          <w:sz w:val="20"/>
          <w:szCs w:val="20"/>
        </w:rPr>
        <w:t xml:space="preserve"> Por sua vez, o biogás é originário da digestão anaeróbica de material orgânico (decomposição por ação das bactérias), composto principalmente de metano e dióxido de carbono (CO</w:t>
      </w:r>
      <w:r w:rsidR="0041567A">
        <w:rPr>
          <w:rFonts w:ascii="Arial" w:hAnsi="Arial" w:cs="Arial"/>
          <w:sz w:val="20"/>
          <w:szCs w:val="20"/>
          <w:vertAlign w:val="subscript"/>
        </w:rPr>
        <w:t>2</w:t>
      </w:r>
      <w:r w:rsidRPr="009B1706">
        <w:rPr>
          <w:rFonts w:ascii="Arial" w:hAnsi="Arial" w:cs="Arial"/>
          <w:sz w:val="20"/>
          <w:szCs w:val="20"/>
        </w:rPr>
        <w:t>).</w:t>
      </w:r>
    </w:p>
    <w:p w14:paraId="6C158423" w14:textId="77777777" w:rsidR="009B1706" w:rsidRPr="009B1706" w:rsidRDefault="009B1706" w:rsidP="009B1706">
      <w:pPr>
        <w:jc w:val="both"/>
        <w:rPr>
          <w:rFonts w:ascii="Arial" w:hAnsi="Arial" w:cs="Arial"/>
          <w:sz w:val="20"/>
          <w:szCs w:val="20"/>
        </w:rPr>
      </w:pPr>
    </w:p>
    <w:p w14:paraId="107B29DB" w14:textId="77777777" w:rsidR="009B1706" w:rsidRPr="009B1706" w:rsidRDefault="009B1706" w:rsidP="009B1706">
      <w:pPr>
        <w:jc w:val="both"/>
        <w:rPr>
          <w:rFonts w:ascii="Arial" w:hAnsi="Arial" w:cs="Arial"/>
          <w:sz w:val="20"/>
          <w:szCs w:val="20"/>
        </w:rPr>
      </w:pPr>
      <w:r w:rsidRPr="009B1706">
        <w:rPr>
          <w:rFonts w:ascii="Arial" w:hAnsi="Arial" w:cs="Arial"/>
          <w:sz w:val="20"/>
          <w:szCs w:val="20"/>
        </w:rPr>
        <w:t xml:space="preserve">O biometano obtido de resíduos essencialmente orgânicos é aquele proveniente das atividades </w:t>
      </w:r>
      <w:proofErr w:type="spellStart"/>
      <w:r w:rsidRPr="009B1706">
        <w:rPr>
          <w:rFonts w:ascii="Arial" w:hAnsi="Arial" w:cs="Arial"/>
          <w:sz w:val="20"/>
          <w:szCs w:val="20"/>
        </w:rPr>
        <w:t>agrossilvopastoris</w:t>
      </w:r>
      <w:proofErr w:type="spellEnd"/>
      <w:r w:rsidRPr="009B1706">
        <w:rPr>
          <w:rFonts w:ascii="Arial" w:hAnsi="Arial" w:cs="Arial"/>
          <w:sz w:val="20"/>
          <w:szCs w:val="20"/>
        </w:rPr>
        <w:t xml:space="preserve"> ou de atividades comerciais (como, por exemplo, alimentos descartados por bares e restaurantes), excluídos o gás de aterro sanitário e o proveniente de estações de tratamento de esgoto, uma vez que estes podem conter outros resíduos não orgânicos.</w:t>
      </w:r>
    </w:p>
    <w:p w14:paraId="600162D7" w14:textId="77777777" w:rsidR="009B1706" w:rsidRPr="009B1706" w:rsidRDefault="009B1706" w:rsidP="009B1706">
      <w:pPr>
        <w:jc w:val="both"/>
        <w:rPr>
          <w:rFonts w:ascii="Arial" w:hAnsi="Arial" w:cs="Arial"/>
          <w:sz w:val="20"/>
          <w:szCs w:val="20"/>
        </w:rPr>
      </w:pPr>
    </w:p>
    <w:p w14:paraId="3039B95C" w14:textId="049EB51D" w:rsidR="009B1706" w:rsidRPr="009B1706" w:rsidRDefault="009B1706" w:rsidP="009B1706">
      <w:pPr>
        <w:jc w:val="both"/>
        <w:rPr>
          <w:rFonts w:ascii="Arial" w:hAnsi="Arial" w:cs="Arial"/>
          <w:sz w:val="20"/>
          <w:szCs w:val="20"/>
        </w:rPr>
      </w:pPr>
      <w:r w:rsidRPr="009B1706">
        <w:rPr>
          <w:rFonts w:ascii="Arial" w:hAnsi="Arial" w:cs="Arial"/>
          <w:sz w:val="20"/>
          <w:szCs w:val="20"/>
        </w:rPr>
        <w:t xml:space="preserve">A purificação do biogás resulta no biometano com elevado teor de metano em sua composição, reunindo características que o torna intercambiável com o gás natural em todas as suas aplicações. </w:t>
      </w:r>
      <w:r w:rsidR="000760F6">
        <w:rPr>
          <w:rFonts w:ascii="Arial" w:hAnsi="Arial" w:cs="Arial"/>
          <w:sz w:val="20"/>
          <w:szCs w:val="20"/>
        </w:rPr>
        <w:t>Desta forma ele se torna</w:t>
      </w:r>
      <w:r w:rsidRPr="009B1706">
        <w:rPr>
          <w:rFonts w:ascii="Arial" w:hAnsi="Arial" w:cs="Arial"/>
          <w:sz w:val="20"/>
          <w:szCs w:val="20"/>
        </w:rPr>
        <w:t xml:space="preserve"> passível de ser transportado na forma de gás comprimido por meio de caminhão-feixe (gasoduto virtual) ou na forma de gás liquefeito, denominado biometano liquefeito </w:t>
      </w:r>
      <w:r w:rsidR="000760F6">
        <w:rPr>
          <w:rFonts w:ascii="Arial" w:hAnsi="Arial" w:cs="Arial"/>
          <w:sz w:val="20"/>
          <w:szCs w:val="20"/>
        </w:rPr>
        <w:t>–</w:t>
      </w:r>
      <w:r w:rsidRPr="009B1706">
        <w:rPr>
          <w:rFonts w:ascii="Arial" w:hAnsi="Arial" w:cs="Arial"/>
          <w:sz w:val="20"/>
          <w:szCs w:val="20"/>
        </w:rPr>
        <w:t xml:space="preserve"> </w:t>
      </w:r>
      <w:r w:rsidR="000760F6">
        <w:rPr>
          <w:rFonts w:ascii="Arial" w:hAnsi="Arial" w:cs="Arial"/>
          <w:sz w:val="20"/>
          <w:szCs w:val="20"/>
        </w:rPr>
        <w:t>(</w:t>
      </w:r>
      <w:proofErr w:type="spellStart"/>
      <w:r w:rsidRPr="009B1706">
        <w:rPr>
          <w:rFonts w:ascii="Arial" w:hAnsi="Arial" w:cs="Arial"/>
          <w:sz w:val="20"/>
          <w:szCs w:val="20"/>
        </w:rPr>
        <w:t>Bio-GNL</w:t>
      </w:r>
      <w:proofErr w:type="spellEnd"/>
      <w:r w:rsidR="000760F6">
        <w:rPr>
          <w:rFonts w:ascii="Arial" w:hAnsi="Arial" w:cs="Arial"/>
          <w:sz w:val="20"/>
          <w:szCs w:val="20"/>
        </w:rPr>
        <w:t>)</w:t>
      </w:r>
      <w:r w:rsidRPr="009B1706">
        <w:rPr>
          <w:rFonts w:ascii="Arial" w:hAnsi="Arial" w:cs="Arial"/>
          <w:sz w:val="20"/>
          <w:szCs w:val="20"/>
        </w:rPr>
        <w:t>.</w:t>
      </w:r>
    </w:p>
    <w:p w14:paraId="3188BD70" w14:textId="77777777" w:rsidR="009B1706" w:rsidRPr="009B1706" w:rsidRDefault="009B1706" w:rsidP="009B1706">
      <w:pPr>
        <w:jc w:val="both"/>
        <w:rPr>
          <w:rFonts w:ascii="Arial" w:hAnsi="Arial" w:cs="Arial"/>
          <w:sz w:val="20"/>
          <w:szCs w:val="20"/>
        </w:rPr>
      </w:pPr>
    </w:p>
    <w:p w14:paraId="10DFC90E" w14:textId="41FCFFEA" w:rsidR="00FD39D9" w:rsidRDefault="00D3429B" w:rsidP="00822E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D0303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</w:t>
      </w:r>
      <w:r w:rsidR="00644A50">
        <w:rPr>
          <w:rFonts w:ascii="Arial" w:hAnsi="Arial" w:cs="Arial"/>
          <w:sz w:val="20"/>
          <w:szCs w:val="20"/>
        </w:rPr>
        <w:t>a capacidade instalada de</w:t>
      </w:r>
      <w:r w:rsidR="00850DF3">
        <w:rPr>
          <w:rFonts w:ascii="Arial" w:hAnsi="Arial" w:cs="Arial"/>
          <w:sz w:val="20"/>
          <w:szCs w:val="20"/>
        </w:rPr>
        <w:t xml:space="preserve"> processamento de biogás foi de</w:t>
      </w:r>
      <w:r w:rsidR="00644A50">
        <w:rPr>
          <w:rFonts w:ascii="Arial" w:hAnsi="Arial" w:cs="Arial"/>
          <w:sz w:val="20"/>
          <w:szCs w:val="20"/>
        </w:rPr>
        <w:t xml:space="preserve"> </w:t>
      </w:r>
      <w:r w:rsidR="00D03037">
        <w:rPr>
          <w:rFonts w:ascii="Arial" w:hAnsi="Arial" w:cs="Arial"/>
          <w:sz w:val="20"/>
          <w:szCs w:val="20"/>
        </w:rPr>
        <w:t>87</w:t>
      </w:r>
      <w:r w:rsidR="00965E7A">
        <w:rPr>
          <w:rFonts w:ascii="Arial" w:hAnsi="Arial" w:cs="Arial"/>
          <w:sz w:val="20"/>
          <w:szCs w:val="20"/>
        </w:rPr>
        <w:t>3,</w:t>
      </w:r>
      <w:r w:rsidR="00D03037">
        <w:rPr>
          <w:rFonts w:ascii="Arial" w:hAnsi="Arial" w:cs="Arial"/>
          <w:sz w:val="20"/>
          <w:szCs w:val="20"/>
        </w:rPr>
        <w:t>4</w:t>
      </w:r>
      <w:r w:rsidR="000532C0">
        <w:rPr>
          <w:rFonts w:ascii="Arial" w:hAnsi="Arial" w:cs="Arial"/>
          <w:sz w:val="20"/>
          <w:szCs w:val="20"/>
        </w:rPr>
        <w:t xml:space="preserve"> milhões de m³</w:t>
      </w:r>
      <w:r w:rsidR="009F750E">
        <w:rPr>
          <w:rFonts w:ascii="Arial" w:hAnsi="Arial" w:cs="Arial"/>
          <w:sz w:val="20"/>
          <w:szCs w:val="20"/>
        </w:rPr>
        <w:t xml:space="preserve">. O volume processado </w:t>
      </w:r>
      <w:r w:rsidR="00850DF3">
        <w:rPr>
          <w:rFonts w:ascii="Arial" w:hAnsi="Arial" w:cs="Arial"/>
          <w:sz w:val="20"/>
          <w:szCs w:val="20"/>
        </w:rPr>
        <w:t>de biogás</w:t>
      </w:r>
      <w:r w:rsidR="009F750E">
        <w:rPr>
          <w:rFonts w:ascii="Arial" w:hAnsi="Arial" w:cs="Arial"/>
          <w:sz w:val="20"/>
          <w:szCs w:val="20"/>
        </w:rPr>
        <w:t xml:space="preserve"> correspondeu a </w:t>
      </w:r>
      <w:r w:rsidR="00965E7A">
        <w:rPr>
          <w:rFonts w:ascii="Arial" w:hAnsi="Arial" w:cs="Arial"/>
          <w:sz w:val="20"/>
          <w:szCs w:val="20"/>
        </w:rPr>
        <w:t>2</w:t>
      </w:r>
      <w:r w:rsidR="00D03037">
        <w:rPr>
          <w:rFonts w:ascii="Arial" w:hAnsi="Arial" w:cs="Arial"/>
          <w:sz w:val="20"/>
          <w:szCs w:val="20"/>
        </w:rPr>
        <w:t>5</w:t>
      </w:r>
      <w:r w:rsidR="00965E7A">
        <w:rPr>
          <w:rFonts w:ascii="Arial" w:hAnsi="Arial" w:cs="Arial"/>
          <w:sz w:val="20"/>
          <w:szCs w:val="20"/>
        </w:rPr>
        <w:t>1,</w:t>
      </w:r>
      <w:r w:rsidR="00D03037">
        <w:rPr>
          <w:rFonts w:ascii="Arial" w:hAnsi="Arial" w:cs="Arial"/>
          <w:sz w:val="20"/>
          <w:szCs w:val="20"/>
        </w:rPr>
        <w:t>1</w:t>
      </w:r>
      <w:r w:rsidR="002B3A04">
        <w:rPr>
          <w:rFonts w:ascii="Arial" w:hAnsi="Arial" w:cs="Arial"/>
          <w:sz w:val="20"/>
          <w:szCs w:val="20"/>
        </w:rPr>
        <w:t xml:space="preserve"> milhões de m³, ou</w:t>
      </w:r>
      <w:r w:rsidR="000760F6">
        <w:rPr>
          <w:rFonts w:ascii="Arial" w:hAnsi="Arial" w:cs="Arial"/>
          <w:sz w:val="20"/>
          <w:szCs w:val="20"/>
        </w:rPr>
        <w:t xml:space="preserve"> seja</w:t>
      </w:r>
      <w:r w:rsidR="002B3A04">
        <w:rPr>
          <w:rFonts w:ascii="Arial" w:hAnsi="Arial" w:cs="Arial"/>
          <w:sz w:val="20"/>
          <w:szCs w:val="20"/>
        </w:rPr>
        <w:t xml:space="preserve"> </w:t>
      </w:r>
      <w:r w:rsidR="00D03037">
        <w:rPr>
          <w:rFonts w:ascii="Arial" w:hAnsi="Arial" w:cs="Arial"/>
          <w:sz w:val="20"/>
          <w:szCs w:val="20"/>
        </w:rPr>
        <w:t>28,7</w:t>
      </w:r>
      <w:r w:rsidR="00730BDD">
        <w:rPr>
          <w:rFonts w:ascii="Arial" w:hAnsi="Arial" w:cs="Arial"/>
          <w:sz w:val="20"/>
          <w:szCs w:val="20"/>
        </w:rPr>
        <w:t xml:space="preserve">% da capacidade instalada. O </w:t>
      </w:r>
      <w:r w:rsidR="00A83E97">
        <w:rPr>
          <w:rFonts w:ascii="Arial" w:hAnsi="Arial" w:cs="Arial"/>
          <w:sz w:val="20"/>
          <w:szCs w:val="20"/>
        </w:rPr>
        <w:t xml:space="preserve">estado </w:t>
      </w:r>
      <w:r w:rsidR="009F7DF6">
        <w:rPr>
          <w:rFonts w:ascii="Arial" w:hAnsi="Arial" w:cs="Arial"/>
          <w:sz w:val="20"/>
          <w:szCs w:val="20"/>
        </w:rPr>
        <w:t xml:space="preserve">onde houve maior processamento foi o Rio de Janeiro, com </w:t>
      </w:r>
      <w:r w:rsidR="00822EE4">
        <w:rPr>
          <w:rFonts w:ascii="Arial" w:hAnsi="Arial" w:cs="Arial"/>
          <w:sz w:val="20"/>
          <w:szCs w:val="20"/>
        </w:rPr>
        <w:t>15</w:t>
      </w:r>
      <w:r w:rsidR="00D03037">
        <w:rPr>
          <w:rFonts w:ascii="Arial" w:hAnsi="Arial" w:cs="Arial"/>
          <w:sz w:val="20"/>
          <w:szCs w:val="20"/>
        </w:rPr>
        <w:t>1</w:t>
      </w:r>
      <w:r w:rsidR="00822EE4">
        <w:rPr>
          <w:rFonts w:ascii="Arial" w:hAnsi="Arial" w:cs="Arial"/>
          <w:sz w:val="20"/>
          <w:szCs w:val="20"/>
        </w:rPr>
        <w:t>,</w:t>
      </w:r>
      <w:r w:rsidR="00965E7A">
        <w:rPr>
          <w:rFonts w:ascii="Arial" w:hAnsi="Arial" w:cs="Arial"/>
          <w:sz w:val="20"/>
          <w:szCs w:val="20"/>
        </w:rPr>
        <w:t>1</w:t>
      </w:r>
      <w:r w:rsidR="00C86E24">
        <w:rPr>
          <w:rFonts w:ascii="Arial" w:hAnsi="Arial" w:cs="Arial"/>
          <w:sz w:val="20"/>
          <w:szCs w:val="20"/>
        </w:rPr>
        <w:t xml:space="preserve"> mil</w:t>
      </w:r>
      <w:r w:rsidR="00822EE4">
        <w:rPr>
          <w:rFonts w:ascii="Arial" w:hAnsi="Arial" w:cs="Arial"/>
          <w:sz w:val="20"/>
          <w:szCs w:val="20"/>
        </w:rPr>
        <w:t>hões de</w:t>
      </w:r>
      <w:r w:rsidR="00C86E24">
        <w:rPr>
          <w:rFonts w:ascii="Arial" w:hAnsi="Arial" w:cs="Arial"/>
          <w:sz w:val="20"/>
          <w:szCs w:val="20"/>
        </w:rPr>
        <w:t xml:space="preserve"> m³, </w:t>
      </w:r>
      <w:r w:rsidR="00822EE4">
        <w:rPr>
          <w:rFonts w:ascii="Arial" w:hAnsi="Arial" w:cs="Arial"/>
          <w:sz w:val="20"/>
          <w:szCs w:val="20"/>
        </w:rPr>
        <w:t>6</w:t>
      </w:r>
      <w:r w:rsidR="00D03037">
        <w:rPr>
          <w:rFonts w:ascii="Arial" w:hAnsi="Arial" w:cs="Arial"/>
          <w:sz w:val="20"/>
          <w:szCs w:val="20"/>
        </w:rPr>
        <w:t>0</w:t>
      </w:r>
      <w:r w:rsidR="00822EE4">
        <w:rPr>
          <w:rFonts w:ascii="Arial" w:hAnsi="Arial" w:cs="Arial"/>
          <w:sz w:val="20"/>
          <w:szCs w:val="20"/>
        </w:rPr>
        <w:t>,</w:t>
      </w:r>
      <w:r w:rsidR="00D03037">
        <w:rPr>
          <w:rFonts w:ascii="Arial" w:hAnsi="Arial" w:cs="Arial"/>
          <w:sz w:val="20"/>
          <w:szCs w:val="20"/>
        </w:rPr>
        <w:t>2</w:t>
      </w:r>
      <w:r w:rsidR="0046474C">
        <w:rPr>
          <w:rFonts w:ascii="Arial" w:hAnsi="Arial" w:cs="Arial"/>
          <w:sz w:val="20"/>
          <w:szCs w:val="20"/>
        </w:rPr>
        <w:t>% do total</w:t>
      </w:r>
      <w:r w:rsidR="00B907B9">
        <w:rPr>
          <w:rFonts w:ascii="Arial" w:hAnsi="Arial" w:cs="Arial"/>
          <w:sz w:val="20"/>
          <w:szCs w:val="20"/>
        </w:rPr>
        <w:t xml:space="preserve">, seguido de </w:t>
      </w:r>
      <w:r w:rsidR="00D03037">
        <w:rPr>
          <w:rFonts w:ascii="Arial" w:hAnsi="Arial" w:cs="Arial"/>
          <w:sz w:val="20"/>
          <w:szCs w:val="20"/>
        </w:rPr>
        <w:t xml:space="preserve">São Paulo (18,9%) e </w:t>
      </w:r>
      <w:r w:rsidR="00B907B9">
        <w:rPr>
          <w:rFonts w:ascii="Arial" w:hAnsi="Arial" w:cs="Arial"/>
          <w:sz w:val="20"/>
          <w:szCs w:val="20"/>
        </w:rPr>
        <w:t>Ce</w:t>
      </w:r>
      <w:r w:rsidR="00850DF3">
        <w:rPr>
          <w:rFonts w:ascii="Arial" w:hAnsi="Arial" w:cs="Arial"/>
          <w:sz w:val="20"/>
          <w:szCs w:val="20"/>
        </w:rPr>
        <w:t>a</w:t>
      </w:r>
      <w:r w:rsidR="00B907B9">
        <w:rPr>
          <w:rFonts w:ascii="Arial" w:hAnsi="Arial" w:cs="Arial"/>
          <w:sz w:val="20"/>
          <w:szCs w:val="20"/>
        </w:rPr>
        <w:t>rá (</w:t>
      </w:r>
      <w:r w:rsidR="00D03037">
        <w:rPr>
          <w:rFonts w:ascii="Arial" w:hAnsi="Arial" w:cs="Arial"/>
          <w:sz w:val="20"/>
          <w:szCs w:val="20"/>
        </w:rPr>
        <w:t>17</w:t>
      </w:r>
      <w:r w:rsidR="00B907B9">
        <w:rPr>
          <w:rFonts w:ascii="Arial" w:hAnsi="Arial" w:cs="Arial"/>
          <w:sz w:val="20"/>
          <w:szCs w:val="20"/>
        </w:rPr>
        <w:t>,</w:t>
      </w:r>
      <w:r w:rsidR="00D03037">
        <w:rPr>
          <w:rFonts w:ascii="Arial" w:hAnsi="Arial" w:cs="Arial"/>
          <w:sz w:val="20"/>
          <w:szCs w:val="20"/>
        </w:rPr>
        <w:t>9</w:t>
      </w:r>
      <w:r w:rsidR="00B907B9">
        <w:rPr>
          <w:rFonts w:ascii="Arial" w:hAnsi="Arial" w:cs="Arial"/>
          <w:sz w:val="20"/>
          <w:szCs w:val="20"/>
        </w:rPr>
        <w:t>%)</w:t>
      </w:r>
      <w:r w:rsidR="00D03037">
        <w:rPr>
          <w:rFonts w:ascii="Arial" w:hAnsi="Arial" w:cs="Arial"/>
          <w:sz w:val="20"/>
          <w:szCs w:val="20"/>
        </w:rPr>
        <w:t>.</w:t>
      </w:r>
    </w:p>
    <w:p w14:paraId="2853891D" w14:textId="77777777" w:rsidR="00822EE4" w:rsidRDefault="00822EE4" w:rsidP="00822EE4">
      <w:pPr>
        <w:jc w:val="both"/>
        <w:rPr>
          <w:rFonts w:ascii="Arial" w:hAnsi="Arial" w:cs="Arial"/>
          <w:sz w:val="20"/>
          <w:szCs w:val="20"/>
        </w:rPr>
      </w:pPr>
    </w:p>
    <w:p w14:paraId="127F34FC" w14:textId="509D338D" w:rsidR="00FD39D9" w:rsidRDefault="000760F6" w:rsidP="000760F6">
      <w:pPr>
        <w:jc w:val="both"/>
        <w:rPr>
          <w:rFonts w:ascii="Arial" w:hAnsi="Arial" w:cs="Arial"/>
          <w:sz w:val="20"/>
          <w:szCs w:val="20"/>
        </w:rPr>
      </w:pPr>
      <w:r w:rsidRPr="000760F6">
        <w:rPr>
          <w:rFonts w:ascii="Arial" w:hAnsi="Arial" w:cs="Arial"/>
          <w:sz w:val="20"/>
          <w:szCs w:val="20"/>
        </w:rPr>
        <w:t xml:space="preserve">Em 2025, houve produção de 109,1 milhões de m³ de </w:t>
      </w:r>
      <w:r>
        <w:rPr>
          <w:rFonts w:ascii="Arial" w:hAnsi="Arial" w:cs="Arial"/>
          <w:sz w:val="20"/>
          <w:szCs w:val="20"/>
        </w:rPr>
        <w:t>b</w:t>
      </w:r>
      <w:r w:rsidRPr="000760F6">
        <w:rPr>
          <w:rFonts w:ascii="Arial" w:hAnsi="Arial" w:cs="Arial"/>
          <w:sz w:val="20"/>
          <w:szCs w:val="20"/>
        </w:rPr>
        <w:t>iometano, volume 45,7% superior ao registrado no ano anterior. A região Sudeste foi a maior produtora nacional, tendo sido responsável por 81,2 milhões de m³, o que equivale a uma alta de 65% em relação a 2024. A região Nordeste produziu 22,3 milhões de m³ (20,4% do total), o que representa uma queda de 13,7%. A região Sul produziu 6,6 milhões de m³, o que equivale a 5,1% do total nacional</w:t>
      </w:r>
      <w:r w:rsidR="004B5E2C">
        <w:rPr>
          <w:rFonts w:ascii="Arial" w:hAnsi="Arial" w:cs="Arial"/>
          <w:sz w:val="20"/>
          <w:szCs w:val="20"/>
        </w:rPr>
        <w:t>.</w:t>
      </w:r>
    </w:p>
    <w:p w14:paraId="50514428" w14:textId="77777777" w:rsidR="00D3429B" w:rsidRDefault="00D3429B">
      <w:pPr>
        <w:rPr>
          <w:rFonts w:ascii="Arial" w:hAnsi="Arial" w:cs="Arial"/>
          <w:sz w:val="20"/>
          <w:szCs w:val="20"/>
        </w:rPr>
      </w:pPr>
    </w:p>
    <w:p w14:paraId="217E892D" w14:textId="576BA20C" w:rsidR="008E45C1" w:rsidRPr="00D932F7" w:rsidRDefault="008E45C1" w:rsidP="008E45C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D932F7">
        <w:rPr>
          <w:rFonts w:ascii="Arial" w:hAnsi="Arial" w:cs="Arial"/>
          <w:color w:val="FF0000"/>
          <w:sz w:val="20"/>
          <w:szCs w:val="20"/>
        </w:rPr>
        <w:t>Tabela 4.1</w:t>
      </w:r>
      <w:r w:rsidR="00C85CDA">
        <w:rPr>
          <w:rFonts w:ascii="Arial" w:hAnsi="Arial" w:cs="Arial"/>
          <w:color w:val="FF0000"/>
          <w:sz w:val="20"/>
          <w:szCs w:val="20"/>
        </w:rPr>
        <w:t>6</w:t>
      </w:r>
    </w:p>
    <w:p w14:paraId="0E61479C" w14:textId="1568E7B8" w:rsidR="008E45C1" w:rsidRDefault="008E45C1" w:rsidP="008E45C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D932F7">
        <w:rPr>
          <w:rFonts w:ascii="Arial" w:hAnsi="Arial" w:cs="Arial"/>
          <w:color w:val="FF0000"/>
          <w:sz w:val="20"/>
          <w:szCs w:val="20"/>
        </w:rPr>
        <w:t>Tabela 4.1</w:t>
      </w:r>
      <w:r w:rsidR="00C85CDA">
        <w:rPr>
          <w:rFonts w:ascii="Arial" w:hAnsi="Arial" w:cs="Arial"/>
          <w:color w:val="FF0000"/>
          <w:sz w:val="20"/>
          <w:szCs w:val="20"/>
        </w:rPr>
        <w:t>7</w:t>
      </w:r>
    </w:p>
    <w:p w14:paraId="24FBBFC8" w14:textId="0DC7AB4F" w:rsidR="00C85CDA" w:rsidRDefault="00C85CDA" w:rsidP="008E45C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D932F7">
        <w:rPr>
          <w:rFonts w:ascii="Arial" w:hAnsi="Arial" w:cs="Arial"/>
          <w:color w:val="FF0000"/>
          <w:sz w:val="20"/>
          <w:szCs w:val="20"/>
        </w:rPr>
        <w:t>Tabela 4.1</w:t>
      </w:r>
      <w:r>
        <w:rPr>
          <w:rFonts w:ascii="Arial" w:hAnsi="Arial" w:cs="Arial"/>
          <w:color w:val="FF0000"/>
          <w:sz w:val="20"/>
          <w:szCs w:val="20"/>
        </w:rPr>
        <w:t>8</w:t>
      </w:r>
    </w:p>
    <w:p w14:paraId="253B8EFC" w14:textId="77777777" w:rsidR="00FA3214" w:rsidRPr="00FA3214" w:rsidRDefault="00FA3214" w:rsidP="00FA3214">
      <w:pPr>
        <w:rPr>
          <w:rFonts w:ascii="Arial" w:hAnsi="Arial" w:cs="Arial"/>
          <w:sz w:val="20"/>
          <w:szCs w:val="20"/>
        </w:rPr>
      </w:pPr>
    </w:p>
    <w:p w14:paraId="69AC070C" w14:textId="73D283E1" w:rsidR="008E45C1" w:rsidRDefault="008E45C1" w:rsidP="008E45C1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Gráfico 4.1</w:t>
      </w:r>
      <w:r w:rsidR="00FA3214">
        <w:rPr>
          <w:rFonts w:ascii="Arial" w:hAnsi="Arial" w:cs="Arial"/>
          <w:color w:val="FF0000"/>
          <w:sz w:val="20"/>
          <w:szCs w:val="20"/>
        </w:rPr>
        <w:t>8</w:t>
      </w:r>
    </w:p>
    <w:p w14:paraId="375DA805" w14:textId="6BC3BC4D" w:rsidR="008E45C1" w:rsidRPr="00D932F7" w:rsidRDefault="008E45C1" w:rsidP="008E45C1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Gráfico 4.</w:t>
      </w:r>
      <w:r w:rsidR="00FA3214">
        <w:rPr>
          <w:rFonts w:ascii="Arial" w:hAnsi="Arial" w:cs="Arial"/>
          <w:color w:val="FF0000"/>
          <w:sz w:val="20"/>
          <w:szCs w:val="20"/>
        </w:rPr>
        <w:t>19</w:t>
      </w:r>
    </w:p>
    <w:p w14:paraId="356C9435" w14:textId="77777777" w:rsidR="008E45C1" w:rsidRDefault="008E45C1">
      <w:pPr>
        <w:rPr>
          <w:rFonts w:ascii="Arial" w:hAnsi="Arial" w:cs="Arial"/>
          <w:sz w:val="20"/>
          <w:szCs w:val="20"/>
        </w:rPr>
      </w:pPr>
    </w:p>
    <w:p w14:paraId="764E6677" w14:textId="77777777" w:rsidR="008E45C1" w:rsidRDefault="008E45C1">
      <w:pPr>
        <w:rPr>
          <w:rFonts w:ascii="Arial" w:hAnsi="Arial" w:cs="Arial"/>
          <w:sz w:val="20"/>
          <w:szCs w:val="20"/>
        </w:rPr>
      </w:pPr>
    </w:p>
    <w:p w14:paraId="4C161C0A" w14:textId="591E13F2" w:rsidR="00672B71" w:rsidRPr="00672B71" w:rsidRDefault="00672B71">
      <w:pPr>
        <w:rPr>
          <w:rFonts w:ascii="Arial" w:hAnsi="Arial" w:cs="Arial"/>
          <w:b/>
          <w:sz w:val="20"/>
          <w:szCs w:val="20"/>
        </w:rPr>
      </w:pPr>
      <w:r w:rsidRPr="00672B71">
        <w:rPr>
          <w:rFonts w:ascii="Arial" w:hAnsi="Arial" w:cs="Arial"/>
          <w:b/>
          <w:sz w:val="20"/>
          <w:szCs w:val="20"/>
        </w:rPr>
        <w:t>4.</w:t>
      </w:r>
      <w:r w:rsidR="00B45175">
        <w:rPr>
          <w:rFonts w:ascii="Arial" w:hAnsi="Arial" w:cs="Arial"/>
          <w:b/>
          <w:sz w:val="20"/>
          <w:szCs w:val="20"/>
        </w:rPr>
        <w:t>4</w:t>
      </w:r>
      <w:r w:rsidRPr="00672B71">
        <w:rPr>
          <w:rFonts w:ascii="Arial" w:hAnsi="Arial" w:cs="Arial"/>
          <w:b/>
          <w:sz w:val="20"/>
          <w:szCs w:val="20"/>
        </w:rPr>
        <w:t xml:space="preserve"> </w:t>
      </w:r>
      <w:r w:rsidR="00224134" w:rsidRPr="00672B71">
        <w:rPr>
          <w:rFonts w:ascii="Arial" w:hAnsi="Arial" w:cs="Arial"/>
          <w:b/>
          <w:sz w:val="20"/>
          <w:szCs w:val="20"/>
        </w:rPr>
        <w:t>RENOVA</w:t>
      </w:r>
      <w:r w:rsidR="00224134">
        <w:rPr>
          <w:rFonts w:ascii="Arial" w:hAnsi="Arial" w:cs="Arial"/>
          <w:b/>
          <w:sz w:val="20"/>
          <w:szCs w:val="20"/>
        </w:rPr>
        <w:t>B</w:t>
      </w:r>
      <w:r w:rsidR="00224134" w:rsidRPr="00672B71">
        <w:rPr>
          <w:rFonts w:ascii="Arial" w:hAnsi="Arial" w:cs="Arial"/>
          <w:b/>
          <w:sz w:val="20"/>
          <w:szCs w:val="20"/>
        </w:rPr>
        <w:t>IO</w:t>
      </w:r>
    </w:p>
    <w:p w14:paraId="7CEEC6BC" w14:textId="77777777" w:rsidR="00B45175" w:rsidRDefault="00B45175" w:rsidP="00672B71">
      <w:pPr>
        <w:jc w:val="both"/>
        <w:rPr>
          <w:rFonts w:ascii="Arial" w:hAnsi="Arial" w:cs="Arial"/>
          <w:sz w:val="20"/>
          <w:szCs w:val="20"/>
        </w:rPr>
      </w:pPr>
    </w:p>
    <w:p w14:paraId="51700271" w14:textId="7702D4CD" w:rsidR="00672B71" w:rsidRPr="00672B71" w:rsidRDefault="66E6D5F8" w:rsidP="00B27B77">
      <w:pPr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44FB0632">
        <w:rPr>
          <w:rFonts w:ascii="Arial" w:hAnsi="Arial" w:cs="Arial"/>
          <w:sz w:val="20"/>
          <w:szCs w:val="20"/>
        </w:rPr>
        <w:t>RenovaBio</w:t>
      </w:r>
      <w:proofErr w:type="spellEnd"/>
      <w:r w:rsidRPr="44FB0632">
        <w:rPr>
          <w:rFonts w:ascii="Arial" w:hAnsi="Arial" w:cs="Arial"/>
          <w:sz w:val="20"/>
          <w:szCs w:val="20"/>
        </w:rPr>
        <w:t xml:space="preserve"> é uma </w:t>
      </w:r>
      <w:r w:rsidR="1EC6F01D" w:rsidRPr="44FB0632">
        <w:rPr>
          <w:rFonts w:ascii="Arial" w:hAnsi="Arial" w:cs="Arial"/>
          <w:sz w:val="20"/>
          <w:szCs w:val="20"/>
        </w:rPr>
        <w:t>p</w:t>
      </w:r>
      <w:r w:rsidRPr="44FB0632">
        <w:rPr>
          <w:rFonts w:ascii="Arial" w:hAnsi="Arial" w:cs="Arial"/>
          <w:sz w:val="20"/>
          <w:szCs w:val="20"/>
        </w:rPr>
        <w:t>olítica instituída pela Lei nº 13.576/2017 com o objetivo de promover a expansão adequada da produção e uso de biocombustíveis na matriz energética brasileira</w:t>
      </w:r>
      <w:r w:rsidR="00B27B77">
        <w:rPr>
          <w:rFonts w:ascii="Arial" w:hAnsi="Arial" w:cs="Arial"/>
          <w:sz w:val="20"/>
          <w:szCs w:val="20"/>
        </w:rPr>
        <w:t>.</w:t>
      </w:r>
      <w:r w:rsidRPr="44FB0632">
        <w:rPr>
          <w:rFonts w:ascii="Arial" w:hAnsi="Arial" w:cs="Arial"/>
          <w:sz w:val="20"/>
          <w:szCs w:val="20"/>
        </w:rPr>
        <w:t xml:space="preserve"> </w:t>
      </w:r>
      <w:r w:rsidR="000760F6">
        <w:rPr>
          <w:rFonts w:ascii="Arial" w:hAnsi="Arial" w:cs="Arial"/>
          <w:sz w:val="20"/>
          <w:szCs w:val="20"/>
        </w:rPr>
        <w:t>Ela dá</w:t>
      </w:r>
      <w:r w:rsidR="00B27B77" w:rsidRPr="00B27B77">
        <w:rPr>
          <w:rFonts w:ascii="Arial" w:hAnsi="Arial" w:cs="Arial"/>
          <w:sz w:val="20"/>
          <w:szCs w:val="20"/>
        </w:rPr>
        <w:t xml:space="preserve"> ênfase à continuidade do fornecimento</w:t>
      </w:r>
      <w:r w:rsidR="00B27B77">
        <w:rPr>
          <w:rFonts w:ascii="Arial" w:hAnsi="Arial" w:cs="Arial"/>
          <w:sz w:val="20"/>
          <w:szCs w:val="20"/>
        </w:rPr>
        <w:t xml:space="preserve"> </w:t>
      </w:r>
      <w:r w:rsidR="00B27B77" w:rsidRPr="00B27B77">
        <w:rPr>
          <w:rFonts w:ascii="Arial" w:hAnsi="Arial" w:cs="Arial"/>
          <w:sz w:val="20"/>
          <w:szCs w:val="20"/>
        </w:rPr>
        <w:t>de combustíveis, ao aumento da eficiência</w:t>
      </w:r>
      <w:r w:rsidR="00B27B77">
        <w:rPr>
          <w:rFonts w:ascii="Arial" w:hAnsi="Arial" w:cs="Arial"/>
          <w:sz w:val="20"/>
          <w:szCs w:val="20"/>
        </w:rPr>
        <w:t xml:space="preserve"> </w:t>
      </w:r>
      <w:r w:rsidR="00B27B77" w:rsidRPr="00B27B77">
        <w:rPr>
          <w:rFonts w:ascii="Arial" w:hAnsi="Arial" w:cs="Arial"/>
          <w:sz w:val="20"/>
          <w:szCs w:val="20"/>
        </w:rPr>
        <w:t>energética do setor produtivo de biocombustíveis</w:t>
      </w:r>
      <w:r w:rsidR="00B27B77">
        <w:rPr>
          <w:rFonts w:ascii="Arial" w:hAnsi="Arial" w:cs="Arial"/>
          <w:sz w:val="20"/>
          <w:szCs w:val="20"/>
        </w:rPr>
        <w:t xml:space="preserve"> </w:t>
      </w:r>
      <w:r w:rsidR="00B27B77" w:rsidRPr="00B27B77">
        <w:rPr>
          <w:rFonts w:ascii="Arial" w:hAnsi="Arial" w:cs="Arial"/>
          <w:sz w:val="20"/>
          <w:szCs w:val="20"/>
        </w:rPr>
        <w:t>e à contribuição para a redução</w:t>
      </w:r>
      <w:r w:rsidR="00B27B77">
        <w:rPr>
          <w:rFonts w:ascii="Arial" w:hAnsi="Arial" w:cs="Arial"/>
          <w:sz w:val="20"/>
          <w:szCs w:val="20"/>
        </w:rPr>
        <w:t xml:space="preserve"> </w:t>
      </w:r>
      <w:r w:rsidR="00B27B77" w:rsidRPr="00B27B77">
        <w:rPr>
          <w:rFonts w:ascii="Arial" w:hAnsi="Arial" w:cs="Arial"/>
          <w:sz w:val="20"/>
          <w:szCs w:val="20"/>
        </w:rPr>
        <w:t>das emissões de gases d</w:t>
      </w:r>
      <w:r w:rsidR="000760F6">
        <w:rPr>
          <w:rFonts w:ascii="Arial" w:hAnsi="Arial" w:cs="Arial"/>
          <w:sz w:val="20"/>
          <w:szCs w:val="20"/>
        </w:rPr>
        <w:t>o</w:t>
      </w:r>
      <w:r w:rsidR="00B27B77" w:rsidRPr="00B27B77">
        <w:rPr>
          <w:rFonts w:ascii="Arial" w:hAnsi="Arial" w:cs="Arial"/>
          <w:sz w:val="20"/>
          <w:szCs w:val="20"/>
        </w:rPr>
        <w:t xml:space="preserve"> efeito estufa (GEE).</w:t>
      </w:r>
    </w:p>
    <w:p w14:paraId="2DE4B8FF" w14:textId="124ABBD5" w:rsidR="44FB0632" w:rsidRDefault="44FB0632" w:rsidP="008368F4">
      <w:pPr>
        <w:jc w:val="both"/>
        <w:rPr>
          <w:rFonts w:ascii="Arial" w:hAnsi="Arial" w:cs="Arial"/>
          <w:sz w:val="20"/>
          <w:szCs w:val="20"/>
        </w:rPr>
      </w:pPr>
    </w:p>
    <w:p w14:paraId="48B6EDEA" w14:textId="267B9F85" w:rsidR="00672B71" w:rsidRPr="00672B71" w:rsidRDefault="66E6D5F8" w:rsidP="008368F4">
      <w:pPr>
        <w:jc w:val="both"/>
        <w:rPr>
          <w:rFonts w:ascii="Arial" w:hAnsi="Arial" w:cs="Arial"/>
          <w:sz w:val="20"/>
          <w:szCs w:val="20"/>
        </w:rPr>
      </w:pPr>
      <w:r w:rsidRPr="44FB0632">
        <w:rPr>
          <w:rFonts w:ascii="Arial" w:hAnsi="Arial" w:cs="Arial"/>
          <w:sz w:val="20"/>
          <w:szCs w:val="20"/>
        </w:rPr>
        <w:t xml:space="preserve">São três </w:t>
      </w:r>
      <w:r w:rsidR="00D2028C">
        <w:rPr>
          <w:rFonts w:ascii="Arial" w:hAnsi="Arial" w:cs="Arial"/>
          <w:sz w:val="20"/>
          <w:szCs w:val="20"/>
        </w:rPr>
        <w:t xml:space="preserve">os </w:t>
      </w:r>
      <w:r w:rsidRPr="44FB0632">
        <w:rPr>
          <w:rFonts w:ascii="Arial" w:hAnsi="Arial" w:cs="Arial"/>
          <w:sz w:val="20"/>
          <w:szCs w:val="20"/>
        </w:rPr>
        <w:t xml:space="preserve">instrumentos de implementação do </w:t>
      </w:r>
      <w:proofErr w:type="spellStart"/>
      <w:r w:rsidRPr="44FB0632">
        <w:rPr>
          <w:rFonts w:ascii="Arial" w:hAnsi="Arial" w:cs="Arial"/>
          <w:sz w:val="20"/>
          <w:szCs w:val="20"/>
        </w:rPr>
        <w:t>RenovaBio</w:t>
      </w:r>
      <w:proofErr w:type="spellEnd"/>
      <w:r w:rsidRPr="44FB0632">
        <w:rPr>
          <w:rFonts w:ascii="Arial" w:hAnsi="Arial" w:cs="Arial"/>
          <w:sz w:val="20"/>
          <w:szCs w:val="20"/>
        </w:rPr>
        <w:t>: (i) as metas de descarbonização, (</w:t>
      </w:r>
      <w:proofErr w:type="spellStart"/>
      <w:r w:rsidRPr="44FB0632">
        <w:rPr>
          <w:rFonts w:ascii="Arial" w:hAnsi="Arial" w:cs="Arial"/>
          <w:sz w:val="20"/>
          <w:szCs w:val="20"/>
        </w:rPr>
        <w:t>ii</w:t>
      </w:r>
      <w:proofErr w:type="spellEnd"/>
      <w:r w:rsidRPr="44FB0632">
        <w:rPr>
          <w:rFonts w:ascii="Arial" w:hAnsi="Arial" w:cs="Arial"/>
          <w:sz w:val="20"/>
          <w:szCs w:val="20"/>
        </w:rPr>
        <w:t>) a certificação da produção eficiente de biocombustíveis e (</w:t>
      </w:r>
      <w:proofErr w:type="spellStart"/>
      <w:r w:rsidRPr="44FB0632">
        <w:rPr>
          <w:rFonts w:ascii="Arial" w:hAnsi="Arial" w:cs="Arial"/>
          <w:sz w:val="20"/>
          <w:szCs w:val="20"/>
        </w:rPr>
        <w:t>iii</w:t>
      </w:r>
      <w:proofErr w:type="spellEnd"/>
      <w:r w:rsidRPr="44FB0632">
        <w:rPr>
          <w:rFonts w:ascii="Arial" w:hAnsi="Arial" w:cs="Arial"/>
          <w:sz w:val="20"/>
          <w:szCs w:val="20"/>
        </w:rPr>
        <w:t>) os créditos de descarbonização (</w:t>
      </w:r>
      <w:proofErr w:type="spellStart"/>
      <w:r w:rsidRPr="44FB0632">
        <w:rPr>
          <w:rFonts w:ascii="Arial" w:hAnsi="Arial" w:cs="Arial"/>
          <w:sz w:val="20"/>
          <w:szCs w:val="20"/>
        </w:rPr>
        <w:t>CBIOs</w:t>
      </w:r>
      <w:proofErr w:type="spellEnd"/>
      <w:r w:rsidRPr="44FB0632">
        <w:rPr>
          <w:rFonts w:ascii="Arial" w:hAnsi="Arial" w:cs="Arial"/>
          <w:sz w:val="20"/>
          <w:szCs w:val="20"/>
        </w:rPr>
        <w:t xml:space="preserve">). Eles se inter-relacionam de modo a, em seu conjunto, garantir o </w:t>
      </w:r>
      <w:proofErr w:type="spellStart"/>
      <w:r w:rsidRPr="44FB0632">
        <w:rPr>
          <w:rFonts w:ascii="Arial" w:hAnsi="Arial" w:cs="Arial"/>
          <w:sz w:val="20"/>
          <w:szCs w:val="20"/>
        </w:rPr>
        <w:t>RenovaBio</w:t>
      </w:r>
      <w:proofErr w:type="spellEnd"/>
      <w:r w:rsidRPr="44FB0632">
        <w:rPr>
          <w:rFonts w:ascii="Arial" w:hAnsi="Arial" w:cs="Arial"/>
          <w:sz w:val="20"/>
          <w:szCs w:val="20"/>
        </w:rPr>
        <w:t xml:space="preserve"> como estratégia nacional integrada para os biocombustíveis.</w:t>
      </w:r>
    </w:p>
    <w:p w14:paraId="11CF7ECD" w14:textId="77777777" w:rsidR="00D932F7" w:rsidRDefault="00D932F7" w:rsidP="008368F4">
      <w:pPr>
        <w:jc w:val="both"/>
        <w:rPr>
          <w:rFonts w:ascii="Arial" w:hAnsi="Arial" w:cs="Arial"/>
          <w:sz w:val="20"/>
          <w:szCs w:val="20"/>
        </w:rPr>
      </w:pPr>
    </w:p>
    <w:p w14:paraId="594C1548" w14:textId="6FF05145" w:rsidR="00672B71" w:rsidRPr="00672B71" w:rsidRDefault="66E6D5F8" w:rsidP="008368F4">
      <w:pPr>
        <w:jc w:val="both"/>
        <w:rPr>
          <w:rFonts w:ascii="Arial" w:hAnsi="Arial" w:cs="Arial"/>
          <w:sz w:val="20"/>
          <w:szCs w:val="20"/>
        </w:rPr>
      </w:pPr>
      <w:r w:rsidRPr="124D54A9">
        <w:rPr>
          <w:rFonts w:ascii="Arial" w:hAnsi="Arial" w:cs="Arial"/>
          <w:sz w:val="20"/>
          <w:szCs w:val="20"/>
        </w:rPr>
        <w:t xml:space="preserve">Metas de </w:t>
      </w:r>
      <w:r w:rsidR="00D2028C">
        <w:rPr>
          <w:rFonts w:ascii="Arial" w:hAnsi="Arial" w:cs="Arial"/>
          <w:sz w:val="20"/>
          <w:szCs w:val="20"/>
        </w:rPr>
        <w:t>d</w:t>
      </w:r>
      <w:r w:rsidRPr="124D54A9">
        <w:rPr>
          <w:rFonts w:ascii="Arial" w:hAnsi="Arial" w:cs="Arial"/>
          <w:sz w:val="20"/>
          <w:szCs w:val="20"/>
        </w:rPr>
        <w:t xml:space="preserve">escarbonização são metas obrigatórias a serem cumpridas pelas distribuidoras de combustíveis, definidas pelo Conselho Nacional de Política Energética (CNPE). Após definidas as metas anuais de redução das emissões de gases causadores do efeito estufa, a ANP individualiza essas metas aplicadas a todas as distribuidoras de combustíveis fósseis que comercializam gasolina automotiva e óleo diesel, para cada ano em curso, com base nas vendas anuais de cada distribuidor no ano anterior, conforme </w:t>
      </w:r>
      <w:r w:rsidR="1EC6F01D" w:rsidRPr="124D54A9">
        <w:rPr>
          <w:rFonts w:ascii="Arial" w:hAnsi="Arial" w:cs="Arial"/>
          <w:sz w:val="20"/>
          <w:szCs w:val="20"/>
        </w:rPr>
        <w:t xml:space="preserve">a </w:t>
      </w:r>
      <w:r w:rsidRPr="124D54A9">
        <w:rPr>
          <w:rFonts w:ascii="Arial" w:hAnsi="Arial" w:cs="Arial"/>
          <w:sz w:val="20"/>
          <w:szCs w:val="20"/>
        </w:rPr>
        <w:t>Resolução ANP nº 791</w:t>
      </w:r>
      <w:r w:rsidR="003049F7">
        <w:rPr>
          <w:rFonts w:ascii="Arial" w:hAnsi="Arial" w:cs="Arial"/>
          <w:sz w:val="20"/>
          <w:szCs w:val="20"/>
        </w:rPr>
        <w:t>,</w:t>
      </w:r>
      <w:r w:rsidRPr="124D54A9">
        <w:rPr>
          <w:rFonts w:ascii="Arial" w:hAnsi="Arial" w:cs="Arial"/>
          <w:sz w:val="20"/>
          <w:szCs w:val="20"/>
        </w:rPr>
        <w:t xml:space="preserve"> de 12/06/</w:t>
      </w:r>
      <w:r w:rsidR="00A2703D">
        <w:rPr>
          <w:rFonts w:ascii="Arial" w:hAnsi="Arial" w:cs="Arial"/>
          <w:sz w:val="20"/>
          <w:szCs w:val="20"/>
        </w:rPr>
        <w:t>2023</w:t>
      </w:r>
      <w:r w:rsidRPr="124D54A9">
        <w:rPr>
          <w:rFonts w:ascii="Arial" w:hAnsi="Arial" w:cs="Arial"/>
          <w:sz w:val="20"/>
          <w:szCs w:val="20"/>
        </w:rPr>
        <w:t>.</w:t>
      </w:r>
    </w:p>
    <w:p w14:paraId="7F276C73" w14:textId="2DBBB982" w:rsidR="44FB0632" w:rsidRDefault="44FB0632" w:rsidP="008368F4">
      <w:pPr>
        <w:jc w:val="both"/>
        <w:rPr>
          <w:rFonts w:ascii="Arial" w:hAnsi="Arial" w:cs="Arial"/>
          <w:sz w:val="20"/>
          <w:szCs w:val="20"/>
        </w:rPr>
      </w:pPr>
    </w:p>
    <w:p w14:paraId="61793E0E" w14:textId="600ACE60" w:rsidR="00672B71" w:rsidRPr="00672B71" w:rsidRDefault="66E6D5F8" w:rsidP="008368F4">
      <w:pPr>
        <w:jc w:val="both"/>
        <w:rPr>
          <w:rFonts w:ascii="Arial" w:hAnsi="Arial" w:cs="Arial"/>
          <w:sz w:val="20"/>
          <w:szCs w:val="20"/>
        </w:rPr>
      </w:pPr>
      <w:r w:rsidRPr="124D54A9">
        <w:rPr>
          <w:rFonts w:ascii="Arial" w:hAnsi="Arial" w:cs="Arial"/>
          <w:sz w:val="20"/>
          <w:szCs w:val="20"/>
        </w:rPr>
        <w:t xml:space="preserve">Certificação da </w:t>
      </w:r>
      <w:r w:rsidR="00D2028C">
        <w:rPr>
          <w:rFonts w:ascii="Arial" w:hAnsi="Arial" w:cs="Arial"/>
          <w:sz w:val="20"/>
          <w:szCs w:val="20"/>
        </w:rPr>
        <w:t>p</w:t>
      </w:r>
      <w:r w:rsidRPr="124D54A9">
        <w:rPr>
          <w:rFonts w:ascii="Arial" w:hAnsi="Arial" w:cs="Arial"/>
          <w:sz w:val="20"/>
          <w:szCs w:val="20"/>
        </w:rPr>
        <w:t xml:space="preserve">rodução </w:t>
      </w:r>
      <w:r w:rsidR="00D2028C">
        <w:rPr>
          <w:rFonts w:ascii="Arial" w:hAnsi="Arial" w:cs="Arial"/>
          <w:sz w:val="20"/>
          <w:szCs w:val="20"/>
        </w:rPr>
        <w:t>e</w:t>
      </w:r>
      <w:r w:rsidRPr="124D54A9">
        <w:rPr>
          <w:rFonts w:ascii="Arial" w:hAnsi="Arial" w:cs="Arial"/>
          <w:sz w:val="20"/>
          <w:szCs w:val="20"/>
        </w:rPr>
        <w:t xml:space="preserve">ficiente de </w:t>
      </w:r>
      <w:r w:rsidR="00D2028C">
        <w:rPr>
          <w:rFonts w:ascii="Arial" w:hAnsi="Arial" w:cs="Arial"/>
          <w:sz w:val="20"/>
          <w:szCs w:val="20"/>
        </w:rPr>
        <w:t>b</w:t>
      </w:r>
      <w:r w:rsidRPr="124D54A9">
        <w:rPr>
          <w:rFonts w:ascii="Arial" w:hAnsi="Arial" w:cs="Arial"/>
          <w:sz w:val="20"/>
          <w:szCs w:val="20"/>
        </w:rPr>
        <w:t>iocombustíveis</w:t>
      </w:r>
      <w:r w:rsidR="48E7F80F" w:rsidRPr="124D54A9">
        <w:rPr>
          <w:rFonts w:ascii="Arial" w:hAnsi="Arial" w:cs="Arial"/>
          <w:sz w:val="20"/>
          <w:szCs w:val="20"/>
        </w:rPr>
        <w:t xml:space="preserve"> é o</w:t>
      </w:r>
      <w:r w:rsidR="008368F4">
        <w:rPr>
          <w:rFonts w:ascii="Arial" w:hAnsi="Arial" w:cs="Arial"/>
          <w:sz w:val="20"/>
          <w:szCs w:val="20"/>
        </w:rPr>
        <w:t xml:space="preserve"> </w:t>
      </w:r>
      <w:r w:rsidRPr="124D54A9">
        <w:rPr>
          <w:rFonts w:ascii="Arial" w:hAnsi="Arial" w:cs="Arial"/>
          <w:sz w:val="20"/>
          <w:szCs w:val="20"/>
        </w:rPr>
        <w:t xml:space="preserve">certificado que fornece a nota de eficiência energética-ambiental, volume elegível e o fator de geração de </w:t>
      </w:r>
      <w:proofErr w:type="spellStart"/>
      <w:r w:rsidRPr="124D54A9">
        <w:rPr>
          <w:rFonts w:ascii="Arial" w:hAnsi="Arial" w:cs="Arial"/>
          <w:sz w:val="20"/>
          <w:szCs w:val="20"/>
        </w:rPr>
        <w:t>CBIOs</w:t>
      </w:r>
      <w:proofErr w:type="spellEnd"/>
      <w:r w:rsidRPr="124D54A9">
        <w:rPr>
          <w:rFonts w:ascii="Arial" w:hAnsi="Arial" w:cs="Arial"/>
          <w:sz w:val="20"/>
          <w:szCs w:val="20"/>
        </w:rPr>
        <w:t xml:space="preserve"> de cada produtor e importador de biocombustível certificado. Para emitir e comercializar os </w:t>
      </w:r>
      <w:proofErr w:type="spellStart"/>
      <w:r w:rsidRPr="124D54A9">
        <w:rPr>
          <w:rFonts w:ascii="Arial" w:hAnsi="Arial" w:cs="Arial"/>
          <w:sz w:val="20"/>
          <w:szCs w:val="20"/>
        </w:rPr>
        <w:t>CBIOs</w:t>
      </w:r>
      <w:proofErr w:type="spellEnd"/>
      <w:r w:rsidRPr="124D54A9">
        <w:rPr>
          <w:rFonts w:ascii="Arial" w:hAnsi="Arial" w:cs="Arial"/>
          <w:sz w:val="20"/>
          <w:szCs w:val="20"/>
        </w:rPr>
        <w:t>, os produtores e importadores precisam obter o Certificado de Produção Eficiente de Biocombustíveis (Resolução ANP nº 758</w:t>
      </w:r>
      <w:r w:rsidR="003049F7">
        <w:rPr>
          <w:rFonts w:ascii="Arial" w:hAnsi="Arial" w:cs="Arial"/>
          <w:sz w:val="20"/>
          <w:szCs w:val="20"/>
        </w:rPr>
        <w:t>,</w:t>
      </w:r>
      <w:r w:rsidRPr="124D54A9">
        <w:rPr>
          <w:rFonts w:ascii="Arial" w:hAnsi="Arial" w:cs="Arial"/>
          <w:sz w:val="20"/>
          <w:szCs w:val="20"/>
        </w:rPr>
        <w:t xml:space="preserve"> de 23/11/2018).</w:t>
      </w:r>
    </w:p>
    <w:p w14:paraId="141FFC4D" w14:textId="7F29FF9A" w:rsidR="124D54A9" w:rsidRDefault="124D54A9" w:rsidP="008368F4">
      <w:pPr>
        <w:jc w:val="both"/>
        <w:rPr>
          <w:rFonts w:ascii="Arial" w:hAnsi="Arial" w:cs="Arial"/>
          <w:sz w:val="20"/>
          <w:szCs w:val="20"/>
        </w:rPr>
      </w:pPr>
    </w:p>
    <w:p w14:paraId="47462A8A" w14:textId="5A740341" w:rsidR="31CF19C1" w:rsidRDefault="31CF19C1" w:rsidP="008368F4">
      <w:pPr>
        <w:jc w:val="both"/>
        <w:rPr>
          <w:rFonts w:ascii="Arial" w:hAnsi="Arial" w:cs="Arial"/>
          <w:sz w:val="20"/>
          <w:szCs w:val="20"/>
        </w:rPr>
      </w:pPr>
      <w:r w:rsidRPr="124D54A9">
        <w:rPr>
          <w:rFonts w:ascii="Arial" w:hAnsi="Arial" w:cs="Arial"/>
          <w:sz w:val="20"/>
          <w:szCs w:val="20"/>
        </w:rPr>
        <w:t xml:space="preserve">Em </w:t>
      </w:r>
      <w:r w:rsidR="00A2703D">
        <w:rPr>
          <w:rFonts w:ascii="Arial" w:hAnsi="Arial" w:cs="Arial"/>
          <w:sz w:val="20"/>
          <w:szCs w:val="20"/>
        </w:rPr>
        <w:t>202</w:t>
      </w:r>
      <w:r w:rsidR="00921053">
        <w:rPr>
          <w:rFonts w:ascii="Arial" w:hAnsi="Arial" w:cs="Arial"/>
          <w:sz w:val="20"/>
          <w:szCs w:val="20"/>
        </w:rPr>
        <w:t>5</w:t>
      </w:r>
      <w:r w:rsidRPr="124D54A9">
        <w:rPr>
          <w:rFonts w:ascii="Arial" w:hAnsi="Arial" w:cs="Arial"/>
          <w:sz w:val="20"/>
          <w:szCs w:val="20"/>
        </w:rPr>
        <w:t xml:space="preserve">, a ANP aprovou </w:t>
      </w:r>
      <w:r w:rsidR="00D943C2">
        <w:rPr>
          <w:rFonts w:ascii="Arial" w:hAnsi="Arial" w:cs="Arial"/>
          <w:sz w:val="20"/>
          <w:szCs w:val="20"/>
        </w:rPr>
        <w:t>12</w:t>
      </w:r>
      <w:r w:rsidR="00C85CDA">
        <w:rPr>
          <w:rFonts w:ascii="Arial" w:hAnsi="Arial" w:cs="Arial"/>
          <w:sz w:val="20"/>
          <w:szCs w:val="20"/>
        </w:rPr>
        <w:t>7</w:t>
      </w:r>
      <w:r w:rsidRPr="124D54A9">
        <w:rPr>
          <w:rFonts w:ascii="Arial" w:hAnsi="Arial" w:cs="Arial"/>
          <w:sz w:val="20"/>
          <w:szCs w:val="20"/>
        </w:rPr>
        <w:t xml:space="preserve"> </w:t>
      </w:r>
      <w:r w:rsidR="1E6B2932" w:rsidRPr="124D54A9">
        <w:rPr>
          <w:rFonts w:ascii="Arial" w:hAnsi="Arial" w:cs="Arial"/>
          <w:sz w:val="20"/>
          <w:szCs w:val="20"/>
        </w:rPr>
        <w:t>ce</w:t>
      </w:r>
      <w:r w:rsidRPr="124D54A9">
        <w:rPr>
          <w:rFonts w:ascii="Arial" w:hAnsi="Arial" w:cs="Arial"/>
          <w:sz w:val="20"/>
          <w:szCs w:val="20"/>
        </w:rPr>
        <w:t xml:space="preserve">rtificados de </w:t>
      </w:r>
      <w:r w:rsidR="70BCAC53" w:rsidRPr="124D54A9">
        <w:rPr>
          <w:rFonts w:ascii="Arial" w:hAnsi="Arial" w:cs="Arial"/>
          <w:sz w:val="20"/>
          <w:szCs w:val="20"/>
        </w:rPr>
        <w:t>p</w:t>
      </w:r>
      <w:r w:rsidRPr="124D54A9">
        <w:rPr>
          <w:rFonts w:ascii="Arial" w:hAnsi="Arial" w:cs="Arial"/>
          <w:sz w:val="20"/>
          <w:szCs w:val="20"/>
        </w:rPr>
        <w:t xml:space="preserve">rodução </w:t>
      </w:r>
      <w:r w:rsidR="30949865" w:rsidRPr="124D54A9">
        <w:rPr>
          <w:rFonts w:ascii="Arial" w:hAnsi="Arial" w:cs="Arial"/>
          <w:sz w:val="20"/>
          <w:szCs w:val="20"/>
        </w:rPr>
        <w:t>e</w:t>
      </w:r>
      <w:r w:rsidRPr="124D54A9">
        <w:rPr>
          <w:rFonts w:ascii="Arial" w:hAnsi="Arial" w:cs="Arial"/>
          <w:sz w:val="20"/>
          <w:szCs w:val="20"/>
        </w:rPr>
        <w:t xml:space="preserve">ficiente de </w:t>
      </w:r>
      <w:r w:rsidR="003049F7">
        <w:rPr>
          <w:rFonts w:ascii="Arial" w:hAnsi="Arial" w:cs="Arial"/>
          <w:sz w:val="20"/>
          <w:szCs w:val="20"/>
        </w:rPr>
        <w:t>b</w:t>
      </w:r>
      <w:r w:rsidRPr="124D54A9">
        <w:rPr>
          <w:rFonts w:ascii="Arial" w:hAnsi="Arial" w:cs="Arial"/>
          <w:sz w:val="20"/>
          <w:szCs w:val="20"/>
        </w:rPr>
        <w:t xml:space="preserve">iocombustíveis para os produtores e importadores de biocombustíveis poderem emitir </w:t>
      </w:r>
      <w:proofErr w:type="spellStart"/>
      <w:r w:rsidRPr="124D54A9">
        <w:rPr>
          <w:rFonts w:ascii="Arial" w:hAnsi="Arial" w:cs="Arial"/>
          <w:sz w:val="20"/>
          <w:szCs w:val="20"/>
        </w:rPr>
        <w:t>CBIOs</w:t>
      </w:r>
      <w:proofErr w:type="spellEnd"/>
      <w:r w:rsidR="00262AD2">
        <w:rPr>
          <w:rFonts w:ascii="Arial" w:hAnsi="Arial" w:cs="Arial"/>
          <w:sz w:val="20"/>
          <w:szCs w:val="20"/>
        </w:rPr>
        <w:t xml:space="preserve">, </w:t>
      </w:r>
      <w:r w:rsidR="00D2028C">
        <w:rPr>
          <w:rFonts w:ascii="Arial" w:hAnsi="Arial" w:cs="Arial"/>
          <w:sz w:val="20"/>
          <w:szCs w:val="20"/>
        </w:rPr>
        <w:t xml:space="preserve">o que representa </w:t>
      </w:r>
      <w:r w:rsidR="00262AD2">
        <w:rPr>
          <w:rFonts w:ascii="Arial" w:hAnsi="Arial" w:cs="Arial"/>
          <w:sz w:val="20"/>
          <w:szCs w:val="20"/>
        </w:rPr>
        <w:t xml:space="preserve">crescimento de </w:t>
      </w:r>
      <w:r w:rsidR="00C85CDA">
        <w:rPr>
          <w:rFonts w:ascii="Arial" w:hAnsi="Arial" w:cs="Arial"/>
          <w:sz w:val="20"/>
          <w:szCs w:val="20"/>
        </w:rPr>
        <w:t>0,8</w:t>
      </w:r>
      <w:r w:rsidR="00262AD2">
        <w:rPr>
          <w:rFonts w:ascii="Arial" w:hAnsi="Arial" w:cs="Arial"/>
          <w:sz w:val="20"/>
          <w:szCs w:val="20"/>
        </w:rPr>
        <w:t>% em relação ao ano anterior</w:t>
      </w:r>
      <w:r w:rsidRPr="124D54A9">
        <w:rPr>
          <w:rFonts w:ascii="Arial" w:hAnsi="Arial" w:cs="Arial"/>
          <w:sz w:val="20"/>
          <w:szCs w:val="20"/>
        </w:rPr>
        <w:t>.</w:t>
      </w:r>
    </w:p>
    <w:p w14:paraId="1AA9DE06" w14:textId="5D403941" w:rsidR="44FB0632" w:rsidRDefault="44FB0632" w:rsidP="008368F4">
      <w:pPr>
        <w:jc w:val="both"/>
        <w:rPr>
          <w:rFonts w:ascii="Arial" w:hAnsi="Arial" w:cs="Arial"/>
          <w:sz w:val="20"/>
          <w:szCs w:val="20"/>
        </w:rPr>
      </w:pPr>
    </w:p>
    <w:p w14:paraId="128FA6A9" w14:textId="4B8E103D" w:rsidR="00672B71" w:rsidRPr="00672B71" w:rsidRDefault="00D2028C" w:rsidP="008368F4">
      <w:pPr>
        <w:jc w:val="both"/>
        <w:rPr>
          <w:rFonts w:ascii="Arial" w:hAnsi="Arial" w:cs="Arial"/>
          <w:sz w:val="20"/>
          <w:szCs w:val="20"/>
        </w:rPr>
      </w:pPr>
      <w:r w:rsidRPr="00D2028C">
        <w:rPr>
          <w:rFonts w:ascii="Arial" w:hAnsi="Arial" w:cs="Arial"/>
          <w:sz w:val="20"/>
          <w:szCs w:val="20"/>
        </w:rPr>
        <w:t>Os créditos de descarbonização (</w:t>
      </w:r>
      <w:proofErr w:type="spellStart"/>
      <w:r w:rsidRPr="00D2028C">
        <w:rPr>
          <w:rFonts w:ascii="Arial" w:hAnsi="Arial" w:cs="Arial"/>
          <w:sz w:val="20"/>
          <w:szCs w:val="20"/>
        </w:rPr>
        <w:t>CBIOs</w:t>
      </w:r>
      <w:proofErr w:type="spellEnd"/>
      <w:r w:rsidRPr="00D2028C">
        <w:rPr>
          <w:rFonts w:ascii="Arial" w:hAnsi="Arial" w:cs="Arial"/>
          <w:sz w:val="20"/>
          <w:szCs w:val="20"/>
        </w:rPr>
        <w:t>) são ativos ambientais equivalentes, cada um, a uma tonelada de CO</w:t>
      </w:r>
      <w:r w:rsidRPr="00D2028C">
        <w:rPr>
          <w:rFonts w:ascii="Arial" w:hAnsi="Arial" w:cs="Arial"/>
          <w:sz w:val="20"/>
          <w:szCs w:val="20"/>
          <w:vertAlign w:val="subscript"/>
        </w:rPr>
        <w:t>2</w:t>
      </w:r>
      <w:r w:rsidRPr="00D2028C">
        <w:rPr>
          <w:rFonts w:ascii="Arial" w:hAnsi="Arial" w:cs="Arial"/>
          <w:sz w:val="20"/>
          <w:szCs w:val="20"/>
        </w:rPr>
        <w:t xml:space="preserve"> evitada. Esse ativo é gerado a partir da comercialização de biocombustíveis no mercado interno por produtores e importadores certificados, sendo o volume de emissões calculado com base no fator de geração de CBIO e na quantidade de combustível comercializada. Os </w:t>
      </w:r>
      <w:proofErr w:type="spellStart"/>
      <w:r w:rsidRPr="00D2028C">
        <w:rPr>
          <w:rFonts w:ascii="Arial" w:hAnsi="Arial" w:cs="Arial"/>
          <w:sz w:val="20"/>
          <w:szCs w:val="20"/>
        </w:rPr>
        <w:t>CBIOs</w:t>
      </w:r>
      <w:proofErr w:type="spellEnd"/>
      <w:r w:rsidRPr="00D2028C">
        <w:rPr>
          <w:rFonts w:ascii="Arial" w:hAnsi="Arial" w:cs="Arial"/>
          <w:sz w:val="20"/>
          <w:szCs w:val="20"/>
        </w:rPr>
        <w:t xml:space="preserve"> gerados são escriturados por instituições financeiras contratadas pelos produtores e importadores e colocados à venda na bolsa de valores brasileira B3. Por outro lado, os distribuidores terão que aposentar (adquirir e tirar de circulação) o número de </w:t>
      </w:r>
      <w:proofErr w:type="spellStart"/>
      <w:r w:rsidRPr="00D2028C">
        <w:rPr>
          <w:rFonts w:ascii="Arial" w:hAnsi="Arial" w:cs="Arial"/>
          <w:sz w:val="20"/>
          <w:szCs w:val="20"/>
        </w:rPr>
        <w:t>CBIOs</w:t>
      </w:r>
      <w:proofErr w:type="spellEnd"/>
      <w:r w:rsidRPr="00D2028C">
        <w:rPr>
          <w:rFonts w:ascii="Arial" w:hAnsi="Arial" w:cs="Arial"/>
          <w:sz w:val="20"/>
          <w:szCs w:val="20"/>
        </w:rPr>
        <w:t xml:space="preserve"> equivalente às suas metas compulsórias individuais de redução das emissões de gases causadores do efeito estufa</w:t>
      </w:r>
      <w:r w:rsidR="66E6D5F8" w:rsidRPr="124D54A9">
        <w:rPr>
          <w:rFonts w:ascii="Arial" w:hAnsi="Arial" w:cs="Arial"/>
          <w:sz w:val="20"/>
          <w:szCs w:val="20"/>
        </w:rPr>
        <w:t>.</w:t>
      </w:r>
    </w:p>
    <w:p w14:paraId="180F3C6F" w14:textId="5B983116" w:rsidR="44FB0632" w:rsidRDefault="44FB0632" w:rsidP="008368F4">
      <w:pPr>
        <w:jc w:val="both"/>
        <w:rPr>
          <w:rFonts w:ascii="Arial" w:hAnsi="Arial" w:cs="Arial"/>
          <w:sz w:val="20"/>
          <w:szCs w:val="20"/>
        </w:rPr>
      </w:pPr>
    </w:p>
    <w:p w14:paraId="711E2B98" w14:textId="2A233152" w:rsidR="00672B71" w:rsidRPr="00672B71" w:rsidRDefault="00D2028C" w:rsidP="008368F4">
      <w:pPr>
        <w:jc w:val="both"/>
        <w:rPr>
          <w:rFonts w:ascii="Arial" w:hAnsi="Arial" w:cs="Arial"/>
          <w:sz w:val="20"/>
          <w:szCs w:val="20"/>
        </w:rPr>
      </w:pPr>
      <w:r w:rsidRPr="00D2028C">
        <w:rPr>
          <w:rFonts w:ascii="Arial" w:hAnsi="Arial" w:cs="Arial"/>
          <w:sz w:val="20"/>
          <w:szCs w:val="20"/>
        </w:rPr>
        <w:lastRenderedPageBreak/>
        <w:t xml:space="preserve">No ano de 2025, foram emitidos 43,1 milhões de </w:t>
      </w:r>
      <w:proofErr w:type="spellStart"/>
      <w:r w:rsidRPr="00D2028C">
        <w:rPr>
          <w:rFonts w:ascii="Arial" w:hAnsi="Arial" w:cs="Arial"/>
          <w:sz w:val="20"/>
          <w:szCs w:val="20"/>
        </w:rPr>
        <w:t>CBIOs</w:t>
      </w:r>
      <w:proofErr w:type="spellEnd"/>
      <w:r w:rsidRPr="00D2028C">
        <w:rPr>
          <w:rFonts w:ascii="Arial" w:hAnsi="Arial" w:cs="Arial"/>
          <w:sz w:val="20"/>
          <w:szCs w:val="20"/>
        </w:rPr>
        <w:t xml:space="preserve"> pelos produtores e importadores de biocombustíveis certificados, o que equivale a um crescimento de 1,6% em relação a 2024</w:t>
      </w:r>
      <w:r w:rsidR="66E6D5F8" w:rsidRPr="44FB0632">
        <w:rPr>
          <w:rFonts w:ascii="Arial" w:hAnsi="Arial" w:cs="Arial"/>
          <w:sz w:val="20"/>
          <w:szCs w:val="20"/>
        </w:rPr>
        <w:t>.</w:t>
      </w:r>
    </w:p>
    <w:p w14:paraId="108F35AF" w14:textId="1CF2AA20" w:rsidR="44FB0632" w:rsidRDefault="44FB0632" w:rsidP="008368F4">
      <w:pPr>
        <w:jc w:val="both"/>
        <w:rPr>
          <w:rFonts w:ascii="Arial" w:hAnsi="Arial" w:cs="Arial"/>
          <w:sz w:val="20"/>
          <w:szCs w:val="20"/>
        </w:rPr>
      </w:pPr>
    </w:p>
    <w:p w14:paraId="79713401" w14:textId="7D1E84A7" w:rsidR="00672B71" w:rsidRDefault="00D2028C" w:rsidP="008368F4">
      <w:pPr>
        <w:jc w:val="both"/>
        <w:rPr>
          <w:rFonts w:ascii="Arial" w:hAnsi="Arial" w:cs="Arial"/>
          <w:sz w:val="20"/>
          <w:szCs w:val="20"/>
        </w:rPr>
      </w:pPr>
      <w:r w:rsidRPr="00D2028C">
        <w:rPr>
          <w:rFonts w:ascii="Arial" w:hAnsi="Arial" w:cs="Arial"/>
          <w:sz w:val="20"/>
          <w:szCs w:val="20"/>
        </w:rPr>
        <w:t xml:space="preserve">Em 2025, as distribuidoras aposentaram 40,1 milhões de </w:t>
      </w:r>
      <w:proofErr w:type="spellStart"/>
      <w:r w:rsidRPr="00D2028C">
        <w:rPr>
          <w:rFonts w:ascii="Arial" w:hAnsi="Arial" w:cs="Arial"/>
          <w:sz w:val="20"/>
          <w:szCs w:val="20"/>
        </w:rPr>
        <w:t>CBIOs</w:t>
      </w:r>
      <w:proofErr w:type="spellEnd"/>
      <w:r w:rsidRPr="00D2028C">
        <w:rPr>
          <w:rFonts w:ascii="Arial" w:hAnsi="Arial" w:cs="Arial"/>
          <w:sz w:val="20"/>
          <w:szCs w:val="20"/>
        </w:rPr>
        <w:t xml:space="preserve"> referentes às suas metas compulsórias de redução das emissões de gases causadores do efeito estufa, conforme pode ser visto na tabela 4.21</w:t>
      </w:r>
      <w:r w:rsidR="00262AD2">
        <w:rPr>
          <w:rFonts w:ascii="Arial" w:hAnsi="Arial" w:cs="Arial"/>
          <w:sz w:val="20"/>
          <w:szCs w:val="20"/>
        </w:rPr>
        <w:t>.</w:t>
      </w:r>
    </w:p>
    <w:p w14:paraId="42C6D796" w14:textId="77777777" w:rsidR="00672B71" w:rsidRDefault="00672B71" w:rsidP="00672B71">
      <w:pPr>
        <w:jc w:val="both"/>
        <w:rPr>
          <w:rFonts w:ascii="Arial" w:hAnsi="Arial" w:cs="Arial"/>
          <w:sz w:val="20"/>
          <w:szCs w:val="20"/>
        </w:rPr>
      </w:pPr>
    </w:p>
    <w:p w14:paraId="5E7832C4" w14:textId="203F456A" w:rsidR="00241D2E" w:rsidRPr="00C45173" w:rsidRDefault="00241D2E" w:rsidP="00C4517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45173">
        <w:rPr>
          <w:rFonts w:ascii="Arial" w:hAnsi="Arial" w:cs="Arial"/>
          <w:color w:val="FF0000"/>
          <w:sz w:val="20"/>
          <w:szCs w:val="20"/>
        </w:rPr>
        <w:t>Tabela 4.1</w:t>
      </w:r>
      <w:r w:rsidR="00C85CDA" w:rsidRPr="00C45173">
        <w:rPr>
          <w:rFonts w:ascii="Arial" w:hAnsi="Arial" w:cs="Arial"/>
          <w:color w:val="FF0000"/>
          <w:sz w:val="20"/>
          <w:szCs w:val="20"/>
        </w:rPr>
        <w:t>9</w:t>
      </w:r>
    </w:p>
    <w:p w14:paraId="797DE30F" w14:textId="77277BCB" w:rsidR="00241D2E" w:rsidRPr="00C45173" w:rsidRDefault="00241D2E" w:rsidP="00C4517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45173">
        <w:rPr>
          <w:rFonts w:ascii="Arial" w:hAnsi="Arial" w:cs="Arial"/>
          <w:color w:val="FF0000"/>
          <w:sz w:val="20"/>
          <w:szCs w:val="20"/>
        </w:rPr>
        <w:t>Tabela 4.</w:t>
      </w:r>
      <w:r w:rsidR="00C85CDA" w:rsidRPr="00C45173">
        <w:rPr>
          <w:rFonts w:ascii="Arial" w:hAnsi="Arial" w:cs="Arial"/>
          <w:color w:val="FF0000"/>
          <w:sz w:val="20"/>
          <w:szCs w:val="20"/>
        </w:rPr>
        <w:t>20</w:t>
      </w:r>
    </w:p>
    <w:p w14:paraId="5B4D67E5" w14:textId="3504C699" w:rsidR="00241D2E" w:rsidRPr="00C45173" w:rsidRDefault="00241D2E" w:rsidP="00C4517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45173">
        <w:rPr>
          <w:rFonts w:ascii="Arial" w:hAnsi="Arial" w:cs="Arial"/>
          <w:color w:val="FF0000"/>
          <w:sz w:val="20"/>
          <w:szCs w:val="20"/>
        </w:rPr>
        <w:t>Tabela 4.</w:t>
      </w:r>
      <w:r w:rsidR="00C85CDA" w:rsidRPr="00C45173">
        <w:rPr>
          <w:rFonts w:ascii="Arial" w:hAnsi="Arial" w:cs="Arial"/>
          <w:color w:val="FF0000"/>
          <w:sz w:val="20"/>
          <w:szCs w:val="20"/>
        </w:rPr>
        <w:t>21</w:t>
      </w:r>
    </w:p>
    <w:p w14:paraId="4A2DB1E7" w14:textId="34910A3B" w:rsidR="008E45C1" w:rsidRPr="00FA3214" w:rsidRDefault="008E45C1" w:rsidP="00672B71">
      <w:pPr>
        <w:jc w:val="both"/>
        <w:rPr>
          <w:rFonts w:ascii="Arial" w:hAnsi="Arial" w:cs="Arial"/>
          <w:sz w:val="20"/>
          <w:szCs w:val="20"/>
        </w:rPr>
      </w:pPr>
    </w:p>
    <w:sectPr w:rsidR="008E45C1" w:rsidRPr="00FA3214" w:rsidSect="004C40FF">
      <w:pgSz w:w="12240" w:h="15840"/>
      <w:pgMar w:top="1417" w:right="1701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CD"/>
    <w:rsid w:val="00001017"/>
    <w:rsid w:val="00001618"/>
    <w:rsid w:val="0000252E"/>
    <w:rsid w:val="000034C3"/>
    <w:rsid w:val="00003FF4"/>
    <w:rsid w:val="00004F6B"/>
    <w:rsid w:val="00005287"/>
    <w:rsid w:val="000061D8"/>
    <w:rsid w:val="00011C78"/>
    <w:rsid w:val="00011FC0"/>
    <w:rsid w:val="000129B3"/>
    <w:rsid w:val="00013A28"/>
    <w:rsid w:val="00014103"/>
    <w:rsid w:val="00015E53"/>
    <w:rsid w:val="00020F79"/>
    <w:rsid w:val="00022207"/>
    <w:rsid w:val="00022455"/>
    <w:rsid w:val="00023338"/>
    <w:rsid w:val="00023BE7"/>
    <w:rsid w:val="000241EE"/>
    <w:rsid w:val="00025549"/>
    <w:rsid w:val="00025C72"/>
    <w:rsid w:val="00026389"/>
    <w:rsid w:val="0003564C"/>
    <w:rsid w:val="000403C7"/>
    <w:rsid w:val="000434E6"/>
    <w:rsid w:val="00044388"/>
    <w:rsid w:val="00045798"/>
    <w:rsid w:val="000459C3"/>
    <w:rsid w:val="0004620E"/>
    <w:rsid w:val="00047166"/>
    <w:rsid w:val="00047DB2"/>
    <w:rsid w:val="00051DF6"/>
    <w:rsid w:val="000532C0"/>
    <w:rsid w:val="00060A72"/>
    <w:rsid w:val="000629A1"/>
    <w:rsid w:val="00063FF2"/>
    <w:rsid w:val="000650D3"/>
    <w:rsid w:val="00066260"/>
    <w:rsid w:val="00067032"/>
    <w:rsid w:val="0006733D"/>
    <w:rsid w:val="00075EB0"/>
    <w:rsid w:val="000760F6"/>
    <w:rsid w:val="000770F0"/>
    <w:rsid w:val="00080880"/>
    <w:rsid w:val="0008224E"/>
    <w:rsid w:val="0008341B"/>
    <w:rsid w:val="00083DC1"/>
    <w:rsid w:val="000868DD"/>
    <w:rsid w:val="000906D5"/>
    <w:rsid w:val="00092873"/>
    <w:rsid w:val="0009348E"/>
    <w:rsid w:val="000953C3"/>
    <w:rsid w:val="00095C2E"/>
    <w:rsid w:val="000979DB"/>
    <w:rsid w:val="000A1030"/>
    <w:rsid w:val="000A4CDC"/>
    <w:rsid w:val="000A68C0"/>
    <w:rsid w:val="000B13B7"/>
    <w:rsid w:val="000B16A3"/>
    <w:rsid w:val="000B6A41"/>
    <w:rsid w:val="000B712A"/>
    <w:rsid w:val="000C027B"/>
    <w:rsid w:val="000C0F00"/>
    <w:rsid w:val="000C3771"/>
    <w:rsid w:val="000C3AA4"/>
    <w:rsid w:val="000C47A4"/>
    <w:rsid w:val="000C5C0B"/>
    <w:rsid w:val="000C5F45"/>
    <w:rsid w:val="000C64DA"/>
    <w:rsid w:val="000C6776"/>
    <w:rsid w:val="000D23CC"/>
    <w:rsid w:val="000D2430"/>
    <w:rsid w:val="000D312F"/>
    <w:rsid w:val="000D458B"/>
    <w:rsid w:val="000D628B"/>
    <w:rsid w:val="000D6E53"/>
    <w:rsid w:val="000E11CF"/>
    <w:rsid w:val="000E429F"/>
    <w:rsid w:val="000E4499"/>
    <w:rsid w:val="000E642B"/>
    <w:rsid w:val="000E6707"/>
    <w:rsid w:val="000E6B5B"/>
    <w:rsid w:val="000F0291"/>
    <w:rsid w:val="000F152C"/>
    <w:rsid w:val="000F381A"/>
    <w:rsid w:val="000F3BAD"/>
    <w:rsid w:val="000F47B0"/>
    <w:rsid w:val="00100D96"/>
    <w:rsid w:val="00102AF3"/>
    <w:rsid w:val="00102C02"/>
    <w:rsid w:val="00103186"/>
    <w:rsid w:val="001107B0"/>
    <w:rsid w:val="00113D1F"/>
    <w:rsid w:val="00114FFD"/>
    <w:rsid w:val="00115082"/>
    <w:rsid w:val="00115E9B"/>
    <w:rsid w:val="0011641D"/>
    <w:rsid w:val="001172BA"/>
    <w:rsid w:val="00125CA1"/>
    <w:rsid w:val="00125F41"/>
    <w:rsid w:val="00130F9B"/>
    <w:rsid w:val="0013201B"/>
    <w:rsid w:val="0013519F"/>
    <w:rsid w:val="001364D5"/>
    <w:rsid w:val="00142DC0"/>
    <w:rsid w:val="001435A2"/>
    <w:rsid w:val="00143EA0"/>
    <w:rsid w:val="00144306"/>
    <w:rsid w:val="001445D3"/>
    <w:rsid w:val="00145A8C"/>
    <w:rsid w:val="00155040"/>
    <w:rsid w:val="00155A50"/>
    <w:rsid w:val="00156B8D"/>
    <w:rsid w:val="00157984"/>
    <w:rsid w:val="0016149D"/>
    <w:rsid w:val="00161909"/>
    <w:rsid w:val="001621BC"/>
    <w:rsid w:val="00162C6A"/>
    <w:rsid w:val="00162C9B"/>
    <w:rsid w:val="00163F8A"/>
    <w:rsid w:val="00165BCA"/>
    <w:rsid w:val="00170F39"/>
    <w:rsid w:val="001718D2"/>
    <w:rsid w:val="0017534D"/>
    <w:rsid w:val="00176591"/>
    <w:rsid w:val="0018047A"/>
    <w:rsid w:val="001812C8"/>
    <w:rsid w:val="001832D6"/>
    <w:rsid w:val="001838C6"/>
    <w:rsid w:val="00190173"/>
    <w:rsid w:val="00190E1D"/>
    <w:rsid w:val="001915AD"/>
    <w:rsid w:val="0019257D"/>
    <w:rsid w:val="0019279E"/>
    <w:rsid w:val="00192987"/>
    <w:rsid w:val="0019461A"/>
    <w:rsid w:val="00194D96"/>
    <w:rsid w:val="00195F8E"/>
    <w:rsid w:val="001A131B"/>
    <w:rsid w:val="001A1EEC"/>
    <w:rsid w:val="001A3BFE"/>
    <w:rsid w:val="001A5869"/>
    <w:rsid w:val="001A71F9"/>
    <w:rsid w:val="001B0F09"/>
    <w:rsid w:val="001B1484"/>
    <w:rsid w:val="001B3F2C"/>
    <w:rsid w:val="001B6A72"/>
    <w:rsid w:val="001C0896"/>
    <w:rsid w:val="001C08F7"/>
    <w:rsid w:val="001C22F7"/>
    <w:rsid w:val="001C297F"/>
    <w:rsid w:val="001C3795"/>
    <w:rsid w:val="001C3FE3"/>
    <w:rsid w:val="001C6A92"/>
    <w:rsid w:val="001C7979"/>
    <w:rsid w:val="001D0A81"/>
    <w:rsid w:val="001D2ED6"/>
    <w:rsid w:val="001E0241"/>
    <w:rsid w:val="001E3B0B"/>
    <w:rsid w:val="001E5D7E"/>
    <w:rsid w:val="001F0D9B"/>
    <w:rsid w:val="001F0E70"/>
    <w:rsid w:val="001F1073"/>
    <w:rsid w:val="001F2007"/>
    <w:rsid w:val="001F2CF9"/>
    <w:rsid w:val="001F3A91"/>
    <w:rsid w:val="001F4FD9"/>
    <w:rsid w:val="001F5C9E"/>
    <w:rsid w:val="001F6B87"/>
    <w:rsid w:val="001F6BED"/>
    <w:rsid w:val="001F71A3"/>
    <w:rsid w:val="00200134"/>
    <w:rsid w:val="00200D5A"/>
    <w:rsid w:val="002012ED"/>
    <w:rsid w:val="00201905"/>
    <w:rsid w:val="00203E04"/>
    <w:rsid w:val="0020440F"/>
    <w:rsid w:val="00205F57"/>
    <w:rsid w:val="00210ACD"/>
    <w:rsid w:val="00221C51"/>
    <w:rsid w:val="00221C70"/>
    <w:rsid w:val="00221C77"/>
    <w:rsid w:val="00221D1E"/>
    <w:rsid w:val="00222B8B"/>
    <w:rsid w:val="0022326E"/>
    <w:rsid w:val="00223B9A"/>
    <w:rsid w:val="00224134"/>
    <w:rsid w:val="002241C5"/>
    <w:rsid w:val="00224C7A"/>
    <w:rsid w:val="00225BDD"/>
    <w:rsid w:val="002315C0"/>
    <w:rsid w:val="00232272"/>
    <w:rsid w:val="00233E8B"/>
    <w:rsid w:val="002344CC"/>
    <w:rsid w:val="00235966"/>
    <w:rsid w:val="00235B69"/>
    <w:rsid w:val="00237CC2"/>
    <w:rsid w:val="0024041B"/>
    <w:rsid w:val="00241D2E"/>
    <w:rsid w:val="0024294C"/>
    <w:rsid w:val="002452D5"/>
    <w:rsid w:val="002473E0"/>
    <w:rsid w:val="00247601"/>
    <w:rsid w:val="00250CB9"/>
    <w:rsid w:val="00254C1E"/>
    <w:rsid w:val="00254C3E"/>
    <w:rsid w:val="00255126"/>
    <w:rsid w:val="00256B97"/>
    <w:rsid w:val="002571A8"/>
    <w:rsid w:val="002605E8"/>
    <w:rsid w:val="00260E0A"/>
    <w:rsid w:val="00261887"/>
    <w:rsid w:val="00262AD2"/>
    <w:rsid w:val="00262C16"/>
    <w:rsid w:val="00263DD5"/>
    <w:rsid w:val="00266898"/>
    <w:rsid w:val="00267FB5"/>
    <w:rsid w:val="002712D7"/>
    <w:rsid w:val="002716D6"/>
    <w:rsid w:val="00271C59"/>
    <w:rsid w:val="00271D54"/>
    <w:rsid w:val="0027518D"/>
    <w:rsid w:val="00281D57"/>
    <w:rsid w:val="00281EAB"/>
    <w:rsid w:val="00282D5A"/>
    <w:rsid w:val="0028421F"/>
    <w:rsid w:val="0028435F"/>
    <w:rsid w:val="0028694F"/>
    <w:rsid w:val="00286D3A"/>
    <w:rsid w:val="00287235"/>
    <w:rsid w:val="00291679"/>
    <w:rsid w:val="002932E5"/>
    <w:rsid w:val="00293618"/>
    <w:rsid w:val="00294A4B"/>
    <w:rsid w:val="00294EBC"/>
    <w:rsid w:val="0029720E"/>
    <w:rsid w:val="002A0280"/>
    <w:rsid w:val="002A0EF2"/>
    <w:rsid w:val="002A45B9"/>
    <w:rsid w:val="002A5185"/>
    <w:rsid w:val="002A5567"/>
    <w:rsid w:val="002A560B"/>
    <w:rsid w:val="002A5F29"/>
    <w:rsid w:val="002A601B"/>
    <w:rsid w:val="002A617A"/>
    <w:rsid w:val="002B12F8"/>
    <w:rsid w:val="002B15F6"/>
    <w:rsid w:val="002B3A04"/>
    <w:rsid w:val="002B3A1B"/>
    <w:rsid w:val="002B3C26"/>
    <w:rsid w:val="002B43A2"/>
    <w:rsid w:val="002B44E3"/>
    <w:rsid w:val="002B4873"/>
    <w:rsid w:val="002C0219"/>
    <w:rsid w:val="002C0512"/>
    <w:rsid w:val="002C05A2"/>
    <w:rsid w:val="002C1075"/>
    <w:rsid w:val="002C5F03"/>
    <w:rsid w:val="002C6EDD"/>
    <w:rsid w:val="002D168E"/>
    <w:rsid w:val="002D1BF8"/>
    <w:rsid w:val="002D3560"/>
    <w:rsid w:val="002D570F"/>
    <w:rsid w:val="002D5B50"/>
    <w:rsid w:val="002D7564"/>
    <w:rsid w:val="002D76C8"/>
    <w:rsid w:val="002D7822"/>
    <w:rsid w:val="002E01F7"/>
    <w:rsid w:val="002E11C5"/>
    <w:rsid w:val="002E1738"/>
    <w:rsid w:val="002E1DC6"/>
    <w:rsid w:val="002E3999"/>
    <w:rsid w:val="002E509E"/>
    <w:rsid w:val="002E588E"/>
    <w:rsid w:val="002F12AB"/>
    <w:rsid w:val="002F252C"/>
    <w:rsid w:val="002F2C59"/>
    <w:rsid w:val="002F4B46"/>
    <w:rsid w:val="002F53F9"/>
    <w:rsid w:val="002F6B36"/>
    <w:rsid w:val="0030157D"/>
    <w:rsid w:val="003049F7"/>
    <w:rsid w:val="003052E8"/>
    <w:rsid w:val="00305E91"/>
    <w:rsid w:val="003075A8"/>
    <w:rsid w:val="003106C0"/>
    <w:rsid w:val="00310EB5"/>
    <w:rsid w:val="00315493"/>
    <w:rsid w:val="003159FB"/>
    <w:rsid w:val="0031764D"/>
    <w:rsid w:val="003178FA"/>
    <w:rsid w:val="003206C6"/>
    <w:rsid w:val="00321731"/>
    <w:rsid w:val="0032480F"/>
    <w:rsid w:val="0032646E"/>
    <w:rsid w:val="003264E1"/>
    <w:rsid w:val="00327A72"/>
    <w:rsid w:val="0033122C"/>
    <w:rsid w:val="003318F7"/>
    <w:rsid w:val="00333AF7"/>
    <w:rsid w:val="0033450A"/>
    <w:rsid w:val="0033455E"/>
    <w:rsid w:val="003402E5"/>
    <w:rsid w:val="00342E6C"/>
    <w:rsid w:val="00343385"/>
    <w:rsid w:val="00343C66"/>
    <w:rsid w:val="00344DAA"/>
    <w:rsid w:val="003513CC"/>
    <w:rsid w:val="003524E6"/>
    <w:rsid w:val="003525D9"/>
    <w:rsid w:val="00355AC6"/>
    <w:rsid w:val="003561B1"/>
    <w:rsid w:val="0035760E"/>
    <w:rsid w:val="00361C0F"/>
    <w:rsid w:val="00362E9A"/>
    <w:rsid w:val="00363286"/>
    <w:rsid w:val="0036552D"/>
    <w:rsid w:val="0036635D"/>
    <w:rsid w:val="003717CD"/>
    <w:rsid w:val="00372727"/>
    <w:rsid w:val="003772F8"/>
    <w:rsid w:val="00377511"/>
    <w:rsid w:val="00377784"/>
    <w:rsid w:val="00377D51"/>
    <w:rsid w:val="003826F4"/>
    <w:rsid w:val="003855CF"/>
    <w:rsid w:val="003875C5"/>
    <w:rsid w:val="00387ECF"/>
    <w:rsid w:val="003922A4"/>
    <w:rsid w:val="00392A33"/>
    <w:rsid w:val="00393CB3"/>
    <w:rsid w:val="00395699"/>
    <w:rsid w:val="003958B6"/>
    <w:rsid w:val="00396604"/>
    <w:rsid w:val="003A2089"/>
    <w:rsid w:val="003A26C5"/>
    <w:rsid w:val="003A5180"/>
    <w:rsid w:val="003B0E5A"/>
    <w:rsid w:val="003B0E81"/>
    <w:rsid w:val="003B28A6"/>
    <w:rsid w:val="003B2E8F"/>
    <w:rsid w:val="003B39B8"/>
    <w:rsid w:val="003B3E7C"/>
    <w:rsid w:val="003B4E6A"/>
    <w:rsid w:val="003B53FF"/>
    <w:rsid w:val="003B7D1F"/>
    <w:rsid w:val="003C0DCF"/>
    <w:rsid w:val="003C176D"/>
    <w:rsid w:val="003C31AB"/>
    <w:rsid w:val="003C345D"/>
    <w:rsid w:val="003C37DC"/>
    <w:rsid w:val="003C542C"/>
    <w:rsid w:val="003C5622"/>
    <w:rsid w:val="003C6135"/>
    <w:rsid w:val="003C67E4"/>
    <w:rsid w:val="003C7878"/>
    <w:rsid w:val="003C78DB"/>
    <w:rsid w:val="003D1A9B"/>
    <w:rsid w:val="003D23F4"/>
    <w:rsid w:val="003D2D03"/>
    <w:rsid w:val="003D3C63"/>
    <w:rsid w:val="003D5DB3"/>
    <w:rsid w:val="003D7E17"/>
    <w:rsid w:val="003E115F"/>
    <w:rsid w:val="003E11E5"/>
    <w:rsid w:val="003E7CD1"/>
    <w:rsid w:val="003F0B35"/>
    <w:rsid w:val="003F2D8A"/>
    <w:rsid w:val="003F4E62"/>
    <w:rsid w:val="00402847"/>
    <w:rsid w:val="00406743"/>
    <w:rsid w:val="00407F78"/>
    <w:rsid w:val="00410E24"/>
    <w:rsid w:val="004111D2"/>
    <w:rsid w:val="00412FA1"/>
    <w:rsid w:val="00413A88"/>
    <w:rsid w:val="0041567A"/>
    <w:rsid w:val="00416E5F"/>
    <w:rsid w:val="004201A2"/>
    <w:rsid w:val="00420336"/>
    <w:rsid w:val="004221E3"/>
    <w:rsid w:val="00423BFC"/>
    <w:rsid w:val="00426717"/>
    <w:rsid w:val="00431099"/>
    <w:rsid w:val="004334A2"/>
    <w:rsid w:val="004335AB"/>
    <w:rsid w:val="00435FFD"/>
    <w:rsid w:val="0043676A"/>
    <w:rsid w:val="00436A38"/>
    <w:rsid w:val="0043743E"/>
    <w:rsid w:val="00441653"/>
    <w:rsid w:val="00441BE4"/>
    <w:rsid w:val="00441E34"/>
    <w:rsid w:val="004421C0"/>
    <w:rsid w:val="004452C4"/>
    <w:rsid w:val="00445DAE"/>
    <w:rsid w:val="00450029"/>
    <w:rsid w:val="00450E2D"/>
    <w:rsid w:val="004516CB"/>
    <w:rsid w:val="00451B29"/>
    <w:rsid w:val="00453D4D"/>
    <w:rsid w:val="0045653E"/>
    <w:rsid w:val="00457DFC"/>
    <w:rsid w:val="00462DE5"/>
    <w:rsid w:val="00463A05"/>
    <w:rsid w:val="0046474C"/>
    <w:rsid w:val="00466340"/>
    <w:rsid w:val="0046723E"/>
    <w:rsid w:val="004729E3"/>
    <w:rsid w:val="004736CF"/>
    <w:rsid w:val="00473E30"/>
    <w:rsid w:val="00476B93"/>
    <w:rsid w:val="0047718D"/>
    <w:rsid w:val="0048106D"/>
    <w:rsid w:val="004826CC"/>
    <w:rsid w:val="004827CC"/>
    <w:rsid w:val="00482A12"/>
    <w:rsid w:val="004833F4"/>
    <w:rsid w:val="0048451F"/>
    <w:rsid w:val="004860F1"/>
    <w:rsid w:val="00486B11"/>
    <w:rsid w:val="00486B15"/>
    <w:rsid w:val="004907D4"/>
    <w:rsid w:val="004917DA"/>
    <w:rsid w:val="00491C35"/>
    <w:rsid w:val="00491FC1"/>
    <w:rsid w:val="004939FC"/>
    <w:rsid w:val="004A10C4"/>
    <w:rsid w:val="004A2EC4"/>
    <w:rsid w:val="004A2FBA"/>
    <w:rsid w:val="004A35B8"/>
    <w:rsid w:val="004A5193"/>
    <w:rsid w:val="004A614B"/>
    <w:rsid w:val="004B1325"/>
    <w:rsid w:val="004B3580"/>
    <w:rsid w:val="004B3DCD"/>
    <w:rsid w:val="004B5E2C"/>
    <w:rsid w:val="004C0185"/>
    <w:rsid w:val="004C2DCC"/>
    <w:rsid w:val="004C40FF"/>
    <w:rsid w:val="004C48B9"/>
    <w:rsid w:val="004C618A"/>
    <w:rsid w:val="004C74D3"/>
    <w:rsid w:val="004D17B0"/>
    <w:rsid w:val="004D1CF5"/>
    <w:rsid w:val="004D2662"/>
    <w:rsid w:val="004D5A10"/>
    <w:rsid w:val="004E57FB"/>
    <w:rsid w:val="004E6E74"/>
    <w:rsid w:val="004F0F1F"/>
    <w:rsid w:val="004F2BE4"/>
    <w:rsid w:val="004F49F1"/>
    <w:rsid w:val="00500980"/>
    <w:rsid w:val="00500B07"/>
    <w:rsid w:val="005053F0"/>
    <w:rsid w:val="0050606E"/>
    <w:rsid w:val="00506102"/>
    <w:rsid w:val="0050745A"/>
    <w:rsid w:val="00514282"/>
    <w:rsid w:val="00514F85"/>
    <w:rsid w:val="005150B0"/>
    <w:rsid w:val="00515A49"/>
    <w:rsid w:val="00516105"/>
    <w:rsid w:val="0052036D"/>
    <w:rsid w:val="0052311E"/>
    <w:rsid w:val="005232D9"/>
    <w:rsid w:val="005260F7"/>
    <w:rsid w:val="0052688B"/>
    <w:rsid w:val="005304DF"/>
    <w:rsid w:val="00531237"/>
    <w:rsid w:val="00534D63"/>
    <w:rsid w:val="00535F97"/>
    <w:rsid w:val="005368F6"/>
    <w:rsid w:val="00537C6B"/>
    <w:rsid w:val="005401D2"/>
    <w:rsid w:val="00542BEC"/>
    <w:rsid w:val="00542FA8"/>
    <w:rsid w:val="00545333"/>
    <w:rsid w:val="00546911"/>
    <w:rsid w:val="00546FE3"/>
    <w:rsid w:val="005534B6"/>
    <w:rsid w:val="005539CB"/>
    <w:rsid w:val="00554185"/>
    <w:rsid w:val="00561A84"/>
    <w:rsid w:val="00562C89"/>
    <w:rsid w:val="0056591B"/>
    <w:rsid w:val="005667D5"/>
    <w:rsid w:val="0056731B"/>
    <w:rsid w:val="0056785A"/>
    <w:rsid w:val="00573164"/>
    <w:rsid w:val="00573BC5"/>
    <w:rsid w:val="00574FCB"/>
    <w:rsid w:val="0058380B"/>
    <w:rsid w:val="00585282"/>
    <w:rsid w:val="00585D78"/>
    <w:rsid w:val="005865B9"/>
    <w:rsid w:val="005872E3"/>
    <w:rsid w:val="005964BB"/>
    <w:rsid w:val="00596DAE"/>
    <w:rsid w:val="0059779D"/>
    <w:rsid w:val="00597CF1"/>
    <w:rsid w:val="005A0294"/>
    <w:rsid w:val="005A1FA9"/>
    <w:rsid w:val="005A3A7D"/>
    <w:rsid w:val="005A6A3C"/>
    <w:rsid w:val="005B1353"/>
    <w:rsid w:val="005B223D"/>
    <w:rsid w:val="005B731B"/>
    <w:rsid w:val="005C0ADB"/>
    <w:rsid w:val="005C0D74"/>
    <w:rsid w:val="005C5651"/>
    <w:rsid w:val="005C73B7"/>
    <w:rsid w:val="005C749F"/>
    <w:rsid w:val="005D00B4"/>
    <w:rsid w:val="005D16EE"/>
    <w:rsid w:val="005D5447"/>
    <w:rsid w:val="005D59C1"/>
    <w:rsid w:val="005E0845"/>
    <w:rsid w:val="005E1E95"/>
    <w:rsid w:val="005E3326"/>
    <w:rsid w:val="005E5184"/>
    <w:rsid w:val="005E56D5"/>
    <w:rsid w:val="005E5F02"/>
    <w:rsid w:val="005F0DEE"/>
    <w:rsid w:val="005F2CA1"/>
    <w:rsid w:val="005F4665"/>
    <w:rsid w:val="006002D9"/>
    <w:rsid w:val="00600413"/>
    <w:rsid w:val="006008B5"/>
    <w:rsid w:val="00602C0B"/>
    <w:rsid w:val="006037AC"/>
    <w:rsid w:val="00603CC6"/>
    <w:rsid w:val="0060449D"/>
    <w:rsid w:val="00604862"/>
    <w:rsid w:val="006058EC"/>
    <w:rsid w:val="00605D33"/>
    <w:rsid w:val="00606628"/>
    <w:rsid w:val="00607D2B"/>
    <w:rsid w:val="006119B9"/>
    <w:rsid w:val="0061225E"/>
    <w:rsid w:val="00615561"/>
    <w:rsid w:val="00615D2B"/>
    <w:rsid w:val="00617673"/>
    <w:rsid w:val="0062074E"/>
    <w:rsid w:val="00622B41"/>
    <w:rsid w:val="006230D2"/>
    <w:rsid w:val="00625725"/>
    <w:rsid w:val="00630C0F"/>
    <w:rsid w:val="00631ABF"/>
    <w:rsid w:val="00631F37"/>
    <w:rsid w:val="006322DB"/>
    <w:rsid w:val="006401F3"/>
    <w:rsid w:val="0064079C"/>
    <w:rsid w:val="0064353A"/>
    <w:rsid w:val="006440D5"/>
    <w:rsid w:val="00644A50"/>
    <w:rsid w:val="006466DD"/>
    <w:rsid w:val="00651569"/>
    <w:rsid w:val="00654B2A"/>
    <w:rsid w:val="006566D8"/>
    <w:rsid w:val="00657499"/>
    <w:rsid w:val="00660F93"/>
    <w:rsid w:val="006615DE"/>
    <w:rsid w:val="0066262C"/>
    <w:rsid w:val="006643AF"/>
    <w:rsid w:val="00664D04"/>
    <w:rsid w:val="00666185"/>
    <w:rsid w:val="00667A65"/>
    <w:rsid w:val="00670543"/>
    <w:rsid w:val="0067183B"/>
    <w:rsid w:val="006722EC"/>
    <w:rsid w:val="00672B71"/>
    <w:rsid w:val="00673A66"/>
    <w:rsid w:val="00674EF4"/>
    <w:rsid w:val="00681427"/>
    <w:rsid w:val="006815C9"/>
    <w:rsid w:val="00682E8D"/>
    <w:rsid w:val="006860FD"/>
    <w:rsid w:val="00690219"/>
    <w:rsid w:val="0069342D"/>
    <w:rsid w:val="006A1374"/>
    <w:rsid w:val="006A4005"/>
    <w:rsid w:val="006A573B"/>
    <w:rsid w:val="006A59F7"/>
    <w:rsid w:val="006A5EA2"/>
    <w:rsid w:val="006A6B44"/>
    <w:rsid w:val="006A7A22"/>
    <w:rsid w:val="006A7CCE"/>
    <w:rsid w:val="006B12EE"/>
    <w:rsid w:val="006B15C0"/>
    <w:rsid w:val="006B210E"/>
    <w:rsid w:val="006B324B"/>
    <w:rsid w:val="006B4613"/>
    <w:rsid w:val="006B554F"/>
    <w:rsid w:val="006B5DBF"/>
    <w:rsid w:val="006C3EC7"/>
    <w:rsid w:val="006C4FBD"/>
    <w:rsid w:val="006C6C2F"/>
    <w:rsid w:val="006C7D14"/>
    <w:rsid w:val="006D080F"/>
    <w:rsid w:val="006D1047"/>
    <w:rsid w:val="006D4985"/>
    <w:rsid w:val="006D5C75"/>
    <w:rsid w:val="006D6E9E"/>
    <w:rsid w:val="006E03FD"/>
    <w:rsid w:val="006E0516"/>
    <w:rsid w:val="006E0EB9"/>
    <w:rsid w:val="006E1820"/>
    <w:rsid w:val="006E2BD7"/>
    <w:rsid w:val="006E364D"/>
    <w:rsid w:val="006E61E1"/>
    <w:rsid w:val="006E634D"/>
    <w:rsid w:val="006F14A4"/>
    <w:rsid w:val="006F2265"/>
    <w:rsid w:val="006F7132"/>
    <w:rsid w:val="006F7C30"/>
    <w:rsid w:val="00701459"/>
    <w:rsid w:val="00702D92"/>
    <w:rsid w:val="00702DDD"/>
    <w:rsid w:val="00704346"/>
    <w:rsid w:val="00705F4E"/>
    <w:rsid w:val="00706314"/>
    <w:rsid w:val="0070782F"/>
    <w:rsid w:val="00710ACA"/>
    <w:rsid w:val="007151A2"/>
    <w:rsid w:val="00715B39"/>
    <w:rsid w:val="00720E2B"/>
    <w:rsid w:val="007262A3"/>
    <w:rsid w:val="00730BDD"/>
    <w:rsid w:val="00733938"/>
    <w:rsid w:val="0073500A"/>
    <w:rsid w:val="007371B7"/>
    <w:rsid w:val="007376B8"/>
    <w:rsid w:val="00742344"/>
    <w:rsid w:val="007425B9"/>
    <w:rsid w:val="00742A36"/>
    <w:rsid w:val="00744D36"/>
    <w:rsid w:val="00745A74"/>
    <w:rsid w:val="00746E00"/>
    <w:rsid w:val="007502FC"/>
    <w:rsid w:val="007514FD"/>
    <w:rsid w:val="00751BAF"/>
    <w:rsid w:val="00752981"/>
    <w:rsid w:val="007533A4"/>
    <w:rsid w:val="00754684"/>
    <w:rsid w:val="0075581A"/>
    <w:rsid w:val="0075604C"/>
    <w:rsid w:val="00756CCE"/>
    <w:rsid w:val="0076153C"/>
    <w:rsid w:val="007654FE"/>
    <w:rsid w:val="00766773"/>
    <w:rsid w:val="00766A1C"/>
    <w:rsid w:val="007741A8"/>
    <w:rsid w:val="00774B5B"/>
    <w:rsid w:val="007800BD"/>
    <w:rsid w:val="0078036D"/>
    <w:rsid w:val="00784303"/>
    <w:rsid w:val="00786915"/>
    <w:rsid w:val="007909EF"/>
    <w:rsid w:val="0079339D"/>
    <w:rsid w:val="007934BC"/>
    <w:rsid w:val="00793817"/>
    <w:rsid w:val="00793F63"/>
    <w:rsid w:val="007957D4"/>
    <w:rsid w:val="00797132"/>
    <w:rsid w:val="007A110F"/>
    <w:rsid w:val="007A1AB4"/>
    <w:rsid w:val="007A1B3B"/>
    <w:rsid w:val="007A33D6"/>
    <w:rsid w:val="007A591F"/>
    <w:rsid w:val="007A6C1E"/>
    <w:rsid w:val="007A7C8C"/>
    <w:rsid w:val="007B0322"/>
    <w:rsid w:val="007B06E5"/>
    <w:rsid w:val="007B1313"/>
    <w:rsid w:val="007B1B08"/>
    <w:rsid w:val="007B29AD"/>
    <w:rsid w:val="007B2ED4"/>
    <w:rsid w:val="007B3468"/>
    <w:rsid w:val="007B34DD"/>
    <w:rsid w:val="007B53E1"/>
    <w:rsid w:val="007B6136"/>
    <w:rsid w:val="007B7090"/>
    <w:rsid w:val="007C0017"/>
    <w:rsid w:val="007C0348"/>
    <w:rsid w:val="007C1241"/>
    <w:rsid w:val="007C346C"/>
    <w:rsid w:val="007C4D52"/>
    <w:rsid w:val="007C511E"/>
    <w:rsid w:val="007C656C"/>
    <w:rsid w:val="007D11A7"/>
    <w:rsid w:val="007D2C59"/>
    <w:rsid w:val="007D2E7E"/>
    <w:rsid w:val="007D44AF"/>
    <w:rsid w:val="007D4CC7"/>
    <w:rsid w:val="007D6359"/>
    <w:rsid w:val="007D661C"/>
    <w:rsid w:val="007D76D0"/>
    <w:rsid w:val="007E0B7E"/>
    <w:rsid w:val="007E0DC2"/>
    <w:rsid w:val="007E178C"/>
    <w:rsid w:val="007E1AB9"/>
    <w:rsid w:val="007E3A60"/>
    <w:rsid w:val="007E542A"/>
    <w:rsid w:val="007E7985"/>
    <w:rsid w:val="007F1296"/>
    <w:rsid w:val="007F5A67"/>
    <w:rsid w:val="007F7D62"/>
    <w:rsid w:val="008034FB"/>
    <w:rsid w:val="00805504"/>
    <w:rsid w:val="00805676"/>
    <w:rsid w:val="00805DFE"/>
    <w:rsid w:val="00806E34"/>
    <w:rsid w:val="008077E7"/>
    <w:rsid w:val="008114E5"/>
    <w:rsid w:val="00811528"/>
    <w:rsid w:val="00811736"/>
    <w:rsid w:val="00813F79"/>
    <w:rsid w:val="00814A97"/>
    <w:rsid w:val="008171B8"/>
    <w:rsid w:val="00817205"/>
    <w:rsid w:val="0081743F"/>
    <w:rsid w:val="0082048D"/>
    <w:rsid w:val="00822220"/>
    <w:rsid w:val="00822EE4"/>
    <w:rsid w:val="00825320"/>
    <w:rsid w:val="00826784"/>
    <w:rsid w:val="0082696F"/>
    <w:rsid w:val="00827D42"/>
    <w:rsid w:val="008301FA"/>
    <w:rsid w:val="00831603"/>
    <w:rsid w:val="008324C7"/>
    <w:rsid w:val="00832A03"/>
    <w:rsid w:val="008332F9"/>
    <w:rsid w:val="0083395C"/>
    <w:rsid w:val="00835A78"/>
    <w:rsid w:val="008361E7"/>
    <w:rsid w:val="008368F4"/>
    <w:rsid w:val="0084425B"/>
    <w:rsid w:val="00844F33"/>
    <w:rsid w:val="00850DF3"/>
    <w:rsid w:val="00852707"/>
    <w:rsid w:val="00852B15"/>
    <w:rsid w:val="00854C42"/>
    <w:rsid w:val="00855D41"/>
    <w:rsid w:val="0085687F"/>
    <w:rsid w:val="008575D8"/>
    <w:rsid w:val="008602F6"/>
    <w:rsid w:val="00860A0C"/>
    <w:rsid w:val="008639E5"/>
    <w:rsid w:val="00865A82"/>
    <w:rsid w:val="00866C39"/>
    <w:rsid w:val="008676E1"/>
    <w:rsid w:val="0086776B"/>
    <w:rsid w:val="00874BA8"/>
    <w:rsid w:val="008769FB"/>
    <w:rsid w:val="00884830"/>
    <w:rsid w:val="0088605C"/>
    <w:rsid w:val="008868AF"/>
    <w:rsid w:val="0089054D"/>
    <w:rsid w:val="00891C4D"/>
    <w:rsid w:val="008951E8"/>
    <w:rsid w:val="00895497"/>
    <w:rsid w:val="00896106"/>
    <w:rsid w:val="008A2474"/>
    <w:rsid w:val="008A34F2"/>
    <w:rsid w:val="008A471A"/>
    <w:rsid w:val="008A5A10"/>
    <w:rsid w:val="008A6357"/>
    <w:rsid w:val="008A6A41"/>
    <w:rsid w:val="008A7A15"/>
    <w:rsid w:val="008B0227"/>
    <w:rsid w:val="008B1495"/>
    <w:rsid w:val="008B52C7"/>
    <w:rsid w:val="008B60B2"/>
    <w:rsid w:val="008C1AC9"/>
    <w:rsid w:val="008C366D"/>
    <w:rsid w:val="008C40C3"/>
    <w:rsid w:val="008C64B5"/>
    <w:rsid w:val="008C6B26"/>
    <w:rsid w:val="008C6E1B"/>
    <w:rsid w:val="008D000D"/>
    <w:rsid w:val="008D0AA7"/>
    <w:rsid w:val="008D13F2"/>
    <w:rsid w:val="008D304C"/>
    <w:rsid w:val="008D681A"/>
    <w:rsid w:val="008D6F1C"/>
    <w:rsid w:val="008D7DEA"/>
    <w:rsid w:val="008E3756"/>
    <w:rsid w:val="008E3A22"/>
    <w:rsid w:val="008E4080"/>
    <w:rsid w:val="008E45C1"/>
    <w:rsid w:val="008E67BA"/>
    <w:rsid w:val="008F0451"/>
    <w:rsid w:val="008F1393"/>
    <w:rsid w:val="008F5A50"/>
    <w:rsid w:val="00900479"/>
    <w:rsid w:val="0090070A"/>
    <w:rsid w:val="009030AE"/>
    <w:rsid w:val="00903515"/>
    <w:rsid w:val="009057C9"/>
    <w:rsid w:val="0090742D"/>
    <w:rsid w:val="00907606"/>
    <w:rsid w:val="00910640"/>
    <w:rsid w:val="00911CCA"/>
    <w:rsid w:val="00911E4A"/>
    <w:rsid w:val="009121FD"/>
    <w:rsid w:val="00912E94"/>
    <w:rsid w:val="00913B95"/>
    <w:rsid w:val="009151B0"/>
    <w:rsid w:val="00915B29"/>
    <w:rsid w:val="0091746F"/>
    <w:rsid w:val="00920F30"/>
    <w:rsid w:val="00921053"/>
    <w:rsid w:val="009237BC"/>
    <w:rsid w:val="0092591F"/>
    <w:rsid w:val="0092729B"/>
    <w:rsid w:val="009323D8"/>
    <w:rsid w:val="00937141"/>
    <w:rsid w:val="00937DB2"/>
    <w:rsid w:val="0094105C"/>
    <w:rsid w:val="0094216A"/>
    <w:rsid w:val="009475DA"/>
    <w:rsid w:val="00950E48"/>
    <w:rsid w:val="00951430"/>
    <w:rsid w:val="009523CF"/>
    <w:rsid w:val="009526E7"/>
    <w:rsid w:val="0095313A"/>
    <w:rsid w:val="009546C7"/>
    <w:rsid w:val="00962624"/>
    <w:rsid w:val="009632D1"/>
    <w:rsid w:val="0096440F"/>
    <w:rsid w:val="00965E7A"/>
    <w:rsid w:val="00974755"/>
    <w:rsid w:val="009765F7"/>
    <w:rsid w:val="0098265F"/>
    <w:rsid w:val="009849B6"/>
    <w:rsid w:val="00984F45"/>
    <w:rsid w:val="00986BF7"/>
    <w:rsid w:val="00986DDB"/>
    <w:rsid w:val="00986EAD"/>
    <w:rsid w:val="009875A7"/>
    <w:rsid w:val="009925A8"/>
    <w:rsid w:val="0099476D"/>
    <w:rsid w:val="00994C81"/>
    <w:rsid w:val="009A1FB5"/>
    <w:rsid w:val="009A284C"/>
    <w:rsid w:val="009A35CD"/>
    <w:rsid w:val="009A70FA"/>
    <w:rsid w:val="009A71AA"/>
    <w:rsid w:val="009B0E06"/>
    <w:rsid w:val="009B15FB"/>
    <w:rsid w:val="009B1706"/>
    <w:rsid w:val="009B2621"/>
    <w:rsid w:val="009B4085"/>
    <w:rsid w:val="009B7956"/>
    <w:rsid w:val="009C063F"/>
    <w:rsid w:val="009C2F28"/>
    <w:rsid w:val="009C479A"/>
    <w:rsid w:val="009C507D"/>
    <w:rsid w:val="009D0468"/>
    <w:rsid w:val="009D24CD"/>
    <w:rsid w:val="009D28C1"/>
    <w:rsid w:val="009D3A3A"/>
    <w:rsid w:val="009D42B6"/>
    <w:rsid w:val="009D4B36"/>
    <w:rsid w:val="009D5BB9"/>
    <w:rsid w:val="009E1B50"/>
    <w:rsid w:val="009E285E"/>
    <w:rsid w:val="009E36E2"/>
    <w:rsid w:val="009E3E9F"/>
    <w:rsid w:val="009E407D"/>
    <w:rsid w:val="009E50C2"/>
    <w:rsid w:val="009F066B"/>
    <w:rsid w:val="009F0806"/>
    <w:rsid w:val="009F2B12"/>
    <w:rsid w:val="009F2D04"/>
    <w:rsid w:val="009F4E14"/>
    <w:rsid w:val="009F515C"/>
    <w:rsid w:val="009F5E86"/>
    <w:rsid w:val="009F63D2"/>
    <w:rsid w:val="009F750E"/>
    <w:rsid w:val="009F7BBC"/>
    <w:rsid w:val="009F7C4A"/>
    <w:rsid w:val="009F7DF6"/>
    <w:rsid w:val="00A01BCB"/>
    <w:rsid w:val="00A03337"/>
    <w:rsid w:val="00A0377D"/>
    <w:rsid w:val="00A0486C"/>
    <w:rsid w:val="00A05CDA"/>
    <w:rsid w:val="00A11789"/>
    <w:rsid w:val="00A11907"/>
    <w:rsid w:val="00A11EE2"/>
    <w:rsid w:val="00A12548"/>
    <w:rsid w:val="00A13943"/>
    <w:rsid w:val="00A15BA2"/>
    <w:rsid w:val="00A17F51"/>
    <w:rsid w:val="00A23790"/>
    <w:rsid w:val="00A24B0B"/>
    <w:rsid w:val="00A2703D"/>
    <w:rsid w:val="00A30160"/>
    <w:rsid w:val="00A31127"/>
    <w:rsid w:val="00A3352B"/>
    <w:rsid w:val="00A33867"/>
    <w:rsid w:val="00A35526"/>
    <w:rsid w:val="00A355D4"/>
    <w:rsid w:val="00A41C31"/>
    <w:rsid w:val="00A42179"/>
    <w:rsid w:val="00A451C9"/>
    <w:rsid w:val="00A45982"/>
    <w:rsid w:val="00A460A8"/>
    <w:rsid w:val="00A53B37"/>
    <w:rsid w:val="00A56C9B"/>
    <w:rsid w:val="00A6593C"/>
    <w:rsid w:val="00A66C8A"/>
    <w:rsid w:val="00A70C72"/>
    <w:rsid w:val="00A71408"/>
    <w:rsid w:val="00A718B2"/>
    <w:rsid w:val="00A72B24"/>
    <w:rsid w:val="00A731DE"/>
    <w:rsid w:val="00A771C0"/>
    <w:rsid w:val="00A7756E"/>
    <w:rsid w:val="00A77CB1"/>
    <w:rsid w:val="00A807A4"/>
    <w:rsid w:val="00A8137A"/>
    <w:rsid w:val="00A813A4"/>
    <w:rsid w:val="00A824B5"/>
    <w:rsid w:val="00A8283F"/>
    <w:rsid w:val="00A83C75"/>
    <w:rsid w:val="00A83E97"/>
    <w:rsid w:val="00A845A1"/>
    <w:rsid w:val="00A85751"/>
    <w:rsid w:val="00A859B0"/>
    <w:rsid w:val="00A85B7F"/>
    <w:rsid w:val="00A931F7"/>
    <w:rsid w:val="00A974DB"/>
    <w:rsid w:val="00A97F16"/>
    <w:rsid w:val="00A9F775"/>
    <w:rsid w:val="00AA029F"/>
    <w:rsid w:val="00AA128A"/>
    <w:rsid w:val="00AA19CA"/>
    <w:rsid w:val="00AA7C89"/>
    <w:rsid w:val="00AB2BF5"/>
    <w:rsid w:val="00AB453F"/>
    <w:rsid w:val="00AB4AD5"/>
    <w:rsid w:val="00AB4B1C"/>
    <w:rsid w:val="00AB4F59"/>
    <w:rsid w:val="00AB4FA8"/>
    <w:rsid w:val="00AB655E"/>
    <w:rsid w:val="00AB6BB4"/>
    <w:rsid w:val="00AB6D18"/>
    <w:rsid w:val="00AB6FFF"/>
    <w:rsid w:val="00AC16E4"/>
    <w:rsid w:val="00AC1BA3"/>
    <w:rsid w:val="00AC234D"/>
    <w:rsid w:val="00AC7CC4"/>
    <w:rsid w:val="00AC7E74"/>
    <w:rsid w:val="00AD029D"/>
    <w:rsid w:val="00AD5331"/>
    <w:rsid w:val="00AD6022"/>
    <w:rsid w:val="00AD7EED"/>
    <w:rsid w:val="00AE1133"/>
    <w:rsid w:val="00AE183B"/>
    <w:rsid w:val="00AE26AE"/>
    <w:rsid w:val="00AE34C4"/>
    <w:rsid w:val="00AE3734"/>
    <w:rsid w:val="00AE55EA"/>
    <w:rsid w:val="00AE64BA"/>
    <w:rsid w:val="00AF0EE7"/>
    <w:rsid w:val="00AF0F80"/>
    <w:rsid w:val="00AF1EE3"/>
    <w:rsid w:val="00AF43DE"/>
    <w:rsid w:val="00B00811"/>
    <w:rsid w:val="00B01B12"/>
    <w:rsid w:val="00B02206"/>
    <w:rsid w:val="00B0462B"/>
    <w:rsid w:val="00B04906"/>
    <w:rsid w:val="00B054FC"/>
    <w:rsid w:val="00B06F60"/>
    <w:rsid w:val="00B11730"/>
    <w:rsid w:val="00B133CC"/>
    <w:rsid w:val="00B13B56"/>
    <w:rsid w:val="00B14C1D"/>
    <w:rsid w:val="00B15FE5"/>
    <w:rsid w:val="00B167A4"/>
    <w:rsid w:val="00B17248"/>
    <w:rsid w:val="00B203BF"/>
    <w:rsid w:val="00B23B62"/>
    <w:rsid w:val="00B244F4"/>
    <w:rsid w:val="00B24A14"/>
    <w:rsid w:val="00B27B77"/>
    <w:rsid w:val="00B27D44"/>
    <w:rsid w:val="00B31B87"/>
    <w:rsid w:val="00B32E21"/>
    <w:rsid w:val="00B33A7C"/>
    <w:rsid w:val="00B33E6E"/>
    <w:rsid w:val="00B35487"/>
    <w:rsid w:val="00B35638"/>
    <w:rsid w:val="00B358BF"/>
    <w:rsid w:val="00B4046A"/>
    <w:rsid w:val="00B4321D"/>
    <w:rsid w:val="00B44AC4"/>
    <w:rsid w:val="00B45175"/>
    <w:rsid w:val="00B45AFE"/>
    <w:rsid w:val="00B468BE"/>
    <w:rsid w:val="00B51429"/>
    <w:rsid w:val="00B537FD"/>
    <w:rsid w:val="00B548D3"/>
    <w:rsid w:val="00B54A80"/>
    <w:rsid w:val="00B5726D"/>
    <w:rsid w:val="00B57508"/>
    <w:rsid w:val="00B6154E"/>
    <w:rsid w:val="00B676DB"/>
    <w:rsid w:val="00B711BC"/>
    <w:rsid w:val="00B73988"/>
    <w:rsid w:val="00B75327"/>
    <w:rsid w:val="00B82E10"/>
    <w:rsid w:val="00B9038F"/>
    <w:rsid w:val="00B907B9"/>
    <w:rsid w:val="00B908F4"/>
    <w:rsid w:val="00B91CDF"/>
    <w:rsid w:val="00BA36FD"/>
    <w:rsid w:val="00BA3E1B"/>
    <w:rsid w:val="00BA509C"/>
    <w:rsid w:val="00BA744F"/>
    <w:rsid w:val="00BB06C3"/>
    <w:rsid w:val="00BB1641"/>
    <w:rsid w:val="00BB198C"/>
    <w:rsid w:val="00BB3B41"/>
    <w:rsid w:val="00BC2394"/>
    <w:rsid w:val="00BC4C15"/>
    <w:rsid w:val="00BC57AD"/>
    <w:rsid w:val="00BC67B2"/>
    <w:rsid w:val="00BC7D84"/>
    <w:rsid w:val="00BD2F8C"/>
    <w:rsid w:val="00BD3102"/>
    <w:rsid w:val="00BD482C"/>
    <w:rsid w:val="00BD782B"/>
    <w:rsid w:val="00BE12B6"/>
    <w:rsid w:val="00BE14FF"/>
    <w:rsid w:val="00BE3A4B"/>
    <w:rsid w:val="00BE4035"/>
    <w:rsid w:val="00BF6538"/>
    <w:rsid w:val="00BF7084"/>
    <w:rsid w:val="00BF781D"/>
    <w:rsid w:val="00C01450"/>
    <w:rsid w:val="00C023BE"/>
    <w:rsid w:val="00C033D0"/>
    <w:rsid w:val="00C03D20"/>
    <w:rsid w:val="00C1043E"/>
    <w:rsid w:val="00C125D1"/>
    <w:rsid w:val="00C1726A"/>
    <w:rsid w:val="00C1C5FC"/>
    <w:rsid w:val="00C25D41"/>
    <w:rsid w:val="00C27250"/>
    <w:rsid w:val="00C27662"/>
    <w:rsid w:val="00C3115C"/>
    <w:rsid w:val="00C31490"/>
    <w:rsid w:val="00C31967"/>
    <w:rsid w:val="00C33C44"/>
    <w:rsid w:val="00C35DB5"/>
    <w:rsid w:val="00C42FD0"/>
    <w:rsid w:val="00C440E3"/>
    <w:rsid w:val="00C45173"/>
    <w:rsid w:val="00C45E03"/>
    <w:rsid w:val="00C47EDA"/>
    <w:rsid w:val="00C5043D"/>
    <w:rsid w:val="00C52542"/>
    <w:rsid w:val="00C52A74"/>
    <w:rsid w:val="00C535CB"/>
    <w:rsid w:val="00C54227"/>
    <w:rsid w:val="00C579E3"/>
    <w:rsid w:val="00C61624"/>
    <w:rsid w:val="00C61865"/>
    <w:rsid w:val="00C61A4C"/>
    <w:rsid w:val="00C62903"/>
    <w:rsid w:val="00C6366D"/>
    <w:rsid w:val="00C63708"/>
    <w:rsid w:val="00C64140"/>
    <w:rsid w:val="00C6433D"/>
    <w:rsid w:val="00C64D42"/>
    <w:rsid w:val="00C659AB"/>
    <w:rsid w:val="00C67237"/>
    <w:rsid w:val="00C6728E"/>
    <w:rsid w:val="00C672D9"/>
    <w:rsid w:val="00C67397"/>
    <w:rsid w:val="00C677DB"/>
    <w:rsid w:val="00C67AAA"/>
    <w:rsid w:val="00C73479"/>
    <w:rsid w:val="00C74B17"/>
    <w:rsid w:val="00C801BE"/>
    <w:rsid w:val="00C80992"/>
    <w:rsid w:val="00C830F6"/>
    <w:rsid w:val="00C83404"/>
    <w:rsid w:val="00C83A7D"/>
    <w:rsid w:val="00C84ACE"/>
    <w:rsid w:val="00C85CDA"/>
    <w:rsid w:val="00C86E24"/>
    <w:rsid w:val="00C876A6"/>
    <w:rsid w:val="00C876AF"/>
    <w:rsid w:val="00C916E5"/>
    <w:rsid w:val="00C9176F"/>
    <w:rsid w:val="00C91F81"/>
    <w:rsid w:val="00C946B1"/>
    <w:rsid w:val="00C95527"/>
    <w:rsid w:val="00C9603F"/>
    <w:rsid w:val="00C975BC"/>
    <w:rsid w:val="00C97F4C"/>
    <w:rsid w:val="00CA3013"/>
    <w:rsid w:val="00CA5000"/>
    <w:rsid w:val="00CA7E1A"/>
    <w:rsid w:val="00CB7DD6"/>
    <w:rsid w:val="00CC259B"/>
    <w:rsid w:val="00CC3369"/>
    <w:rsid w:val="00CC7E9C"/>
    <w:rsid w:val="00CD06BD"/>
    <w:rsid w:val="00CD159F"/>
    <w:rsid w:val="00CD4A23"/>
    <w:rsid w:val="00CD4BC1"/>
    <w:rsid w:val="00CD53DE"/>
    <w:rsid w:val="00CD72DA"/>
    <w:rsid w:val="00CE1703"/>
    <w:rsid w:val="00CE1DA5"/>
    <w:rsid w:val="00CE1F02"/>
    <w:rsid w:val="00CE5764"/>
    <w:rsid w:val="00CE6361"/>
    <w:rsid w:val="00CE6FFA"/>
    <w:rsid w:val="00CF0592"/>
    <w:rsid w:val="00CF20BC"/>
    <w:rsid w:val="00CF3B6F"/>
    <w:rsid w:val="00CF50A3"/>
    <w:rsid w:val="00CF520B"/>
    <w:rsid w:val="00CF6A95"/>
    <w:rsid w:val="00CF7B5F"/>
    <w:rsid w:val="00D03037"/>
    <w:rsid w:val="00D04CAA"/>
    <w:rsid w:val="00D04D59"/>
    <w:rsid w:val="00D0649A"/>
    <w:rsid w:val="00D106C9"/>
    <w:rsid w:val="00D1299E"/>
    <w:rsid w:val="00D14CA8"/>
    <w:rsid w:val="00D2028C"/>
    <w:rsid w:val="00D30593"/>
    <w:rsid w:val="00D3429B"/>
    <w:rsid w:val="00D3567D"/>
    <w:rsid w:val="00D35A72"/>
    <w:rsid w:val="00D377B5"/>
    <w:rsid w:val="00D40EC3"/>
    <w:rsid w:val="00D4326F"/>
    <w:rsid w:val="00D44317"/>
    <w:rsid w:val="00D456D3"/>
    <w:rsid w:val="00D47A3A"/>
    <w:rsid w:val="00D5242D"/>
    <w:rsid w:val="00D53199"/>
    <w:rsid w:val="00D55B91"/>
    <w:rsid w:val="00D55FC0"/>
    <w:rsid w:val="00D56761"/>
    <w:rsid w:val="00D6128B"/>
    <w:rsid w:val="00D62B05"/>
    <w:rsid w:val="00D62D44"/>
    <w:rsid w:val="00D62E39"/>
    <w:rsid w:val="00D74350"/>
    <w:rsid w:val="00D76244"/>
    <w:rsid w:val="00D84C1B"/>
    <w:rsid w:val="00D8531E"/>
    <w:rsid w:val="00D858E2"/>
    <w:rsid w:val="00D902A6"/>
    <w:rsid w:val="00D90A3C"/>
    <w:rsid w:val="00D90AA9"/>
    <w:rsid w:val="00D932F7"/>
    <w:rsid w:val="00D943C2"/>
    <w:rsid w:val="00D94720"/>
    <w:rsid w:val="00D9547B"/>
    <w:rsid w:val="00DA1113"/>
    <w:rsid w:val="00DA15CD"/>
    <w:rsid w:val="00DA293E"/>
    <w:rsid w:val="00DA6097"/>
    <w:rsid w:val="00DB0AE1"/>
    <w:rsid w:val="00DB19A3"/>
    <w:rsid w:val="00DB367F"/>
    <w:rsid w:val="00DB7E46"/>
    <w:rsid w:val="00DB7F2D"/>
    <w:rsid w:val="00DC24E6"/>
    <w:rsid w:val="00DC462C"/>
    <w:rsid w:val="00DC493F"/>
    <w:rsid w:val="00DC72F9"/>
    <w:rsid w:val="00DD1F6B"/>
    <w:rsid w:val="00DD2939"/>
    <w:rsid w:val="00DD589A"/>
    <w:rsid w:val="00DD6379"/>
    <w:rsid w:val="00DD77D7"/>
    <w:rsid w:val="00DE070D"/>
    <w:rsid w:val="00DE3776"/>
    <w:rsid w:val="00DE44E9"/>
    <w:rsid w:val="00DE600D"/>
    <w:rsid w:val="00DF0D40"/>
    <w:rsid w:val="00DF3E91"/>
    <w:rsid w:val="00DF4500"/>
    <w:rsid w:val="00DF4FD3"/>
    <w:rsid w:val="00DF6740"/>
    <w:rsid w:val="00DF7B85"/>
    <w:rsid w:val="00E00226"/>
    <w:rsid w:val="00E00F55"/>
    <w:rsid w:val="00E0246C"/>
    <w:rsid w:val="00E04B1F"/>
    <w:rsid w:val="00E05460"/>
    <w:rsid w:val="00E05C9D"/>
    <w:rsid w:val="00E11EED"/>
    <w:rsid w:val="00E12238"/>
    <w:rsid w:val="00E134B1"/>
    <w:rsid w:val="00E13F05"/>
    <w:rsid w:val="00E155D9"/>
    <w:rsid w:val="00E21D97"/>
    <w:rsid w:val="00E227C1"/>
    <w:rsid w:val="00E23793"/>
    <w:rsid w:val="00E25675"/>
    <w:rsid w:val="00E2569B"/>
    <w:rsid w:val="00E26523"/>
    <w:rsid w:val="00E325AA"/>
    <w:rsid w:val="00E32EFB"/>
    <w:rsid w:val="00E337FA"/>
    <w:rsid w:val="00E33938"/>
    <w:rsid w:val="00E3765E"/>
    <w:rsid w:val="00E413BD"/>
    <w:rsid w:val="00E4176F"/>
    <w:rsid w:val="00E42315"/>
    <w:rsid w:val="00E44FC4"/>
    <w:rsid w:val="00E47B13"/>
    <w:rsid w:val="00E51DD5"/>
    <w:rsid w:val="00E53ECF"/>
    <w:rsid w:val="00E53F65"/>
    <w:rsid w:val="00E5703E"/>
    <w:rsid w:val="00E61254"/>
    <w:rsid w:val="00E64C74"/>
    <w:rsid w:val="00E64D69"/>
    <w:rsid w:val="00E65003"/>
    <w:rsid w:val="00E7184C"/>
    <w:rsid w:val="00E71D53"/>
    <w:rsid w:val="00E72980"/>
    <w:rsid w:val="00E767C3"/>
    <w:rsid w:val="00E76849"/>
    <w:rsid w:val="00E76E74"/>
    <w:rsid w:val="00E85536"/>
    <w:rsid w:val="00E85DB3"/>
    <w:rsid w:val="00E91054"/>
    <w:rsid w:val="00E914A5"/>
    <w:rsid w:val="00E92542"/>
    <w:rsid w:val="00E968B6"/>
    <w:rsid w:val="00E96C51"/>
    <w:rsid w:val="00EA3226"/>
    <w:rsid w:val="00EA4DD7"/>
    <w:rsid w:val="00EA6F4C"/>
    <w:rsid w:val="00EA7AE8"/>
    <w:rsid w:val="00EB14E6"/>
    <w:rsid w:val="00EB291C"/>
    <w:rsid w:val="00EB5736"/>
    <w:rsid w:val="00EB7B0C"/>
    <w:rsid w:val="00EC10CC"/>
    <w:rsid w:val="00EC1551"/>
    <w:rsid w:val="00EC1D05"/>
    <w:rsid w:val="00EC30CB"/>
    <w:rsid w:val="00EC3382"/>
    <w:rsid w:val="00EC4197"/>
    <w:rsid w:val="00EC69CF"/>
    <w:rsid w:val="00EC6B99"/>
    <w:rsid w:val="00EC6CC8"/>
    <w:rsid w:val="00ED01E6"/>
    <w:rsid w:val="00ED20A3"/>
    <w:rsid w:val="00ED23D5"/>
    <w:rsid w:val="00ED39A4"/>
    <w:rsid w:val="00ED42E2"/>
    <w:rsid w:val="00ED48BD"/>
    <w:rsid w:val="00ED4D01"/>
    <w:rsid w:val="00ED4D0D"/>
    <w:rsid w:val="00EE0601"/>
    <w:rsid w:val="00EE0D64"/>
    <w:rsid w:val="00EE1AE2"/>
    <w:rsid w:val="00EE1BBA"/>
    <w:rsid w:val="00EE3BD8"/>
    <w:rsid w:val="00EE470F"/>
    <w:rsid w:val="00EE5090"/>
    <w:rsid w:val="00EE62D6"/>
    <w:rsid w:val="00EF21BD"/>
    <w:rsid w:val="00EF291F"/>
    <w:rsid w:val="00EF29C6"/>
    <w:rsid w:val="00EF3E91"/>
    <w:rsid w:val="00EF533B"/>
    <w:rsid w:val="00EF6554"/>
    <w:rsid w:val="00EF68C8"/>
    <w:rsid w:val="00EF6EB7"/>
    <w:rsid w:val="00F0127E"/>
    <w:rsid w:val="00F01478"/>
    <w:rsid w:val="00F03653"/>
    <w:rsid w:val="00F05BCA"/>
    <w:rsid w:val="00F07A4A"/>
    <w:rsid w:val="00F07B88"/>
    <w:rsid w:val="00F11AEE"/>
    <w:rsid w:val="00F133EF"/>
    <w:rsid w:val="00F14849"/>
    <w:rsid w:val="00F15197"/>
    <w:rsid w:val="00F15D7E"/>
    <w:rsid w:val="00F17991"/>
    <w:rsid w:val="00F17FB3"/>
    <w:rsid w:val="00F200AD"/>
    <w:rsid w:val="00F2017E"/>
    <w:rsid w:val="00F21BA0"/>
    <w:rsid w:val="00F243BB"/>
    <w:rsid w:val="00F25514"/>
    <w:rsid w:val="00F271B8"/>
    <w:rsid w:val="00F4050B"/>
    <w:rsid w:val="00F43E0F"/>
    <w:rsid w:val="00F46160"/>
    <w:rsid w:val="00F46C06"/>
    <w:rsid w:val="00F4718D"/>
    <w:rsid w:val="00F51986"/>
    <w:rsid w:val="00F53BAE"/>
    <w:rsid w:val="00F6166C"/>
    <w:rsid w:val="00F62F83"/>
    <w:rsid w:val="00F63DCC"/>
    <w:rsid w:val="00F70102"/>
    <w:rsid w:val="00F72B9F"/>
    <w:rsid w:val="00F73413"/>
    <w:rsid w:val="00F76CA6"/>
    <w:rsid w:val="00F77959"/>
    <w:rsid w:val="00F82680"/>
    <w:rsid w:val="00F8425A"/>
    <w:rsid w:val="00F85A73"/>
    <w:rsid w:val="00F85C36"/>
    <w:rsid w:val="00F86CAE"/>
    <w:rsid w:val="00F909DC"/>
    <w:rsid w:val="00F90A41"/>
    <w:rsid w:val="00F912B3"/>
    <w:rsid w:val="00F916C4"/>
    <w:rsid w:val="00F9307B"/>
    <w:rsid w:val="00F95939"/>
    <w:rsid w:val="00F960E9"/>
    <w:rsid w:val="00F97EEF"/>
    <w:rsid w:val="00FA0C7A"/>
    <w:rsid w:val="00FA0E30"/>
    <w:rsid w:val="00FA3214"/>
    <w:rsid w:val="00FA7CB6"/>
    <w:rsid w:val="00FB0E7F"/>
    <w:rsid w:val="00FB1F8B"/>
    <w:rsid w:val="00FB2A68"/>
    <w:rsid w:val="00FC0090"/>
    <w:rsid w:val="00FC0253"/>
    <w:rsid w:val="00FC359E"/>
    <w:rsid w:val="00FC3AA7"/>
    <w:rsid w:val="00FC41C6"/>
    <w:rsid w:val="00FC65EA"/>
    <w:rsid w:val="00FC6C77"/>
    <w:rsid w:val="00FC70D3"/>
    <w:rsid w:val="00FD146D"/>
    <w:rsid w:val="00FD2AD8"/>
    <w:rsid w:val="00FD2E41"/>
    <w:rsid w:val="00FD35CC"/>
    <w:rsid w:val="00FD39D9"/>
    <w:rsid w:val="00FD67D0"/>
    <w:rsid w:val="00FE0F29"/>
    <w:rsid w:val="00FE2A4B"/>
    <w:rsid w:val="00FE2D5B"/>
    <w:rsid w:val="00FE2EF3"/>
    <w:rsid w:val="00FE3CF5"/>
    <w:rsid w:val="00FE6951"/>
    <w:rsid w:val="00FF0E30"/>
    <w:rsid w:val="00FF239E"/>
    <w:rsid w:val="00FF3176"/>
    <w:rsid w:val="00FF3475"/>
    <w:rsid w:val="00FF3ABF"/>
    <w:rsid w:val="00FF5110"/>
    <w:rsid w:val="00FF53E4"/>
    <w:rsid w:val="00FF5B57"/>
    <w:rsid w:val="0136FDCB"/>
    <w:rsid w:val="0154EAE8"/>
    <w:rsid w:val="021DE830"/>
    <w:rsid w:val="021E0198"/>
    <w:rsid w:val="02751F07"/>
    <w:rsid w:val="0314F07B"/>
    <w:rsid w:val="032D92DC"/>
    <w:rsid w:val="03350214"/>
    <w:rsid w:val="033BA51F"/>
    <w:rsid w:val="0376E618"/>
    <w:rsid w:val="03A65213"/>
    <w:rsid w:val="03A8A2C8"/>
    <w:rsid w:val="03E22D23"/>
    <w:rsid w:val="04059372"/>
    <w:rsid w:val="040E522F"/>
    <w:rsid w:val="045CBC4A"/>
    <w:rsid w:val="04AE0E6B"/>
    <w:rsid w:val="04BC0A86"/>
    <w:rsid w:val="04C295E0"/>
    <w:rsid w:val="04C74930"/>
    <w:rsid w:val="04C92211"/>
    <w:rsid w:val="0533A842"/>
    <w:rsid w:val="05623FF3"/>
    <w:rsid w:val="057ECCF8"/>
    <w:rsid w:val="0591BE63"/>
    <w:rsid w:val="05F88CAB"/>
    <w:rsid w:val="062AE185"/>
    <w:rsid w:val="0686A1F6"/>
    <w:rsid w:val="0690D44D"/>
    <w:rsid w:val="06CEE8CF"/>
    <w:rsid w:val="0712695D"/>
    <w:rsid w:val="07397D65"/>
    <w:rsid w:val="0758F691"/>
    <w:rsid w:val="07AE87D7"/>
    <w:rsid w:val="07E1DF85"/>
    <w:rsid w:val="07E7A62C"/>
    <w:rsid w:val="081A238D"/>
    <w:rsid w:val="086307B4"/>
    <w:rsid w:val="08A3F01A"/>
    <w:rsid w:val="08A42C2C"/>
    <w:rsid w:val="08E39C93"/>
    <w:rsid w:val="0914A82B"/>
    <w:rsid w:val="091B4390"/>
    <w:rsid w:val="093F1AB6"/>
    <w:rsid w:val="09A10357"/>
    <w:rsid w:val="09CC896F"/>
    <w:rsid w:val="0A169D54"/>
    <w:rsid w:val="0A1728EA"/>
    <w:rsid w:val="0AE94494"/>
    <w:rsid w:val="0AF7FF31"/>
    <w:rsid w:val="0B294EA7"/>
    <w:rsid w:val="0B873F4C"/>
    <w:rsid w:val="0BBEB8A1"/>
    <w:rsid w:val="0BCB00D3"/>
    <w:rsid w:val="0C0FD51C"/>
    <w:rsid w:val="0C20C72D"/>
    <w:rsid w:val="0C3A753C"/>
    <w:rsid w:val="0C3E48A2"/>
    <w:rsid w:val="0C932A60"/>
    <w:rsid w:val="0CA7B959"/>
    <w:rsid w:val="0D07E293"/>
    <w:rsid w:val="0D371631"/>
    <w:rsid w:val="0D6CD019"/>
    <w:rsid w:val="0E32A355"/>
    <w:rsid w:val="0E41A4E4"/>
    <w:rsid w:val="0E646E8E"/>
    <w:rsid w:val="0E9F9E1C"/>
    <w:rsid w:val="0EB5775F"/>
    <w:rsid w:val="0F1AED6D"/>
    <w:rsid w:val="0F5104D6"/>
    <w:rsid w:val="0F7E9010"/>
    <w:rsid w:val="0F8576CE"/>
    <w:rsid w:val="0F89B054"/>
    <w:rsid w:val="0FAC3538"/>
    <w:rsid w:val="100497DD"/>
    <w:rsid w:val="10059B2A"/>
    <w:rsid w:val="1026010E"/>
    <w:rsid w:val="10948552"/>
    <w:rsid w:val="109E71F6"/>
    <w:rsid w:val="10E222B5"/>
    <w:rsid w:val="10ECD537"/>
    <w:rsid w:val="116240E2"/>
    <w:rsid w:val="1163A29B"/>
    <w:rsid w:val="116740B5"/>
    <w:rsid w:val="11A89D05"/>
    <w:rsid w:val="11AFD3CB"/>
    <w:rsid w:val="11F58870"/>
    <w:rsid w:val="11F833ED"/>
    <w:rsid w:val="12076D52"/>
    <w:rsid w:val="1223DE5E"/>
    <w:rsid w:val="123A4257"/>
    <w:rsid w:val="123D70BE"/>
    <w:rsid w:val="12414347"/>
    <w:rsid w:val="124D54A9"/>
    <w:rsid w:val="125DD527"/>
    <w:rsid w:val="1261D195"/>
    <w:rsid w:val="1282F115"/>
    <w:rsid w:val="129AF4F4"/>
    <w:rsid w:val="12B3BA8C"/>
    <w:rsid w:val="135FA036"/>
    <w:rsid w:val="137E9970"/>
    <w:rsid w:val="13A593BD"/>
    <w:rsid w:val="13D4B862"/>
    <w:rsid w:val="13E170F8"/>
    <w:rsid w:val="13FE19F3"/>
    <w:rsid w:val="141EC176"/>
    <w:rsid w:val="149EE177"/>
    <w:rsid w:val="14ACDC68"/>
    <w:rsid w:val="14D6262A"/>
    <w:rsid w:val="14EC7E73"/>
    <w:rsid w:val="152F53BD"/>
    <w:rsid w:val="1571E319"/>
    <w:rsid w:val="157F703C"/>
    <w:rsid w:val="1581A085"/>
    <w:rsid w:val="1586B02A"/>
    <w:rsid w:val="15D8085A"/>
    <w:rsid w:val="163E8B68"/>
    <w:rsid w:val="164ED9F1"/>
    <w:rsid w:val="165C9B9E"/>
    <w:rsid w:val="167D24C6"/>
    <w:rsid w:val="172CAAF8"/>
    <w:rsid w:val="17566238"/>
    <w:rsid w:val="176CAA48"/>
    <w:rsid w:val="17A1B0CC"/>
    <w:rsid w:val="17E9E3C6"/>
    <w:rsid w:val="17ED4156"/>
    <w:rsid w:val="181CAAF3"/>
    <w:rsid w:val="182137DE"/>
    <w:rsid w:val="18BBB23E"/>
    <w:rsid w:val="1931B152"/>
    <w:rsid w:val="197A4020"/>
    <w:rsid w:val="19958C10"/>
    <w:rsid w:val="19B6803B"/>
    <w:rsid w:val="19D5D7F7"/>
    <w:rsid w:val="1A422D0E"/>
    <w:rsid w:val="1A81A454"/>
    <w:rsid w:val="1A8DF76E"/>
    <w:rsid w:val="1AB127E7"/>
    <w:rsid w:val="1B116FD1"/>
    <w:rsid w:val="1B1465DE"/>
    <w:rsid w:val="1B161081"/>
    <w:rsid w:val="1B67B958"/>
    <w:rsid w:val="1BB03DD1"/>
    <w:rsid w:val="1BC479EA"/>
    <w:rsid w:val="1BCE562F"/>
    <w:rsid w:val="1BDF64B9"/>
    <w:rsid w:val="1BE5447F"/>
    <w:rsid w:val="1C77F734"/>
    <w:rsid w:val="1C9190DE"/>
    <w:rsid w:val="1CB1E0E2"/>
    <w:rsid w:val="1CE6F0AC"/>
    <w:rsid w:val="1D310FDB"/>
    <w:rsid w:val="1DD345C5"/>
    <w:rsid w:val="1E280DFF"/>
    <w:rsid w:val="1E6B2932"/>
    <w:rsid w:val="1E772981"/>
    <w:rsid w:val="1E832FB5"/>
    <w:rsid w:val="1EC6F01D"/>
    <w:rsid w:val="1EE4BA6E"/>
    <w:rsid w:val="1F4B7E81"/>
    <w:rsid w:val="1FA27A4D"/>
    <w:rsid w:val="2042E64A"/>
    <w:rsid w:val="20883ADB"/>
    <w:rsid w:val="20D4EF3F"/>
    <w:rsid w:val="210823C3"/>
    <w:rsid w:val="21133CFE"/>
    <w:rsid w:val="217F38C4"/>
    <w:rsid w:val="21855205"/>
    <w:rsid w:val="21B36B62"/>
    <w:rsid w:val="221A53A5"/>
    <w:rsid w:val="2227533F"/>
    <w:rsid w:val="2231F7F5"/>
    <w:rsid w:val="2249E249"/>
    <w:rsid w:val="22831F43"/>
    <w:rsid w:val="22A0922B"/>
    <w:rsid w:val="22DDEE57"/>
    <w:rsid w:val="22FE3542"/>
    <w:rsid w:val="231ED41D"/>
    <w:rsid w:val="23505749"/>
    <w:rsid w:val="23C323A0"/>
    <w:rsid w:val="23D0A5B3"/>
    <w:rsid w:val="23E26EE8"/>
    <w:rsid w:val="23F159B6"/>
    <w:rsid w:val="2419AD3E"/>
    <w:rsid w:val="244302E4"/>
    <w:rsid w:val="245A9AB0"/>
    <w:rsid w:val="251B7759"/>
    <w:rsid w:val="25280D25"/>
    <w:rsid w:val="2549A651"/>
    <w:rsid w:val="25808420"/>
    <w:rsid w:val="25BAC005"/>
    <w:rsid w:val="26054F56"/>
    <w:rsid w:val="260C4864"/>
    <w:rsid w:val="265F3799"/>
    <w:rsid w:val="26C9BF14"/>
    <w:rsid w:val="26E59FBF"/>
    <w:rsid w:val="26EA7BF7"/>
    <w:rsid w:val="2728C55D"/>
    <w:rsid w:val="272F9504"/>
    <w:rsid w:val="27673EAC"/>
    <w:rsid w:val="282F3995"/>
    <w:rsid w:val="2835DD81"/>
    <w:rsid w:val="28914271"/>
    <w:rsid w:val="28B62299"/>
    <w:rsid w:val="29314207"/>
    <w:rsid w:val="297FDFC2"/>
    <w:rsid w:val="299CA061"/>
    <w:rsid w:val="29AE9BFE"/>
    <w:rsid w:val="2A17EEAD"/>
    <w:rsid w:val="2A3EEF6C"/>
    <w:rsid w:val="2A91B304"/>
    <w:rsid w:val="2AA67B1C"/>
    <w:rsid w:val="2AD0657F"/>
    <w:rsid w:val="2AF48F8A"/>
    <w:rsid w:val="2B01635A"/>
    <w:rsid w:val="2B03C548"/>
    <w:rsid w:val="2B16D9EB"/>
    <w:rsid w:val="2B2C344B"/>
    <w:rsid w:val="2B81CA5A"/>
    <w:rsid w:val="2B81F41B"/>
    <w:rsid w:val="2BAACE83"/>
    <w:rsid w:val="2BCA08B6"/>
    <w:rsid w:val="2C0985FA"/>
    <w:rsid w:val="2C3C8BA5"/>
    <w:rsid w:val="2C525E44"/>
    <w:rsid w:val="2C624C53"/>
    <w:rsid w:val="2C764D8B"/>
    <w:rsid w:val="2CF9723B"/>
    <w:rsid w:val="2DC23989"/>
    <w:rsid w:val="2DEBA7FF"/>
    <w:rsid w:val="2E63154C"/>
    <w:rsid w:val="2ECE5BC4"/>
    <w:rsid w:val="2F65ECD6"/>
    <w:rsid w:val="2F6C64FE"/>
    <w:rsid w:val="2FABE01D"/>
    <w:rsid w:val="2FADEE4D"/>
    <w:rsid w:val="2FB3869C"/>
    <w:rsid w:val="2FDF3262"/>
    <w:rsid w:val="300CC9EE"/>
    <w:rsid w:val="30526C41"/>
    <w:rsid w:val="30949865"/>
    <w:rsid w:val="3095E090"/>
    <w:rsid w:val="30B00470"/>
    <w:rsid w:val="30D62C0E"/>
    <w:rsid w:val="312A580A"/>
    <w:rsid w:val="31333502"/>
    <w:rsid w:val="3185A0F9"/>
    <w:rsid w:val="31C9E1B5"/>
    <w:rsid w:val="31CF19C1"/>
    <w:rsid w:val="31EE4E9C"/>
    <w:rsid w:val="321933B9"/>
    <w:rsid w:val="323891DA"/>
    <w:rsid w:val="32885820"/>
    <w:rsid w:val="3290A130"/>
    <w:rsid w:val="32BBDEC7"/>
    <w:rsid w:val="32D8244D"/>
    <w:rsid w:val="333363DB"/>
    <w:rsid w:val="3360260D"/>
    <w:rsid w:val="33BCF6CD"/>
    <w:rsid w:val="33F6CBAE"/>
    <w:rsid w:val="34111005"/>
    <w:rsid w:val="3426A601"/>
    <w:rsid w:val="34395DF9"/>
    <w:rsid w:val="34B9C88B"/>
    <w:rsid w:val="34C5A9B7"/>
    <w:rsid w:val="35809BBE"/>
    <w:rsid w:val="360FC50F"/>
    <w:rsid w:val="36748945"/>
    <w:rsid w:val="369296DC"/>
    <w:rsid w:val="36FC4F35"/>
    <w:rsid w:val="36FCBF88"/>
    <w:rsid w:val="371F3450"/>
    <w:rsid w:val="37498188"/>
    <w:rsid w:val="37599A45"/>
    <w:rsid w:val="37645C9F"/>
    <w:rsid w:val="377A65F6"/>
    <w:rsid w:val="377D39B0"/>
    <w:rsid w:val="37AB9570"/>
    <w:rsid w:val="37D96273"/>
    <w:rsid w:val="37E84967"/>
    <w:rsid w:val="37EAADF3"/>
    <w:rsid w:val="38276F3D"/>
    <w:rsid w:val="384BFAE9"/>
    <w:rsid w:val="390CCF1C"/>
    <w:rsid w:val="39151487"/>
    <w:rsid w:val="392F80CD"/>
    <w:rsid w:val="394DDBC8"/>
    <w:rsid w:val="3961DF24"/>
    <w:rsid w:val="39A6B98A"/>
    <w:rsid w:val="39C2A0B9"/>
    <w:rsid w:val="39C853C1"/>
    <w:rsid w:val="39D7483A"/>
    <w:rsid w:val="3AAC349C"/>
    <w:rsid w:val="3B5423EC"/>
    <w:rsid w:val="3B966B24"/>
    <w:rsid w:val="3BEDDCD9"/>
    <w:rsid w:val="3C30782B"/>
    <w:rsid w:val="3CB0E1F2"/>
    <w:rsid w:val="3D2EB983"/>
    <w:rsid w:val="3D624649"/>
    <w:rsid w:val="3E4CEBD4"/>
    <w:rsid w:val="3E595907"/>
    <w:rsid w:val="3E6AF449"/>
    <w:rsid w:val="3E795455"/>
    <w:rsid w:val="3EDE2EBA"/>
    <w:rsid w:val="3F0E99E7"/>
    <w:rsid w:val="3F63A91F"/>
    <w:rsid w:val="3F68ECBD"/>
    <w:rsid w:val="3FD0F7B4"/>
    <w:rsid w:val="3FE0D8F2"/>
    <w:rsid w:val="40037CD0"/>
    <w:rsid w:val="4008CFB7"/>
    <w:rsid w:val="405C734F"/>
    <w:rsid w:val="40B68729"/>
    <w:rsid w:val="40C7B844"/>
    <w:rsid w:val="40C9FD04"/>
    <w:rsid w:val="40D0CA66"/>
    <w:rsid w:val="40D12CCE"/>
    <w:rsid w:val="40F1A320"/>
    <w:rsid w:val="411FCE87"/>
    <w:rsid w:val="412E9CB7"/>
    <w:rsid w:val="41667B8C"/>
    <w:rsid w:val="41739D77"/>
    <w:rsid w:val="41DD137F"/>
    <w:rsid w:val="426CED85"/>
    <w:rsid w:val="426D7D2A"/>
    <w:rsid w:val="427A5B7F"/>
    <w:rsid w:val="43257F97"/>
    <w:rsid w:val="435C0EA3"/>
    <w:rsid w:val="438FD12F"/>
    <w:rsid w:val="43E61D49"/>
    <w:rsid w:val="441238B3"/>
    <w:rsid w:val="44BC1A9B"/>
    <w:rsid w:val="44CFEBC7"/>
    <w:rsid w:val="44E83EA7"/>
    <w:rsid w:val="44F7DF04"/>
    <w:rsid w:val="44FB0632"/>
    <w:rsid w:val="450C6B0D"/>
    <w:rsid w:val="45449F25"/>
    <w:rsid w:val="454D6B11"/>
    <w:rsid w:val="456F0307"/>
    <w:rsid w:val="45D632E7"/>
    <w:rsid w:val="4604F036"/>
    <w:rsid w:val="4620F0AB"/>
    <w:rsid w:val="462E1353"/>
    <w:rsid w:val="463B4121"/>
    <w:rsid w:val="4674F8E4"/>
    <w:rsid w:val="46DED4DA"/>
    <w:rsid w:val="479BA0A7"/>
    <w:rsid w:val="47DC9B72"/>
    <w:rsid w:val="48197E97"/>
    <w:rsid w:val="48209EE4"/>
    <w:rsid w:val="485F006A"/>
    <w:rsid w:val="48CE891B"/>
    <w:rsid w:val="48CF3468"/>
    <w:rsid w:val="48E7F80F"/>
    <w:rsid w:val="48FD1DAE"/>
    <w:rsid w:val="4904135C"/>
    <w:rsid w:val="4929AAD1"/>
    <w:rsid w:val="49677A4E"/>
    <w:rsid w:val="49D106BE"/>
    <w:rsid w:val="4A2A7CA5"/>
    <w:rsid w:val="4A4F4B48"/>
    <w:rsid w:val="4AFC08B3"/>
    <w:rsid w:val="4B00C16A"/>
    <w:rsid w:val="4B2348DF"/>
    <w:rsid w:val="4B9F249A"/>
    <w:rsid w:val="4BAE5998"/>
    <w:rsid w:val="4BE69F7B"/>
    <w:rsid w:val="4C20AAE1"/>
    <w:rsid w:val="4C4F8ABF"/>
    <w:rsid w:val="4C62812E"/>
    <w:rsid w:val="4C8B02C6"/>
    <w:rsid w:val="4CEF327A"/>
    <w:rsid w:val="4D0B5F63"/>
    <w:rsid w:val="4D1150BB"/>
    <w:rsid w:val="4DD916F9"/>
    <w:rsid w:val="4E03C056"/>
    <w:rsid w:val="4F4210F5"/>
    <w:rsid w:val="4F754143"/>
    <w:rsid w:val="4F948517"/>
    <w:rsid w:val="4F9A21F0"/>
    <w:rsid w:val="4FC9BB1C"/>
    <w:rsid w:val="4FE2A5B1"/>
    <w:rsid w:val="50115303"/>
    <w:rsid w:val="507AE143"/>
    <w:rsid w:val="50F215DB"/>
    <w:rsid w:val="513BE318"/>
    <w:rsid w:val="51EA6167"/>
    <w:rsid w:val="520701F8"/>
    <w:rsid w:val="520B6A68"/>
    <w:rsid w:val="52355CDA"/>
    <w:rsid w:val="52625AB2"/>
    <w:rsid w:val="52A51261"/>
    <w:rsid w:val="52AA33F7"/>
    <w:rsid w:val="53205D3D"/>
    <w:rsid w:val="537CDB77"/>
    <w:rsid w:val="538E18FC"/>
    <w:rsid w:val="53A48D05"/>
    <w:rsid w:val="53BB3947"/>
    <w:rsid w:val="5433875E"/>
    <w:rsid w:val="54460458"/>
    <w:rsid w:val="54652172"/>
    <w:rsid w:val="5466CEB7"/>
    <w:rsid w:val="546864A2"/>
    <w:rsid w:val="54956F25"/>
    <w:rsid w:val="54FB3E57"/>
    <w:rsid w:val="5518C2F0"/>
    <w:rsid w:val="559DDE6E"/>
    <w:rsid w:val="55B1256E"/>
    <w:rsid w:val="562C061D"/>
    <w:rsid w:val="5664B7A0"/>
    <w:rsid w:val="56A1BE6B"/>
    <w:rsid w:val="56A6E007"/>
    <w:rsid w:val="56B49351"/>
    <w:rsid w:val="570EAF15"/>
    <w:rsid w:val="5732BAC6"/>
    <w:rsid w:val="574405BF"/>
    <w:rsid w:val="5746CBE9"/>
    <w:rsid w:val="575F5CCE"/>
    <w:rsid w:val="5766D0E2"/>
    <w:rsid w:val="57685C42"/>
    <w:rsid w:val="57FA9700"/>
    <w:rsid w:val="58543D42"/>
    <w:rsid w:val="58639847"/>
    <w:rsid w:val="586B1B97"/>
    <w:rsid w:val="587FCE6B"/>
    <w:rsid w:val="588BE87A"/>
    <w:rsid w:val="59C9F4FA"/>
    <w:rsid w:val="59CFBF1E"/>
    <w:rsid w:val="5A95DD32"/>
    <w:rsid w:val="5A9C16DA"/>
    <w:rsid w:val="5AB32973"/>
    <w:rsid w:val="5ABB93D8"/>
    <w:rsid w:val="5AC012FE"/>
    <w:rsid w:val="5AD5DDB7"/>
    <w:rsid w:val="5B5D7D01"/>
    <w:rsid w:val="5C705BC2"/>
    <w:rsid w:val="5C829554"/>
    <w:rsid w:val="5D6237B4"/>
    <w:rsid w:val="5D83A832"/>
    <w:rsid w:val="5DC34662"/>
    <w:rsid w:val="5DFBE639"/>
    <w:rsid w:val="5EBB9C08"/>
    <w:rsid w:val="5ED9FC83"/>
    <w:rsid w:val="5EEF0FEF"/>
    <w:rsid w:val="5F5FDC15"/>
    <w:rsid w:val="5F742157"/>
    <w:rsid w:val="5FB86EBF"/>
    <w:rsid w:val="5FC84E58"/>
    <w:rsid w:val="605163E8"/>
    <w:rsid w:val="60569EBA"/>
    <w:rsid w:val="6067311A"/>
    <w:rsid w:val="608E8170"/>
    <w:rsid w:val="60988D04"/>
    <w:rsid w:val="60B50BF4"/>
    <w:rsid w:val="60C03836"/>
    <w:rsid w:val="611617C4"/>
    <w:rsid w:val="6136AFF3"/>
    <w:rsid w:val="6154BBA4"/>
    <w:rsid w:val="616D0164"/>
    <w:rsid w:val="61B33730"/>
    <w:rsid w:val="61DB72C0"/>
    <w:rsid w:val="6209D608"/>
    <w:rsid w:val="620F67D2"/>
    <w:rsid w:val="62317B64"/>
    <w:rsid w:val="6234383D"/>
    <w:rsid w:val="623AC7AC"/>
    <w:rsid w:val="62580E42"/>
    <w:rsid w:val="625AE893"/>
    <w:rsid w:val="625C0897"/>
    <w:rsid w:val="62C93829"/>
    <w:rsid w:val="62CA02D3"/>
    <w:rsid w:val="6315F439"/>
    <w:rsid w:val="63601A91"/>
    <w:rsid w:val="636C784D"/>
    <w:rsid w:val="636F027C"/>
    <w:rsid w:val="63B4BA5F"/>
    <w:rsid w:val="63BC002B"/>
    <w:rsid w:val="63E3EF6A"/>
    <w:rsid w:val="63E636D1"/>
    <w:rsid w:val="6429D438"/>
    <w:rsid w:val="6430D8C9"/>
    <w:rsid w:val="644F6394"/>
    <w:rsid w:val="6489BDB8"/>
    <w:rsid w:val="64E3AA42"/>
    <w:rsid w:val="651997ED"/>
    <w:rsid w:val="65707982"/>
    <w:rsid w:val="66B5684E"/>
    <w:rsid w:val="66E6D5F8"/>
    <w:rsid w:val="67131F97"/>
    <w:rsid w:val="674294F6"/>
    <w:rsid w:val="67771F59"/>
    <w:rsid w:val="67C6A846"/>
    <w:rsid w:val="67D071DF"/>
    <w:rsid w:val="6832AC4C"/>
    <w:rsid w:val="6850292C"/>
    <w:rsid w:val="68868788"/>
    <w:rsid w:val="689122EF"/>
    <w:rsid w:val="68AD8001"/>
    <w:rsid w:val="68B8378E"/>
    <w:rsid w:val="68FA20A1"/>
    <w:rsid w:val="692D9951"/>
    <w:rsid w:val="69B000D5"/>
    <w:rsid w:val="69F4EB03"/>
    <w:rsid w:val="6A06803D"/>
    <w:rsid w:val="6A09706A"/>
    <w:rsid w:val="6A594199"/>
    <w:rsid w:val="6AAEC50B"/>
    <w:rsid w:val="6AB909F4"/>
    <w:rsid w:val="6B2F15A3"/>
    <w:rsid w:val="6B43A7B4"/>
    <w:rsid w:val="6B47C0BD"/>
    <w:rsid w:val="6B627D6A"/>
    <w:rsid w:val="6B88D971"/>
    <w:rsid w:val="6BF67B3F"/>
    <w:rsid w:val="6C16F9A2"/>
    <w:rsid w:val="6C232C41"/>
    <w:rsid w:val="6C43D8D2"/>
    <w:rsid w:val="6C9971C4"/>
    <w:rsid w:val="6CAE524A"/>
    <w:rsid w:val="6CDE0A41"/>
    <w:rsid w:val="6CDE21F2"/>
    <w:rsid w:val="6CFBD138"/>
    <w:rsid w:val="6CFE5813"/>
    <w:rsid w:val="6D05C374"/>
    <w:rsid w:val="6D24A9D2"/>
    <w:rsid w:val="6D2C8BC5"/>
    <w:rsid w:val="6D64FDE3"/>
    <w:rsid w:val="6D96D2C4"/>
    <w:rsid w:val="6D9AEDBF"/>
    <w:rsid w:val="6DB7FDE3"/>
    <w:rsid w:val="6E1AB04A"/>
    <w:rsid w:val="6E84977C"/>
    <w:rsid w:val="6EA65A86"/>
    <w:rsid w:val="6EC85C26"/>
    <w:rsid w:val="6F1914FE"/>
    <w:rsid w:val="6F7AB8CC"/>
    <w:rsid w:val="6F8FF417"/>
    <w:rsid w:val="6FBD069C"/>
    <w:rsid w:val="6FDF53E7"/>
    <w:rsid w:val="70BCAC53"/>
    <w:rsid w:val="70E64242"/>
    <w:rsid w:val="70EF9EA5"/>
    <w:rsid w:val="7181C36D"/>
    <w:rsid w:val="72577C72"/>
    <w:rsid w:val="731D93CE"/>
    <w:rsid w:val="73391310"/>
    <w:rsid w:val="73829663"/>
    <w:rsid w:val="739C0494"/>
    <w:rsid w:val="73BB05FA"/>
    <w:rsid w:val="73C7C362"/>
    <w:rsid w:val="73D5F9D9"/>
    <w:rsid w:val="740490A9"/>
    <w:rsid w:val="7411A3EC"/>
    <w:rsid w:val="741507EF"/>
    <w:rsid w:val="747A02EB"/>
    <w:rsid w:val="74A32F9E"/>
    <w:rsid w:val="74B081EC"/>
    <w:rsid w:val="74BE913E"/>
    <w:rsid w:val="74EDD627"/>
    <w:rsid w:val="74FB40E9"/>
    <w:rsid w:val="7598099F"/>
    <w:rsid w:val="75E38C5B"/>
    <w:rsid w:val="75E47E40"/>
    <w:rsid w:val="76319CEB"/>
    <w:rsid w:val="76542B46"/>
    <w:rsid w:val="77539AB0"/>
    <w:rsid w:val="775B6845"/>
    <w:rsid w:val="77DCDF43"/>
    <w:rsid w:val="77F34341"/>
    <w:rsid w:val="781F27BF"/>
    <w:rsid w:val="786DDEF8"/>
    <w:rsid w:val="78C0045E"/>
    <w:rsid w:val="78EDDF5D"/>
    <w:rsid w:val="79216DAA"/>
    <w:rsid w:val="794342B3"/>
    <w:rsid w:val="79918273"/>
    <w:rsid w:val="799A08DC"/>
    <w:rsid w:val="7A0740D0"/>
    <w:rsid w:val="7AAABC62"/>
    <w:rsid w:val="7ABD2491"/>
    <w:rsid w:val="7AC69F4B"/>
    <w:rsid w:val="7B74129A"/>
    <w:rsid w:val="7B82CF73"/>
    <w:rsid w:val="7BBB4D36"/>
    <w:rsid w:val="7BE001ED"/>
    <w:rsid w:val="7C65DB51"/>
    <w:rsid w:val="7C7D4230"/>
    <w:rsid w:val="7C96A3EB"/>
    <w:rsid w:val="7CBEC191"/>
    <w:rsid w:val="7D3F082C"/>
    <w:rsid w:val="7D456FF6"/>
    <w:rsid w:val="7D709F1B"/>
    <w:rsid w:val="7DD9D4CE"/>
    <w:rsid w:val="7E4485BD"/>
    <w:rsid w:val="7EA256FA"/>
    <w:rsid w:val="7ED3AA62"/>
    <w:rsid w:val="7EDAB1F3"/>
    <w:rsid w:val="7EE08160"/>
    <w:rsid w:val="7F00EA15"/>
    <w:rsid w:val="7F3FD334"/>
    <w:rsid w:val="7F43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176E9"/>
  <w15:chartTrackingRefBased/>
  <w15:docId w15:val="{B09D8A4B-87B8-4FCE-8E5D-0FFC1858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2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40FF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Ttulo2">
    <w:name w:val="heading 2"/>
    <w:basedOn w:val="Normal"/>
    <w:next w:val="Normal"/>
    <w:link w:val="Ttulo2Char"/>
    <w:qFormat/>
    <w:rsid w:val="004C40FF"/>
    <w:pPr>
      <w:keepNext/>
      <w:autoSpaceDE w:val="0"/>
      <w:autoSpaceDN w:val="0"/>
      <w:adjustRightInd w:val="0"/>
      <w:outlineLvl w:val="1"/>
    </w:pPr>
    <w:rPr>
      <w:b/>
      <w:bCs/>
      <w:color w:val="FF0000"/>
      <w:sz w:val="23"/>
      <w:szCs w:val="23"/>
    </w:rPr>
  </w:style>
  <w:style w:type="paragraph" w:styleId="Ttulo3">
    <w:name w:val="heading 3"/>
    <w:basedOn w:val="Normal"/>
    <w:next w:val="Normal"/>
    <w:link w:val="Ttulo3Char"/>
    <w:qFormat/>
    <w:rsid w:val="004C40FF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28"/>
      <w:szCs w:val="23"/>
    </w:rPr>
  </w:style>
  <w:style w:type="paragraph" w:styleId="Ttulo4">
    <w:name w:val="heading 4"/>
    <w:basedOn w:val="Normal"/>
    <w:next w:val="Normal"/>
    <w:link w:val="Ttulo4Char"/>
    <w:qFormat/>
    <w:rsid w:val="004C40FF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36"/>
      <w:szCs w:val="23"/>
    </w:rPr>
  </w:style>
  <w:style w:type="paragraph" w:styleId="Ttulo5">
    <w:name w:val="heading 5"/>
    <w:basedOn w:val="Normal"/>
    <w:next w:val="Normal"/>
    <w:link w:val="Ttulo5Char"/>
    <w:qFormat/>
    <w:rsid w:val="004C40FF"/>
    <w:pPr>
      <w:keepNext/>
      <w:autoSpaceDE w:val="0"/>
      <w:autoSpaceDN w:val="0"/>
      <w:adjustRightInd w:val="0"/>
      <w:outlineLvl w:val="4"/>
    </w:pPr>
    <w:rPr>
      <w:rFonts w:ascii="Arial" w:hAnsi="Arial" w:cs="Arial"/>
      <w:sz w:val="28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C40FF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3"/>
      <w:szCs w:val="23"/>
    </w:rPr>
  </w:style>
  <w:style w:type="paragraph" w:styleId="Corpodetexto2">
    <w:name w:val="Body Text 2"/>
    <w:basedOn w:val="Normal"/>
    <w:link w:val="Corpodetexto2Char"/>
    <w:semiHidden/>
    <w:rsid w:val="004C40FF"/>
    <w:pPr>
      <w:autoSpaceDE w:val="0"/>
      <w:autoSpaceDN w:val="0"/>
      <w:adjustRightInd w:val="0"/>
    </w:pPr>
    <w:rPr>
      <w:rFonts w:ascii="Arial" w:hAnsi="Arial" w:cs="Arial"/>
      <w:color w:val="000000"/>
      <w:sz w:val="23"/>
    </w:rPr>
  </w:style>
  <w:style w:type="character" w:styleId="Refdecomentrio">
    <w:name w:val="annotation reference"/>
    <w:uiPriority w:val="99"/>
    <w:semiHidden/>
    <w:unhideWhenUsed/>
    <w:rsid w:val="006566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66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66D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6D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6D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6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66D8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A72B24"/>
    <w:rPr>
      <w:rFonts w:ascii="Arial" w:hAnsi="Arial" w:cs="Arial"/>
      <w:b/>
      <w:bCs/>
      <w:color w:val="000000"/>
      <w:sz w:val="23"/>
      <w:szCs w:val="23"/>
    </w:rPr>
  </w:style>
  <w:style w:type="character" w:customStyle="1" w:styleId="Ttulo3Char">
    <w:name w:val="Título 3 Char"/>
    <w:link w:val="Ttulo3"/>
    <w:rsid w:val="00A72B24"/>
    <w:rPr>
      <w:rFonts w:ascii="Arial" w:hAnsi="Arial" w:cs="Arial"/>
      <w:b/>
      <w:bCs/>
      <w:color w:val="000000"/>
      <w:sz w:val="28"/>
      <w:szCs w:val="23"/>
    </w:rPr>
  </w:style>
  <w:style w:type="character" w:customStyle="1" w:styleId="Ttulo4Char">
    <w:name w:val="Título 4 Char"/>
    <w:link w:val="Ttulo4"/>
    <w:rsid w:val="00A72B24"/>
    <w:rPr>
      <w:rFonts w:ascii="Arial" w:hAnsi="Arial" w:cs="Arial"/>
      <w:b/>
      <w:bCs/>
      <w:color w:val="000000"/>
      <w:sz w:val="36"/>
      <w:szCs w:val="23"/>
    </w:rPr>
  </w:style>
  <w:style w:type="character" w:customStyle="1" w:styleId="CorpodetextoChar">
    <w:name w:val="Corpo de texto Char"/>
    <w:link w:val="Corpodetexto"/>
    <w:semiHidden/>
    <w:rsid w:val="00A72B24"/>
    <w:rPr>
      <w:rFonts w:ascii="Arial" w:hAnsi="Arial" w:cs="Arial"/>
      <w:color w:val="000000"/>
      <w:sz w:val="23"/>
      <w:szCs w:val="23"/>
    </w:rPr>
  </w:style>
  <w:style w:type="character" w:customStyle="1" w:styleId="Corpodetexto2Char">
    <w:name w:val="Corpo de texto 2 Char"/>
    <w:link w:val="Corpodetexto2"/>
    <w:semiHidden/>
    <w:rsid w:val="00A72B24"/>
    <w:rPr>
      <w:rFonts w:ascii="Arial" w:hAnsi="Arial" w:cs="Arial"/>
      <w:color w:val="000000"/>
      <w:sz w:val="23"/>
      <w:szCs w:val="24"/>
    </w:rPr>
  </w:style>
  <w:style w:type="character" w:customStyle="1" w:styleId="Ttulo2Char">
    <w:name w:val="Título 2 Char"/>
    <w:link w:val="Ttulo2"/>
    <w:rsid w:val="00A72B24"/>
    <w:rPr>
      <w:b/>
      <w:bCs/>
      <w:color w:val="FF0000"/>
      <w:sz w:val="23"/>
      <w:szCs w:val="23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Reviso">
    <w:name w:val="Revision"/>
    <w:hidden/>
    <w:uiPriority w:val="99"/>
    <w:semiHidden/>
    <w:rsid w:val="005C5651"/>
    <w:rPr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049F7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rsid w:val="00FC6C77"/>
    <w:rPr>
      <w:rFonts w:ascii="Arial" w:hAnsi="Arial" w:cs="Arial"/>
      <w:sz w:val="28"/>
      <w:szCs w:val="2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8013">
                              <w:marLeft w:val="167"/>
                              <w:marRight w:val="2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78722">
                                  <w:marLeft w:val="0"/>
                                  <w:marRight w:val="0"/>
                                  <w:marTop w:val="48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1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4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2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2841">
                              <w:marLeft w:val="167"/>
                              <w:marRight w:val="2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6156">
                                  <w:marLeft w:val="0"/>
                                  <w:marRight w:val="0"/>
                                  <w:marTop w:val="48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5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8013">
                              <w:marLeft w:val="167"/>
                              <w:marRight w:val="2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6145">
                                  <w:marLeft w:val="0"/>
                                  <w:marRight w:val="0"/>
                                  <w:marTop w:val="48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4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0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single" w:sz="48" w:space="0" w:color="FFFFFF"/>
                <w:right w:val="single" w:sz="6" w:space="0" w:color="E6E6E6"/>
              </w:divBdr>
              <w:divsChild>
                <w:div w:id="1983194447">
                  <w:marLeft w:val="2580"/>
                  <w:marRight w:val="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4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E5E5E5"/>
                        <w:left w:val="single" w:sz="6" w:space="1" w:color="E5E5E5"/>
                        <w:bottom w:val="single" w:sz="6" w:space="1" w:color="E5E5E5"/>
                        <w:right w:val="single" w:sz="6" w:space="1" w:color="E5E5E5"/>
                      </w:divBdr>
                      <w:divsChild>
                        <w:div w:id="5846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/assuntos/distribuicao-e-revenda/comercializacao-de-biodies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C990-3A18-452A-813A-BDFFF12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3128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SEÇÃO 4 – BIOCOMBUSTÍVEIS</vt:lpstr>
    </vt:vector>
  </TitlesOfParts>
  <Company>Anp</Company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SEÇÃO 4 – BIOCOMBUSTÍVEIS</dc:title>
  <dc:subject/>
  <dc:creator>Anp</dc:creator>
  <cp:keywords/>
  <cp:lastModifiedBy>Jose Lopes de Souza</cp:lastModifiedBy>
  <cp:revision>6</cp:revision>
  <cp:lastPrinted>2019-04-03T18:46:00Z</cp:lastPrinted>
  <dcterms:created xsi:type="dcterms:W3CDTF">2026-06-14T22:11:00Z</dcterms:created>
  <dcterms:modified xsi:type="dcterms:W3CDTF">2026-06-16T15:32:00Z</dcterms:modified>
</cp:coreProperties>
</file>