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999556C" w14:textId="6B96916B" w:rsidR="0041466A" w:rsidRPr="00BB1CEE" w:rsidRDefault="0041466A" w:rsidP="0041466A">
      <w:pPr>
        <w:autoSpaceDE w:val="0"/>
        <w:autoSpaceDN w:val="0"/>
        <w:adjustRightInd w:val="0"/>
        <w:jc w:val="both"/>
        <w:rPr>
          <w:rFonts w:ascii="Arial" w:hAnsi="Arial" w:cs="Arial"/>
          <w:b/>
          <w:bCs/>
          <w:color w:val="000000"/>
        </w:rPr>
      </w:pPr>
      <w:r w:rsidRPr="00BB1CEE">
        <w:rPr>
          <w:rFonts w:ascii="Arial" w:hAnsi="Arial" w:cs="Arial"/>
          <w:b/>
          <w:bCs/>
          <w:color w:val="000000"/>
        </w:rPr>
        <w:t xml:space="preserve">SEÇÃO 2 – </w:t>
      </w:r>
      <w:r w:rsidR="00FE5B8D" w:rsidRPr="00BB1CEE">
        <w:rPr>
          <w:rFonts w:ascii="Arial" w:hAnsi="Arial" w:cs="Arial"/>
          <w:b/>
          <w:bCs/>
          <w:color w:val="000000"/>
        </w:rPr>
        <w:t>INDÚSTRIA NACIONAL DO PETRÓLEO E DO GÁS NATURAL</w:t>
      </w:r>
    </w:p>
    <w:p w14:paraId="3A6F104A" w14:textId="77777777" w:rsidR="0041466A" w:rsidRPr="00BB1CEE" w:rsidRDefault="0041466A" w:rsidP="0041466A">
      <w:pPr>
        <w:autoSpaceDE w:val="0"/>
        <w:autoSpaceDN w:val="0"/>
        <w:adjustRightInd w:val="0"/>
        <w:jc w:val="both"/>
        <w:rPr>
          <w:rFonts w:ascii="Arial" w:hAnsi="Arial" w:cs="Arial"/>
          <w:b/>
          <w:bCs/>
          <w:color w:val="000000"/>
        </w:rPr>
      </w:pPr>
    </w:p>
    <w:p w14:paraId="51D0AA9E" w14:textId="08E7BC8D" w:rsidR="0041466A" w:rsidRPr="00BB1CEE" w:rsidRDefault="00D356DE" w:rsidP="0041466A">
      <w:pPr>
        <w:autoSpaceDE w:val="0"/>
        <w:autoSpaceDN w:val="0"/>
        <w:adjustRightInd w:val="0"/>
        <w:jc w:val="both"/>
        <w:rPr>
          <w:rFonts w:ascii="Arial" w:hAnsi="Arial" w:cs="Arial"/>
          <w:b/>
          <w:bCs/>
          <w:color w:val="000000"/>
        </w:rPr>
      </w:pPr>
      <w:r>
        <w:rPr>
          <w:rFonts w:ascii="Arial" w:hAnsi="Arial" w:cs="Arial"/>
          <w:b/>
          <w:bCs/>
          <w:color w:val="000000"/>
        </w:rPr>
        <w:t>2.1</w:t>
      </w:r>
      <w:r w:rsidR="00FE5B8D">
        <w:rPr>
          <w:rFonts w:ascii="Arial" w:hAnsi="Arial" w:cs="Arial"/>
          <w:b/>
          <w:bCs/>
          <w:color w:val="000000"/>
        </w:rPr>
        <w:t xml:space="preserve"> </w:t>
      </w:r>
      <w:r w:rsidR="00582AFE" w:rsidRPr="00BB1CEE">
        <w:rPr>
          <w:rFonts w:ascii="Arial" w:hAnsi="Arial" w:cs="Arial"/>
          <w:b/>
          <w:bCs/>
          <w:color w:val="000000"/>
        </w:rPr>
        <w:t>EXPLORAÇÃO E PRODUÇÃO</w:t>
      </w:r>
    </w:p>
    <w:p w14:paraId="4D2E5108" w14:textId="77777777" w:rsidR="0041466A" w:rsidRPr="00BB1CEE" w:rsidRDefault="0041466A" w:rsidP="0041466A">
      <w:pPr>
        <w:autoSpaceDE w:val="0"/>
        <w:autoSpaceDN w:val="0"/>
        <w:adjustRightInd w:val="0"/>
        <w:jc w:val="both"/>
        <w:rPr>
          <w:rFonts w:ascii="Arial" w:hAnsi="Arial" w:cs="Arial"/>
          <w:color w:val="000000"/>
        </w:rPr>
      </w:pPr>
    </w:p>
    <w:p w14:paraId="04E76D63" w14:textId="614831A8" w:rsidR="0041466A" w:rsidRPr="00BB1CEE"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2.1</w:t>
      </w:r>
      <w:r w:rsidR="00FE5B8D">
        <w:rPr>
          <w:rFonts w:ascii="Arial" w:hAnsi="Arial" w:cs="Arial"/>
          <w:color w:val="000000" w:themeColor="text1"/>
        </w:rPr>
        <w:t>.</w:t>
      </w:r>
      <w:r w:rsidR="002A63F2">
        <w:rPr>
          <w:rFonts w:ascii="Arial" w:hAnsi="Arial" w:cs="Arial"/>
          <w:color w:val="000000" w:themeColor="text1"/>
        </w:rPr>
        <w:t>1</w:t>
      </w:r>
      <w:r w:rsidRPr="211A77E2">
        <w:rPr>
          <w:rFonts w:ascii="Arial" w:hAnsi="Arial" w:cs="Arial"/>
          <w:color w:val="000000" w:themeColor="text1"/>
        </w:rPr>
        <w:t xml:space="preserve"> </w:t>
      </w:r>
      <w:r w:rsidR="004E7CA9">
        <w:rPr>
          <w:rFonts w:ascii="Arial" w:hAnsi="Arial" w:cs="Arial"/>
          <w:color w:val="000000" w:themeColor="text1"/>
        </w:rPr>
        <w:t>B</w:t>
      </w:r>
      <w:r w:rsidR="004E7CA9" w:rsidRPr="211A77E2">
        <w:rPr>
          <w:rFonts w:ascii="Arial" w:hAnsi="Arial" w:cs="Arial"/>
          <w:color w:val="000000" w:themeColor="text1"/>
        </w:rPr>
        <w:t>locos na fase de exploração e campos em desenvolvimento e em produção sob contrato</w:t>
      </w:r>
    </w:p>
    <w:p w14:paraId="3D5C1B66" w14:textId="55D3C048"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2A63F2">
        <w:rPr>
          <w:rFonts w:ascii="Arial" w:hAnsi="Arial" w:cs="Arial"/>
          <w:color w:val="000000"/>
        </w:rPr>
        <w:t>1</w:t>
      </w:r>
      <w:r w:rsidR="00FE5B8D">
        <w:rPr>
          <w:rFonts w:ascii="Arial" w:hAnsi="Arial" w:cs="Arial"/>
          <w:color w:val="000000"/>
        </w:rPr>
        <w:t>.</w:t>
      </w:r>
      <w:r w:rsidRPr="00BB1CEE">
        <w:rPr>
          <w:rFonts w:ascii="Arial" w:hAnsi="Arial" w:cs="Arial"/>
          <w:color w:val="000000"/>
        </w:rPr>
        <w:t>2 A</w:t>
      </w:r>
      <w:r w:rsidR="00C259C6" w:rsidRPr="00BB1CEE">
        <w:rPr>
          <w:rFonts w:ascii="Arial" w:hAnsi="Arial" w:cs="Arial"/>
          <w:color w:val="000000"/>
        </w:rPr>
        <w:t>tividade</w:t>
      </w:r>
      <w:r w:rsidR="00C259C6">
        <w:rPr>
          <w:rFonts w:ascii="Arial" w:hAnsi="Arial" w:cs="Arial"/>
          <w:color w:val="000000"/>
        </w:rPr>
        <w:t>s</w:t>
      </w:r>
      <w:r w:rsidR="00C259C6" w:rsidRPr="00BB1CEE">
        <w:rPr>
          <w:rFonts w:ascii="Arial" w:hAnsi="Arial" w:cs="Arial"/>
          <w:color w:val="000000"/>
        </w:rPr>
        <w:t xml:space="preserve"> exploratória</w:t>
      </w:r>
      <w:r w:rsidR="00C259C6">
        <w:rPr>
          <w:rFonts w:ascii="Arial" w:hAnsi="Arial" w:cs="Arial"/>
          <w:color w:val="000000"/>
        </w:rPr>
        <w:t>s e explotatórias</w:t>
      </w:r>
    </w:p>
    <w:p w14:paraId="1193E6E2" w14:textId="1A2082D8"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1.</w:t>
      </w:r>
      <w:r w:rsidRPr="00BB1CEE">
        <w:rPr>
          <w:rFonts w:ascii="Arial" w:hAnsi="Arial" w:cs="Arial"/>
          <w:color w:val="000000"/>
        </w:rPr>
        <w:t xml:space="preserve">3 </w:t>
      </w:r>
      <w:r>
        <w:rPr>
          <w:rFonts w:ascii="Arial" w:hAnsi="Arial" w:cs="Arial"/>
          <w:color w:val="000000"/>
        </w:rPr>
        <w:t>R</w:t>
      </w:r>
      <w:r w:rsidRPr="00BB1CEE">
        <w:rPr>
          <w:rFonts w:ascii="Arial" w:hAnsi="Arial" w:cs="Arial"/>
          <w:color w:val="000000"/>
        </w:rPr>
        <w:t>eservas</w:t>
      </w:r>
    </w:p>
    <w:p w14:paraId="720D22DF" w14:textId="2E2E8239" w:rsidR="0041466A"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1.</w:t>
      </w:r>
      <w:r w:rsidRPr="00BB1CEE">
        <w:rPr>
          <w:rFonts w:ascii="Arial" w:hAnsi="Arial" w:cs="Arial"/>
          <w:color w:val="000000"/>
        </w:rPr>
        <w:t xml:space="preserve">4 </w:t>
      </w:r>
      <w:r>
        <w:rPr>
          <w:rFonts w:ascii="Arial" w:hAnsi="Arial" w:cs="Arial"/>
          <w:color w:val="000000"/>
        </w:rPr>
        <w:t>P</w:t>
      </w:r>
      <w:r w:rsidRPr="00BB1CEE">
        <w:rPr>
          <w:rFonts w:ascii="Arial" w:hAnsi="Arial" w:cs="Arial"/>
          <w:color w:val="000000"/>
        </w:rPr>
        <w:t>rodução</w:t>
      </w:r>
    </w:p>
    <w:p w14:paraId="7CFFBCBE" w14:textId="33B6441F" w:rsidR="0041466A" w:rsidRPr="00BB1CEE" w:rsidRDefault="004E7CA9" w:rsidP="0041466A">
      <w:pPr>
        <w:autoSpaceDE w:val="0"/>
        <w:autoSpaceDN w:val="0"/>
        <w:adjustRightInd w:val="0"/>
        <w:jc w:val="both"/>
        <w:rPr>
          <w:rFonts w:ascii="Arial" w:hAnsi="Arial" w:cs="Arial"/>
          <w:color w:val="000000"/>
        </w:rPr>
      </w:pPr>
      <w:r w:rsidRPr="00F30198">
        <w:rPr>
          <w:rFonts w:ascii="Arial" w:hAnsi="Arial" w:cs="Arial"/>
          <w:color w:val="000000"/>
        </w:rPr>
        <w:t>2.</w:t>
      </w:r>
      <w:r>
        <w:rPr>
          <w:rFonts w:ascii="Arial" w:hAnsi="Arial" w:cs="Arial"/>
          <w:color w:val="000000"/>
        </w:rPr>
        <w:t>1.</w:t>
      </w:r>
      <w:r w:rsidRPr="00F30198">
        <w:rPr>
          <w:rFonts w:ascii="Arial" w:hAnsi="Arial" w:cs="Arial"/>
          <w:color w:val="000000"/>
        </w:rPr>
        <w:t xml:space="preserve">5 </w:t>
      </w:r>
      <w:r>
        <w:rPr>
          <w:rFonts w:ascii="Arial" w:hAnsi="Arial" w:cs="Arial"/>
          <w:color w:val="000000"/>
        </w:rPr>
        <w:t>A</w:t>
      </w:r>
      <w:r w:rsidRPr="00F30198">
        <w:rPr>
          <w:rFonts w:ascii="Arial" w:hAnsi="Arial" w:cs="Arial"/>
          <w:color w:val="000000"/>
        </w:rPr>
        <w:t>ções de fiscalização e comunicação de incidentes nas atividades de exploração e produção</w:t>
      </w:r>
    </w:p>
    <w:p w14:paraId="79F8CF6A" w14:textId="6D4518C1" w:rsidR="0041466A" w:rsidRPr="00BB1CEE" w:rsidRDefault="004E7CA9" w:rsidP="0041466A">
      <w:pPr>
        <w:rPr>
          <w:rFonts w:ascii="Arial" w:hAnsi="Arial" w:cs="Arial"/>
          <w:color w:val="000000"/>
        </w:rPr>
      </w:pPr>
      <w:r w:rsidRPr="00BB1CEE">
        <w:rPr>
          <w:rFonts w:ascii="Arial" w:hAnsi="Arial" w:cs="Arial"/>
          <w:color w:val="000000"/>
        </w:rPr>
        <w:t>2.</w:t>
      </w:r>
      <w:r>
        <w:rPr>
          <w:rFonts w:ascii="Arial" w:hAnsi="Arial" w:cs="Arial"/>
          <w:color w:val="000000"/>
        </w:rPr>
        <w:t>1.6</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articipações governamentais e de terceiros</w:t>
      </w:r>
    </w:p>
    <w:p w14:paraId="593A023A" w14:textId="69000169"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1.7</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esquisa, desenvolvimento e inovação e formação de recursos humanos</w:t>
      </w:r>
    </w:p>
    <w:p w14:paraId="21745A7E" w14:textId="679AEF3D"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1.8</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reços de referência do petróleo e do gás natural</w:t>
      </w:r>
    </w:p>
    <w:p w14:paraId="07C04B13" w14:textId="77777777" w:rsidR="0041466A" w:rsidRPr="00BB1CEE" w:rsidRDefault="0041466A" w:rsidP="0041466A">
      <w:pPr>
        <w:autoSpaceDE w:val="0"/>
        <w:autoSpaceDN w:val="0"/>
        <w:adjustRightInd w:val="0"/>
        <w:jc w:val="both"/>
        <w:rPr>
          <w:rFonts w:ascii="Arial" w:hAnsi="Arial" w:cs="Arial"/>
          <w:b/>
          <w:bCs/>
          <w:color w:val="000000"/>
        </w:rPr>
      </w:pPr>
    </w:p>
    <w:p w14:paraId="770CCD53" w14:textId="525DB392" w:rsidR="0041466A" w:rsidRPr="00BB1CEE" w:rsidRDefault="002A63F2" w:rsidP="0041466A">
      <w:pPr>
        <w:autoSpaceDE w:val="0"/>
        <w:autoSpaceDN w:val="0"/>
        <w:adjustRightInd w:val="0"/>
        <w:jc w:val="both"/>
        <w:rPr>
          <w:rFonts w:ascii="Arial" w:hAnsi="Arial" w:cs="Arial"/>
          <w:b/>
          <w:bCs/>
          <w:color w:val="000000"/>
        </w:rPr>
      </w:pPr>
      <w:r>
        <w:rPr>
          <w:rFonts w:ascii="Arial" w:hAnsi="Arial" w:cs="Arial"/>
          <w:b/>
          <w:bCs/>
          <w:color w:val="000000"/>
        </w:rPr>
        <w:t>2.2</w:t>
      </w:r>
      <w:r w:rsidR="00FE5B8D">
        <w:rPr>
          <w:rFonts w:ascii="Arial" w:hAnsi="Arial" w:cs="Arial"/>
          <w:b/>
          <w:bCs/>
          <w:color w:val="000000"/>
        </w:rPr>
        <w:t xml:space="preserve"> </w:t>
      </w:r>
      <w:r w:rsidR="00582AFE" w:rsidRPr="00BB1CEE">
        <w:rPr>
          <w:rFonts w:ascii="Arial" w:hAnsi="Arial" w:cs="Arial"/>
          <w:b/>
          <w:bCs/>
          <w:color w:val="000000"/>
        </w:rPr>
        <w:t>REFINO E PROCESSAMENTO</w:t>
      </w:r>
    </w:p>
    <w:p w14:paraId="412DD68C" w14:textId="77777777" w:rsidR="0041466A" w:rsidRPr="00BB1CEE" w:rsidRDefault="0041466A" w:rsidP="0041466A">
      <w:pPr>
        <w:autoSpaceDE w:val="0"/>
        <w:autoSpaceDN w:val="0"/>
        <w:adjustRightInd w:val="0"/>
        <w:jc w:val="both"/>
        <w:rPr>
          <w:rFonts w:ascii="Arial" w:hAnsi="Arial" w:cs="Arial"/>
          <w:color w:val="000000"/>
        </w:rPr>
      </w:pPr>
    </w:p>
    <w:p w14:paraId="168C9A32" w14:textId="283200F8"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A32437">
        <w:rPr>
          <w:rFonts w:ascii="Arial" w:hAnsi="Arial" w:cs="Arial"/>
          <w:color w:val="000000"/>
        </w:rPr>
        <w:t>2</w:t>
      </w:r>
      <w:r w:rsidR="00FE5B8D">
        <w:rPr>
          <w:rFonts w:ascii="Arial" w:hAnsi="Arial" w:cs="Arial"/>
          <w:color w:val="000000"/>
        </w:rPr>
        <w:t>.</w:t>
      </w:r>
      <w:r w:rsidR="00A32437">
        <w:rPr>
          <w:rFonts w:ascii="Arial" w:hAnsi="Arial" w:cs="Arial"/>
          <w:color w:val="000000"/>
        </w:rPr>
        <w:t>1</w:t>
      </w:r>
      <w:r w:rsidR="00A32437" w:rsidRPr="00BB1CEE">
        <w:rPr>
          <w:rFonts w:ascii="Arial" w:hAnsi="Arial" w:cs="Arial"/>
          <w:color w:val="000000"/>
        </w:rPr>
        <w:t xml:space="preserve"> </w:t>
      </w:r>
      <w:r w:rsidR="004E7CA9">
        <w:rPr>
          <w:rFonts w:ascii="Arial" w:hAnsi="Arial" w:cs="Arial"/>
          <w:color w:val="000000"/>
        </w:rPr>
        <w:t>R</w:t>
      </w:r>
      <w:r w:rsidR="004E7CA9" w:rsidRPr="00BB1CEE">
        <w:rPr>
          <w:rFonts w:ascii="Arial" w:hAnsi="Arial" w:cs="Arial"/>
          <w:color w:val="000000"/>
        </w:rPr>
        <w:t>efino de petróleo</w:t>
      </w:r>
    </w:p>
    <w:p w14:paraId="2B0421C5" w14:textId="624C16C7"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2.2</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rocessamento de gás natural</w:t>
      </w:r>
    </w:p>
    <w:p w14:paraId="58903F7B" w14:textId="174B9B87"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2.3</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rodução de derivados de petróleo</w:t>
      </w:r>
    </w:p>
    <w:p w14:paraId="30E04560" w14:textId="1E449A4E"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2.4</w:t>
      </w:r>
      <w:r w:rsidRPr="00BB1CEE">
        <w:rPr>
          <w:rFonts w:ascii="Arial" w:hAnsi="Arial" w:cs="Arial"/>
          <w:color w:val="000000"/>
        </w:rPr>
        <w:t xml:space="preserve"> </w:t>
      </w:r>
      <w:r>
        <w:rPr>
          <w:rFonts w:ascii="Arial" w:hAnsi="Arial" w:cs="Arial"/>
          <w:color w:val="000000"/>
        </w:rPr>
        <w:t>P</w:t>
      </w:r>
      <w:r w:rsidRPr="00BB1CEE">
        <w:rPr>
          <w:rFonts w:ascii="Arial" w:hAnsi="Arial" w:cs="Arial"/>
          <w:color w:val="000000"/>
        </w:rPr>
        <w:t>reços dos produtores e importadores de derivados de petróleo</w:t>
      </w:r>
    </w:p>
    <w:p w14:paraId="26D238BC" w14:textId="77777777" w:rsidR="0041466A" w:rsidRPr="00BB1CEE" w:rsidRDefault="0041466A" w:rsidP="0041466A">
      <w:pPr>
        <w:autoSpaceDE w:val="0"/>
        <w:autoSpaceDN w:val="0"/>
        <w:adjustRightInd w:val="0"/>
        <w:jc w:val="both"/>
        <w:rPr>
          <w:rFonts w:ascii="Arial" w:hAnsi="Arial" w:cs="Arial"/>
          <w:b/>
          <w:bCs/>
          <w:color w:val="000000"/>
        </w:rPr>
      </w:pPr>
    </w:p>
    <w:p w14:paraId="69D75B5C" w14:textId="0617AFC8" w:rsidR="0041466A" w:rsidRPr="00BB1CEE" w:rsidRDefault="00A32437" w:rsidP="0041466A">
      <w:pPr>
        <w:autoSpaceDE w:val="0"/>
        <w:autoSpaceDN w:val="0"/>
        <w:adjustRightInd w:val="0"/>
        <w:jc w:val="both"/>
        <w:rPr>
          <w:rFonts w:ascii="Arial" w:hAnsi="Arial" w:cs="Arial"/>
          <w:b/>
          <w:bCs/>
          <w:color w:val="000000"/>
        </w:rPr>
      </w:pPr>
      <w:r>
        <w:rPr>
          <w:rFonts w:ascii="Arial" w:hAnsi="Arial" w:cs="Arial"/>
          <w:b/>
          <w:bCs/>
          <w:color w:val="000000"/>
        </w:rPr>
        <w:t>2.3</w:t>
      </w:r>
      <w:r w:rsidR="00FE5B8D">
        <w:rPr>
          <w:rFonts w:ascii="Arial" w:hAnsi="Arial" w:cs="Arial"/>
          <w:b/>
          <w:bCs/>
          <w:color w:val="000000"/>
        </w:rPr>
        <w:t xml:space="preserve"> </w:t>
      </w:r>
      <w:r w:rsidR="00582AFE" w:rsidRPr="00BB1CEE">
        <w:rPr>
          <w:rFonts w:ascii="Arial" w:hAnsi="Arial" w:cs="Arial"/>
          <w:b/>
          <w:bCs/>
          <w:color w:val="000000"/>
        </w:rPr>
        <w:t>INDUSTRIALIZAÇÃO DO XISTO</w:t>
      </w:r>
    </w:p>
    <w:p w14:paraId="05D8DB2D" w14:textId="77777777" w:rsidR="0041466A" w:rsidRPr="00BB1CEE" w:rsidRDefault="0041466A" w:rsidP="0041466A">
      <w:pPr>
        <w:autoSpaceDE w:val="0"/>
        <w:autoSpaceDN w:val="0"/>
        <w:adjustRightInd w:val="0"/>
        <w:jc w:val="both"/>
        <w:rPr>
          <w:rFonts w:ascii="Arial" w:hAnsi="Arial" w:cs="Arial"/>
          <w:color w:val="000000"/>
        </w:rPr>
      </w:pPr>
    </w:p>
    <w:p w14:paraId="6B5CFF66" w14:textId="627C7065"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A32437">
        <w:rPr>
          <w:rFonts w:ascii="Arial" w:hAnsi="Arial" w:cs="Arial"/>
          <w:color w:val="000000"/>
        </w:rPr>
        <w:t>31</w:t>
      </w:r>
      <w:r w:rsidR="00A32437" w:rsidRPr="00BB1CEE">
        <w:rPr>
          <w:rFonts w:ascii="Arial" w:hAnsi="Arial" w:cs="Arial"/>
          <w:color w:val="000000"/>
        </w:rPr>
        <w:t xml:space="preserve"> </w:t>
      </w:r>
      <w:r w:rsidRPr="00BB1CEE">
        <w:rPr>
          <w:rFonts w:ascii="Arial" w:hAnsi="Arial" w:cs="Arial"/>
          <w:color w:val="000000"/>
        </w:rPr>
        <w:t xml:space="preserve">Industrialização do </w:t>
      </w:r>
      <w:r w:rsidR="004E7CA9">
        <w:rPr>
          <w:rFonts w:ascii="Arial" w:hAnsi="Arial" w:cs="Arial"/>
          <w:color w:val="000000"/>
        </w:rPr>
        <w:t>x</w:t>
      </w:r>
      <w:r w:rsidRPr="00BB1CEE">
        <w:rPr>
          <w:rFonts w:ascii="Arial" w:hAnsi="Arial" w:cs="Arial"/>
          <w:color w:val="000000"/>
        </w:rPr>
        <w:t>isto</w:t>
      </w:r>
    </w:p>
    <w:p w14:paraId="69BED2C7" w14:textId="77777777" w:rsidR="0041466A" w:rsidRPr="00BB1CEE" w:rsidRDefault="0041466A" w:rsidP="0041466A">
      <w:pPr>
        <w:autoSpaceDE w:val="0"/>
        <w:autoSpaceDN w:val="0"/>
        <w:adjustRightInd w:val="0"/>
        <w:jc w:val="both"/>
        <w:rPr>
          <w:rFonts w:ascii="Arial" w:hAnsi="Arial" w:cs="Arial"/>
          <w:b/>
          <w:bCs/>
          <w:color w:val="000000"/>
        </w:rPr>
      </w:pPr>
    </w:p>
    <w:p w14:paraId="58A91DB1" w14:textId="25FF805A" w:rsidR="0041466A" w:rsidRPr="00BB1CEE" w:rsidRDefault="00A32437" w:rsidP="0041466A">
      <w:pPr>
        <w:autoSpaceDE w:val="0"/>
        <w:autoSpaceDN w:val="0"/>
        <w:adjustRightInd w:val="0"/>
        <w:jc w:val="both"/>
        <w:rPr>
          <w:rFonts w:ascii="Arial" w:hAnsi="Arial" w:cs="Arial"/>
          <w:b/>
          <w:bCs/>
          <w:color w:val="000000"/>
        </w:rPr>
      </w:pPr>
      <w:r>
        <w:rPr>
          <w:rFonts w:ascii="Arial" w:hAnsi="Arial" w:cs="Arial"/>
          <w:b/>
          <w:bCs/>
          <w:color w:val="000000"/>
        </w:rPr>
        <w:t>2.4</w:t>
      </w:r>
      <w:r w:rsidR="00FE5B8D">
        <w:rPr>
          <w:rFonts w:ascii="Arial" w:hAnsi="Arial" w:cs="Arial"/>
          <w:b/>
          <w:bCs/>
          <w:color w:val="000000"/>
        </w:rPr>
        <w:t xml:space="preserve"> </w:t>
      </w:r>
      <w:r w:rsidR="00582AFE" w:rsidRPr="00BB1CEE">
        <w:rPr>
          <w:rFonts w:ascii="Arial" w:hAnsi="Arial" w:cs="Arial"/>
          <w:b/>
          <w:bCs/>
          <w:color w:val="000000"/>
        </w:rPr>
        <w:t>MOVIMENTAÇÃO DE PETRÓLEO, SEUS DERIVADOS, ETANOL E GÁS NATURAL</w:t>
      </w:r>
    </w:p>
    <w:p w14:paraId="6AE503BD" w14:textId="77777777" w:rsidR="0041466A" w:rsidRPr="00BB1CEE" w:rsidRDefault="0041466A" w:rsidP="0041466A">
      <w:pPr>
        <w:autoSpaceDE w:val="0"/>
        <w:autoSpaceDN w:val="0"/>
        <w:adjustRightInd w:val="0"/>
        <w:jc w:val="both"/>
        <w:rPr>
          <w:rFonts w:ascii="Arial" w:hAnsi="Arial" w:cs="Arial"/>
          <w:color w:val="000000"/>
        </w:rPr>
      </w:pPr>
    </w:p>
    <w:p w14:paraId="6ECD4DD6" w14:textId="15E29865"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A32437">
        <w:rPr>
          <w:rFonts w:ascii="Arial" w:hAnsi="Arial" w:cs="Arial"/>
          <w:color w:val="000000"/>
        </w:rPr>
        <w:t>4</w:t>
      </w:r>
      <w:r w:rsidR="00FE5B8D">
        <w:rPr>
          <w:rFonts w:ascii="Arial" w:hAnsi="Arial" w:cs="Arial"/>
          <w:color w:val="000000"/>
        </w:rPr>
        <w:t>.</w:t>
      </w:r>
      <w:r w:rsidR="00A32437">
        <w:rPr>
          <w:rFonts w:ascii="Arial" w:hAnsi="Arial" w:cs="Arial"/>
          <w:color w:val="000000"/>
        </w:rPr>
        <w:t>1</w:t>
      </w:r>
      <w:r w:rsidR="00A32437" w:rsidRPr="00BB1CEE">
        <w:rPr>
          <w:rFonts w:ascii="Arial" w:hAnsi="Arial" w:cs="Arial"/>
          <w:color w:val="000000"/>
        </w:rPr>
        <w:t xml:space="preserve"> </w:t>
      </w:r>
      <w:r w:rsidRPr="00BB1CEE">
        <w:rPr>
          <w:rFonts w:ascii="Arial" w:hAnsi="Arial" w:cs="Arial"/>
          <w:color w:val="000000"/>
        </w:rPr>
        <w:t>Terminais</w:t>
      </w:r>
    </w:p>
    <w:p w14:paraId="55300566" w14:textId="30FD2805"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A32437">
        <w:rPr>
          <w:rFonts w:ascii="Arial" w:hAnsi="Arial" w:cs="Arial"/>
          <w:color w:val="000000"/>
        </w:rPr>
        <w:t>4</w:t>
      </w:r>
      <w:r w:rsidR="00FE5B8D">
        <w:rPr>
          <w:rFonts w:ascii="Arial" w:hAnsi="Arial" w:cs="Arial"/>
          <w:color w:val="000000"/>
        </w:rPr>
        <w:t>.</w:t>
      </w:r>
      <w:r w:rsidR="00A32437">
        <w:rPr>
          <w:rFonts w:ascii="Arial" w:hAnsi="Arial" w:cs="Arial"/>
          <w:color w:val="000000"/>
        </w:rPr>
        <w:t>2</w:t>
      </w:r>
      <w:r w:rsidR="00A32437" w:rsidRPr="00BB1CEE">
        <w:rPr>
          <w:rFonts w:ascii="Arial" w:hAnsi="Arial" w:cs="Arial"/>
          <w:color w:val="000000"/>
        </w:rPr>
        <w:t xml:space="preserve"> </w:t>
      </w:r>
      <w:r w:rsidRPr="00BB1CEE">
        <w:rPr>
          <w:rFonts w:ascii="Arial" w:hAnsi="Arial" w:cs="Arial"/>
          <w:color w:val="000000"/>
        </w:rPr>
        <w:t>Dutos</w:t>
      </w:r>
    </w:p>
    <w:p w14:paraId="2E4C013B" w14:textId="77777777" w:rsidR="0041466A" w:rsidRPr="00BB1CEE" w:rsidRDefault="0041466A" w:rsidP="0041466A">
      <w:pPr>
        <w:autoSpaceDE w:val="0"/>
        <w:autoSpaceDN w:val="0"/>
        <w:adjustRightInd w:val="0"/>
        <w:jc w:val="both"/>
        <w:rPr>
          <w:rFonts w:ascii="Arial" w:hAnsi="Arial" w:cs="Arial"/>
          <w:b/>
          <w:bCs/>
          <w:color w:val="000000"/>
        </w:rPr>
      </w:pPr>
    </w:p>
    <w:p w14:paraId="34D812D8" w14:textId="5078BB22" w:rsidR="0041466A" w:rsidRPr="00BB1CEE" w:rsidRDefault="00A32437" w:rsidP="0041466A">
      <w:pPr>
        <w:autoSpaceDE w:val="0"/>
        <w:autoSpaceDN w:val="0"/>
        <w:adjustRightInd w:val="0"/>
        <w:jc w:val="both"/>
        <w:rPr>
          <w:rFonts w:ascii="Arial" w:hAnsi="Arial" w:cs="Arial"/>
          <w:b/>
          <w:bCs/>
          <w:color w:val="000000"/>
        </w:rPr>
      </w:pPr>
      <w:r>
        <w:rPr>
          <w:rFonts w:ascii="Arial" w:hAnsi="Arial" w:cs="Arial"/>
          <w:b/>
          <w:bCs/>
          <w:color w:val="000000"/>
        </w:rPr>
        <w:t>2.5</w:t>
      </w:r>
      <w:r w:rsidR="00FE5B8D">
        <w:rPr>
          <w:rFonts w:ascii="Arial" w:hAnsi="Arial" w:cs="Arial"/>
          <w:b/>
          <w:bCs/>
          <w:color w:val="000000"/>
        </w:rPr>
        <w:t xml:space="preserve"> </w:t>
      </w:r>
      <w:r w:rsidR="00582AFE" w:rsidRPr="00BB1CEE">
        <w:rPr>
          <w:rFonts w:ascii="Arial" w:hAnsi="Arial" w:cs="Arial"/>
          <w:b/>
          <w:bCs/>
          <w:color w:val="000000"/>
        </w:rPr>
        <w:t>COMÉRCIO EXTERIOR</w:t>
      </w:r>
    </w:p>
    <w:p w14:paraId="6057BD36" w14:textId="77777777" w:rsidR="0041466A" w:rsidRPr="00BB1CEE" w:rsidRDefault="0041466A" w:rsidP="0041466A">
      <w:pPr>
        <w:autoSpaceDE w:val="0"/>
        <w:autoSpaceDN w:val="0"/>
        <w:adjustRightInd w:val="0"/>
        <w:jc w:val="both"/>
        <w:rPr>
          <w:rFonts w:ascii="Arial" w:hAnsi="Arial" w:cs="Arial"/>
          <w:color w:val="000000"/>
        </w:rPr>
      </w:pPr>
    </w:p>
    <w:p w14:paraId="2102AB2B" w14:textId="3C215605" w:rsidR="0041466A" w:rsidRPr="00BB1CEE" w:rsidRDefault="0041466A" w:rsidP="0041466A">
      <w:pPr>
        <w:autoSpaceDE w:val="0"/>
        <w:autoSpaceDN w:val="0"/>
        <w:adjustRightInd w:val="0"/>
        <w:jc w:val="both"/>
        <w:rPr>
          <w:rFonts w:ascii="Arial" w:hAnsi="Arial" w:cs="Arial"/>
          <w:color w:val="000000"/>
        </w:rPr>
      </w:pPr>
      <w:r w:rsidRPr="00BB1CEE">
        <w:rPr>
          <w:rFonts w:ascii="Arial" w:hAnsi="Arial" w:cs="Arial"/>
          <w:color w:val="000000"/>
        </w:rPr>
        <w:t>2.</w:t>
      </w:r>
      <w:r w:rsidR="00A32437">
        <w:rPr>
          <w:rFonts w:ascii="Arial" w:hAnsi="Arial" w:cs="Arial"/>
          <w:color w:val="000000"/>
        </w:rPr>
        <w:t>5</w:t>
      </w:r>
      <w:r w:rsidR="00FE5B8D">
        <w:rPr>
          <w:rFonts w:ascii="Arial" w:hAnsi="Arial" w:cs="Arial"/>
          <w:color w:val="000000"/>
        </w:rPr>
        <w:t>.</w:t>
      </w:r>
      <w:r w:rsidR="00A32437">
        <w:rPr>
          <w:rFonts w:ascii="Arial" w:hAnsi="Arial" w:cs="Arial"/>
          <w:color w:val="000000"/>
        </w:rPr>
        <w:t>1</w:t>
      </w:r>
      <w:r w:rsidR="00A32437" w:rsidRPr="00BB1CEE">
        <w:rPr>
          <w:rFonts w:ascii="Arial" w:hAnsi="Arial" w:cs="Arial"/>
          <w:color w:val="000000"/>
        </w:rPr>
        <w:t xml:space="preserve"> </w:t>
      </w:r>
      <w:r w:rsidR="00EE7A7C">
        <w:rPr>
          <w:rFonts w:ascii="Arial" w:hAnsi="Arial" w:cs="Arial"/>
          <w:color w:val="000000"/>
        </w:rPr>
        <w:t>I</w:t>
      </w:r>
      <w:r w:rsidR="004E7CA9" w:rsidRPr="00BB1CEE">
        <w:rPr>
          <w:rFonts w:ascii="Arial" w:hAnsi="Arial" w:cs="Arial"/>
          <w:color w:val="000000"/>
        </w:rPr>
        <w:t>mportação e exportação de petróleo</w:t>
      </w:r>
    </w:p>
    <w:p w14:paraId="7E6D4F55" w14:textId="6CC56440"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5.2</w:t>
      </w:r>
      <w:r w:rsidRPr="00BB1CEE">
        <w:rPr>
          <w:rFonts w:ascii="Arial" w:hAnsi="Arial" w:cs="Arial"/>
          <w:color w:val="000000"/>
        </w:rPr>
        <w:t xml:space="preserve"> </w:t>
      </w:r>
      <w:r w:rsidR="00EE7A7C">
        <w:rPr>
          <w:rFonts w:ascii="Arial" w:hAnsi="Arial" w:cs="Arial"/>
          <w:color w:val="000000"/>
        </w:rPr>
        <w:t>I</w:t>
      </w:r>
      <w:r w:rsidRPr="00BB1CEE">
        <w:rPr>
          <w:rFonts w:ascii="Arial" w:hAnsi="Arial" w:cs="Arial"/>
          <w:color w:val="000000"/>
        </w:rPr>
        <w:t>mportação e exportação de derivados de petróleo</w:t>
      </w:r>
    </w:p>
    <w:p w14:paraId="4289715B" w14:textId="06B29F2D"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5.3</w:t>
      </w:r>
      <w:r w:rsidRPr="00BB1CEE">
        <w:rPr>
          <w:rFonts w:ascii="Arial" w:hAnsi="Arial" w:cs="Arial"/>
          <w:color w:val="000000"/>
        </w:rPr>
        <w:t xml:space="preserve"> </w:t>
      </w:r>
      <w:r w:rsidR="00EE7A7C">
        <w:rPr>
          <w:rFonts w:ascii="Arial" w:hAnsi="Arial" w:cs="Arial"/>
          <w:iCs/>
          <w:color w:val="000000"/>
        </w:rPr>
        <w:t>S</w:t>
      </w:r>
      <w:r w:rsidRPr="00D506FA">
        <w:rPr>
          <w:rFonts w:ascii="Arial" w:hAnsi="Arial" w:cs="Arial"/>
          <w:iCs/>
          <w:color w:val="000000"/>
        </w:rPr>
        <w:t xml:space="preserve">uperávit </w:t>
      </w:r>
      <w:r>
        <w:rPr>
          <w:rFonts w:ascii="Arial" w:hAnsi="Arial" w:cs="Arial"/>
          <w:color w:val="000000"/>
        </w:rPr>
        <w:t>externo</w:t>
      </w:r>
      <w:r w:rsidRPr="00BB1CEE">
        <w:rPr>
          <w:rFonts w:ascii="Arial" w:hAnsi="Arial" w:cs="Arial"/>
          <w:color w:val="000000"/>
        </w:rPr>
        <w:t xml:space="preserve"> de petróleo e seus derivados</w:t>
      </w:r>
    </w:p>
    <w:p w14:paraId="2DCE851B" w14:textId="15B2DF31" w:rsidR="0041466A" w:rsidRPr="00BB1CEE" w:rsidRDefault="004E7CA9" w:rsidP="0041466A">
      <w:pPr>
        <w:autoSpaceDE w:val="0"/>
        <w:autoSpaceDN w:val="0"/>
        <w:adjustRightInd w:val="0"/>
        <w:jc w:val="both"/>
        <w:rPr>
          <w:rFonts w:ascii="Arial" w:hAnsi="Arial" w:cs="Arial"/>
          <w:color w:val="000000"/>
        </w:rPr>
      </w:pPr>
      <w:r w:rsidRPr="00BB1CEE">
        <w:rPr>
          <w:rFonts w:ascii="Arial" w:hAnsi="Arial" w:cs="Arial"/>
          <w:color w:val="000000"/>
        </w:rPr>
        <w:t>2.</w:t>
      </w:r>
      <w:r>
        <w:rPr>
          <w:rFonts w:ascii="Arial" w:hAnsi="Arial" w:cs="Arial"/>
          <w:color w:val="000000"/>
        </w:rPr>
        <w:t>5.4</w:t>
      </w:r>
      <w:r w:rsidRPr="00BB1CEE">
        <w:rPr>
          <w:rFonts w:ascii="Arial" w:hAnsi="Arial" w:cs="Arial"/>
          <w:color w:val="000000"/>
        </w:rPr>
        <w:t xml:space="preserve"> </w:t>
      </w:r>
      <w:r w:rsidR="00EE7A7C">
        <w:rPr>
          <w:rFonts w:ascii="Arial" w:hAnsi="Arial" w:cs="Arial"/>
          <w:color w:val="000000"/>
        </w:rPr>
        <w:t>I</w:t>
      </w:r>
      <w:r w:rsidRPr="00BB1CEE">
        <w:rPr>
          <w:rFonts w:ascii="Arial" w:hAnsi="Arial" w:cs="Arial"/>
          <w:color w:val="000000"/>
        </w:rPr>
        <w:t>mportação e exportação de gás natural</w:t>
      </w:r>
    </w:p>
    <w:p w14:paraId="66D51680" w14:textId="77777777" w:rsidR="0041466A" w:rsidRPr="00360370" w:rsidRDefault="0041466A" w:rsidP="0041466A">
      <w:pPr>
        <w:autoSpaceDE w:val="0"/>
        <w:autoSpaceDN w:val="0"/>
        <w:adjustRightInd w:val="0"/>
        <w:jc w:val="both"/>
        <w:rPr>
          <w:rFonts w:ascii="Arial" w:hAnsi="Arial" w:cs="Arial"/>
          <w:color w:val="000000"/>
          <w:highlight w:val="yellow"/>
        </w:rPr>
      </w:pPr>
    </w:p>
    <w:p w14:paraId="17CD2776" w14:textId="77777777" w:rsidR="0041466A" w:rsidRPr="00360370" w:rsidRDefault="0041466A" w:rsidP="0041466A">
      <w:pPr>
        <w:autoSpaceDE w:val="0"/>
        <w:autoSpaceDN w:val="0"/>
        <w:adjustRightInd w:val="0"/>
        <w:jc w:val="both"/>
        <w:rPr>
          <w:rFonts w:ascii="Arial" w:hAnsi="Arial" w:cs="Arial"/>
          <w:color w:val="000000"/>
          <w:highlight w:val="yellow"/>
        </w:rPr>
      </w:pPr>
    </w:p>
    <w:p w14:paraId="346F901E" w14:textId="77777777" w:rsidR="0041466A" w:rsidRPr="00360370" w:rsidRDefault="0041466A" w:rsidP="0041466A">
      <w:pPr>
        <w:autoSpaceDE w:val="0"/>
        <w:autoSpaceDN w:val="0"/>
        <w:adjustRightInd w:val="0"/>
        <w:jc w:val="both"/>
        <w:rPr>
          <w:rFonts w:ascii="Arial" w:hAnsi="Arial" w:cs="Arial"/>
          <w:color w:val="000000"/>
          <w:highlight w:val="yellow"/>
        </w:rPr>
      </w:pPr>
    </w:p>
    <w:p w14:paraId="36F895DB" w14:textId="77777777" w:rsidR="0041466A" w:rsidRPr="00360370" w:rsidRDefault="0041466A" w:rsidP="0041466A">
      <w:pPr>
        <w:autoSpaceDE w:val="0"/>
        <w:autoSpaceDN w:val="0"/>
        <w:adjustRightInd w:val="0"/>
        <w:jc w:val="both"/>
        <w:rPr>
          <w:rFonts w:ascii="Arial" w:hAnsi="Arial" w:cs="Arial"/>
          <w:color w:val="000000"/>
          <w:highlight w:val="yellow"/>
        </w:rPr>
      </w:pPr>
    </w:p>
    <w:p w14:paraId="7999CCEB" w14:textId="77777777" w:rsidR="0041466A" w:rsidRPr="00360370" w:rsidRDefault="0041466A" w:rsidP="0041466A">
      <w:pPr>
        <w:autoSpaceDE w:val="0"/>
        <w:autoSpaceDN w:val="0"/>
        <w:adjustRightInd w:val="0"/>
        <w:jc w:val="both"/>
        <w:rPr>
          <w:rFonts w:ascii="Arial" w:hAnsi="Arial" w:cs="Arial"/>
          <w:color w:val="000000"/>
          <w:highlight w:val="yellow"/>
        </w:rPr>
      </w:pPr>
    </w:p>
    <w:p w14:paraId="1C5755D3" w14:textId="77777777" w:rsidR="0041466A" w:rsidRPr="00360370" w:rsidRDefault="0041466A" w:rsidP="0041466A">
      <w:pPr>
        <w:autoSpaceDE w:val="0"/>
        <w:autoSpaceDN w:val="0"/>
        <w:adjustRightInd w:val="0"/>
        <w:jc w:val="both"/>
        <w:rPr>
          <w:rFonts w:ascii="Arial" w:hAnsi="Arial" w:cs="Arial"/>
          <w:color w:val="000000"/>
          <w:highlight w:val="yellow"/>
        </w:rPr>
      </w:pPr>
    </w:p>
    <w:p w14:paraId="5D843C45" w14:textId="77777777" w:rsidR="0041466A" w:rsidRPr="00360370" w:rsidRDefault="0041466A" w:rsidP="0041466A">
      <w:pPr>
        <w:autoSpaceDE w:val="0"/>
        <w:autoSpaceDN w:val="0"/>
        <w:adjustRightInd w:val="0"/>
        <w:jc w:val="both"/>
        <w:rPr>
          <w:rFonts w:ascii="Arial" w:hAnsi="Arial" w:cs="Arial"/>
          <w:color w:val="000000"/>
          <w:highlight w:val="yellow"/>
        </w:rPr>
      </w:pPr>
    </w:p>
    <w:p w14:paraId="3508FAE2" w14:textId="77777777" w:rsidR="0041466A" w:rsidRPr="00360370" w:rsidRDefault="0041466A" w:rsidP="0041466A">
      <w:pPr>
        <w:autoSpaceDE w:val="0"/>
        <w:autoSpaceDN w:val="0"/>
        <w:adjustRightInd w:val="0"/>
        <w:jc w:val="both"/>
        <w:rPr>
          <w:rFonts w:ascii="Arial" w:hAnsi="Arial" w:cs="Arial"/>
          <w:color w:val="000000"/>
          <w:highlight w:val="yellow"/>
        </w:rPr>
      </w:pPr>
    </w:p>
    <w:p w14:paraId="348D8572" w14:textId="77777777" w:rsidR="0041466A" w:rsidRPr="00360370" w:rsidRDefault="0041466A" w:rsidP="0041466A">
      <w:pPr>
        <w:autoSpaceDE w:val="0"/>
        <w:autoSpaceDN w:val="0"/>
        <w:adjustRightInd w:val="0"/>
        <w:jc w:val="both"/>
        <w:rPr>
          <w:rFonts w:ascii="Arial" w:hAnsi="Arial" w:cs="Arial"/>
          <w:color w:val="000000"/>
          <w:highlight w:val="yellow"/>
        </w:rPr>
      </w:pPr>
    </w:p>
    <w:p w14:paraId="34453BFC" w14:textId="77777777" w:rsidR="0041466A" w:rsidRPr="00360370" w:rsidRDefault="0041466A" w:rsidP="0041466A">
      <w:pPr>
        <w:autoSpaceDE w:val="0"/>
        <w:autoSpaceDN w:val="0"/>
        <w:adjustRightInd w:val="0"/>
        <w:jc w:val="both"/>
        <w:rPr>
          <w:rFonts w:ascii="Arial" w:hAnsi="Arial" w:cs="Arial"/>
          <w:color w:val="000000"/>
          <w:highlight w:val="yellow"/>
        </w:rPr>
      </w:pPr>
    </w:p>
    <w:p w14:paraId="5F1AF6A8" w14:textId="77777777" w:rsidR="0041466A" w:rsidRPr="00360370" w:rsidRDefault="0041466A" w:rsidP="0041466A">
      <w:pPr>
        <w:autoSpaceDE w:val="0"/>
        <w:autoSpaceDN w:val="0"/>
        <w:adjustRightInd w:val="0"/>
        <w:jc w:val="both"/>
        <w:rPr>
          <w:rFonts w:ascii="Arial" w:hAnsi="Arial" w:cs="Arial"/>
          <w:color w:val="000000"/>
          <w:highlight w:val="yellow"/>
        </w:rPr>
      </w:pPr>
    </w:p>
    <w:p w14:paraId="28756925" w14:textId="77777777" w:rsidR="0041466A" w:rsidRPr="00360370" w:rsidRDefault="0041466A" w:rsidP="0041466A">
      <w:pPr>
        <w:autoSpaceDE w:val="0"/>
        <w:autoSpaceDN w:val="0"/>
        <w:adjustRightInd w:val="0"/>
        <w:jc w:val="both"/>
        <w:rPr>
          <w:rFonts w:ascii="Arial" w:hAnsi="Arial" w:cs="Arial"/>
          <w:color w:val="000000"/>
          <w:highlight w:val="yellow"/>
        </w:rPr>
      </w:pPr>
    </w:p>
    <w:p w14:paraId="3B4F6950" w14:textId="77777777" w:rsidR="0041466A" w:rsidRPr="00360370" w:rsidRDefault="0041466A" w:rsidP="0041466A">
      <w:pPr>
        <w:autoSpaceDE w:val="0"/>
        <w:autoSpaceDN w:val="0"/>
        <w:adjustRightInd w:val="0"/>
        <w:jc w:val="both"/>
        <w:rPr>
          <w:rFonts w:ascii="Arial" w:hAnsi="Arial" w:cs="Arial"/>
          <w:color w:val="000000"/>
          <w:highlight w:val="yellow"/>
        </w:rPr>
      </w:pPr>
    </w:p>
    <w:p w14:paraId="7087F6BB" w14:textId="77777777" w:rsidR="0041466A" w:rsidRPr="00360370" w:rsidRDefault="0041466A" w:rsidP="0041466A">
      <w:pPr>
        <w:autoSpaceDE w:val="0"/>
        <w:autoSpaceDN w:val="0"/>
        <w:adjustRightInd w:val="0"/>
        <w:jc w:val="both"/>
        <w:rPr>
          <w:rFonts w:ascii="Arial" w:hAnsi="Arial" w:cs="Arial"/>
          <w:color w:val="000000"/>
          <w:highlight w:val="yellow"/>
        </w:rPr>
      </w:pPr>
    </w:p>
    <w:p w14:paraId="2B114784" w14:textId="77777777" w:rsidR="0041466A" w:rsidRPr="00360370" w:rsidRDefault="0041466A" w:rsidP="0041466A">
      <w:pPr>
        <w:autoSpaceDE w:val="0"/>
        <w:autoSpaceDN w:val="0"/>
        <w:adjustRightInd w:val="0"/>
        <w:jc w:val="both"/>
        <w:rPr>
          <w:rFonts w:ascii="Arial" w:hAnsi="Arial" w:cs="Arial"/>
          <w:color w:val="000000"/>
          <w:highlight w:val="yellow"/>
        </w:rPr>
      </w:pPr>
    </w:p>
    <w:p w14:paraId="50F155DD" w14:textId="77777777" w:rsidR="0041466A" w:rsidRPr="00360370" w:rsidRDefault="0041466A" w:rsidP="0041466A">
      <w:pPr>
        <w:autoSpaceDE w:val="0"/>
        <w:autoSpaceDN w:val="0"/>
        <w:adjustRightInd w:val="0"/>
        <w:jc w:val="both"/>
        <w:rPr>
          <w:rFonts w:ascii="Arial" w:hAnsi="Arial" w:cs="Arial"/>
          <w:color w:val="000000"/>
          <w:highlight w:val="yellow"/>
        </w:rPr>
      </w:pPr>
    </w:p>
    <w:p w14:paraId="5577E0FE" w14:textId="77777777" w:rsidR="0041466A" w:rsidRPr="00360370" w:rsidRDefault="0041466A" w:rsidP="0041466A">
      <w:pPr>
        <w:autoSpaceDE w:val="0"/>
        <w:autoSpaceDN w:val="0"/>
        <w:adjustRightInd w:val="0"/>
        <w:jc w:val="both"/>
        <w:rPr>
          <w:rFonts w:ascii="Arial" w:hAnsi="Arial" w:cs="Arial"/>
          <w:color w:val="000000"/>
          <w:highlight w:val="yellow"/>
        </w:rPr>
      </w:pPr>
    </w:p>
    <w:p w14:paraId="72FF44B7" w14:textId="77777777" w:rsidR="0041466A" w:rsidRPr="00360370" w:rsidRDefault="0041466A" w:rsidP="0041466A">
      <w:pPr>
        <w:autoSpaceDE w:val="0"/>
        <w:autoSpaceDN w:val="0"/>
        <w:adjustRightInd w:val="0"/>
        <w:jc w:val="both"/>
        <w:rPr>
          <w:rFonts w:ascii="Arial" w:hAnsi="Arial" w:cs="Arial"/>
          <w:color w:val="000000"/>
          <w:highlight w:val="yellow"/>
        </w:rPr>
      </w:pPr>
    </w:p>
    <w:p w14:paraId="45FC1585" w14:textId="77777777" w:rsidR="0041466A" w:rsidRPr="00360370" w:rsidRDefault="0041466A" w:rsidP="0041466A">
      <w:pPr>
        <w:autoSpaceDE w:val="0"/>
        <w:autoSpaceDN w:val="0"/>
        <w:adjustRightInd w:val="0"/>
        <w:jc w:val="both"/>
        <w:rPr>
          <w:rFonts w:ascii="Arial" w:hAnsi="Arial" w:cs="Arial"/>
          <w:color w:val="000000"/>
          <w:highlight w:val="yellow"/>
        </w:rPr>
      </w:pPr>
    </w:p>
    <w:p w14:paraId="72D25EAA" w14:textId="77777777" w:rsidR="0041466A" w:rsidRPr="00360370" w:rsidRDefault="0041466A" w:rsidP="0041466A">
      <w:pPr>
        <w:autoSpaceDE w:val="0"/>
        <w:autoSpaceDN w:val="0"/>
        <w:adjustRightInd w:val="0"/>
        <w:jc w:val="both"/>
        <w:rPr>
          <w:rFonts w:ascii="Arial" w:hAnsi="Arial" w:cs="Arial"/>
          <w:color w:val="000000"/>
          <w:highlight w:val="yellow"/>
        </w:rPr>
      </w:pPr>
    </w:p>
    <w:p w14:paraId="0B868750" w14:textId="77777777" w:rsidR="0041466A" w:rsidRPr="00360370" w:rsidRDefault="0041466A" w:rsidP="0041466A">
      <w:pPr>
        <w:autoSpaceDE w:val="0"/>
        <w:autoSpaceDN w:val="0"/>
        <w:adjustRightInd w:val="0"/>
        <w:jc w:val="both"/>
        <w:rPr>
          <w:rFonts w:ascii="Arial" w:hAnsi="Arial" w:cs="Arial"/>
          <w:color w:val="000000"/>
          <w:highlight w:val="yellow"/>
        </w:rPr>
      </w:pPr>
    </w:p>
    <w:p w14:paraId="4301BCBD" w14:textId="77777777" w:rsidR="0041466A" w:rsidRPr="00360370" w:rsidRDefault="0041466A" w:rsidP="0041466A">
      <w:pPr>
        <w:autoSpaceDE w:val="0"/>
        <w:autoSpaceDN w:val="0"/>
        <w:adjustRightInd w:val="0"/>
        <w:jc w:val="both"/>
        <w:rPr>
          <w:rFonts w:ascii="Arial" w:hAnsi="Arial" w:cs="Arial"/>
          <w:color w:val="000000"/>
          <w:highlight w:val="yellow"/>
        </w:rPr>
      </w:pPr>
    </w:p>
    <w:p w14:paraId="34B26CBD" w14:textId="77777777" w:rsidR="0041466A" w:rsidRPr="00360370" w:rsidRDefault="0041466A" w:rsidP="0041466A">
      <w:pPr>
        <w:autoSpaceDE w:val="0"/>
        <w:autoSpaceDN w:val="0"/>
        <w:adjustRightInd w:val="0"/>
        <w:jc w:val="both"/>
        <w:rPr>
          <w:rFonts w:ascii="Arial" w:hAnsi="Arial" w:cs="Arial"/>
          <w:color w:val="000000"/>
          <w:highlight w:val="yellow"/>
        </w:rPr>
      </w:pPr>
    </w:p>
    <w:p w14:paraId="3C024C7A" w14:textId="77777777" w:rsidR="0041466A" w:rsidRPr="00360370" w:rsidRDefault="0041466A" w:rsidP="0041466A">
      <w:pPr>
        <w:autoSpaceDE w:val="0"/>
        <w:autoSpaceDN w:val="0"/>
        <w:adjustRightInd w:val="0"/>
        <w:jc w:val="both"/>
        <w:rPr>
          <w:rFonts w:ascii="Arial" w:hAnsi="Arial" w:cs="Arial"/>
          <w:color w:val="000000"/>
          <w:highlight w:val="yellow"/>
        </w:rPr>
      </w:pPr>
    </w:p>
    <w:p w14:paraId="3F3CB88A" w14:textId="77777777" w:rsidR="0041466A" w:rsidRPr="00360370" w:rsidRDefault="0041466A" w:rsidP="0041466A">
      <w:pPr>
        <w:autoSpaceDE w:val="0"/>
        <w:autoSpaceDN w:val="0"/>
        <w:adjustRightInd w:val="0"/>
        <w:jc w:val="both"/>
        <w:rPr>
          <w:rFonts w:ascii="Arial" w:hAnsi="Arial" w:cs="Arial"/>
          <w:color w:val="000000"/>
          <w:highlight w:val="yellow"/>
        </w:rPr>
      </w:pPr>
    </w:p>
    <w:p w14:paraId="17806645" w14:textId="77777777" w:rsidR="0041466A" w:rsidRPr="00360370" w:rsidRDefault="0041466A" w:rsidP="0041466A">
      <w:pPr>
        <w:autoSpaceDE w:val="0"/>
        <w:autoSpaceDN w:val="0"/>
        <w:adjustRightInd w:val="0"/>
        <w:jc w:val="both"/>
        <w:rPr>
          <w:rFonts w:ascii="Arial" w:hAnsi="Arial" w:cs="Arial"/>
          <w:color w:val="000000"/>
          <w:highlight w:val="yellow"/>
        </w:rPr>
      </w:pPr>
    </w:p>
    <w:p w14:paraId="33E01A44" w14:textId="77777777" w:rsidR="0041466A" w:rsidRPr="00125F93" w:rsidRDefault="0041466A" w:rsidP="0041466A">
      <w:pPr>
        <w:autoSpaceDE w:val="0"/>
        <w:autoSpaceDN w:val="0"/>
        <w:adjustRightInd w:val="0"/>
        <w:jc w:val="both"/>
        <w:rPr>
          <w:rFonts w:ascii="Arial" w:hAnsi="Arial" w:cs="Arial"/>
          <w:color w:val="000000"/>
        </w:rPr>
      </w:pPr>
      <w:r w:rsidRPr="00125F93">
        <w:rPr>
          <w:rFonts w:ascii="Arial" w:hAnsi="Arial" w:cs="Arial"/>
          <w:color w:val="000000"/>
        </w:rPr>
        <w:lastRenderedPageBreak/>
        <w:t xml:space="preserve">O desempenho da indústria de petróleo e gás natural no Brasil em </w:t>
      </w:r>
      <w:r>
        <w:rPr>
          <w:rFonts w:ascii="Arial" w:hAnsi="Arial" w:cs="Arial"/>
          <w:color w:val="000000"/>
        </w:rPr>
        <w:t>2025</w:t>
      </w:r>
      <w:r w:rsidRPr="00125F93">
        <w:rPr>
          <w:rFonts w:ascii="Arial" w:hAnsi="Arial" w:cs="Arial"/>
          <w:color w:val="000000"/>
        </w:rPr>
        <w:t xml:space="preserve"> é retratado nesta seção</w:t>
      </w:r>
      <w:r>
        <w:rPr>
          <w:rFonts w:ascii="Arial" w:hAnsi="Arial" w:cs="Arial"/>
          <w:color w:val="000000"/>
        </w:rPr>
        <w:t>,</w:t>
      </w:r>
      <w:r w:rsidRPr="00125F93">
        <w:rPr>
          <w:rFonts w:ascii="Arial" w:hAnsi="Arial" w:cs="Arial"/>
          <w:color w:val="000000"/>
        </w:rPr>
        <w:t xml:space="preserve"> com foco em cinco temas: </w:t>
      </w:r>
      <w:r w:rsidRPr="00125F93">
        <w:rPr>
          <w:rFonts w:ascii="Arial" w:hAnsi="Arial" w:cs="Arial"/>
          <w:b/>
          <w:bCs/>
          <w:color w:val="000000"/>
        </w:rPr>
        <w:t>Exploração e Produção</w:t>
      </w:r>
      <w:r w:rsidRPr="00125F93">
        <w:rPr>
          <w:rFonts w:ascii="Arial" w:hAnsi="Arial" w:cs="Arial"/>
          <w:color w:val="000000"/>
        </w:rPr>
        <w:t xml:space="preserve">; </w:t>
      </w:r>
      <w:r w:rsidRPr="00125F93">
        <w:rPr>
          <w:rFonts w:ascii="Arial" w:hAnsi="Arial" w:cs="Arial"/>
          <w:b/>
          <w:bCs/>
          <w:color w:val="000000"/>
        </w:rPr>
        <w:t>Refino e Processamento</w:t>
      </w:r>
      <w:r w:rsidRPr="00125F93">
        <w:rPr>
          <w:rFonts w:ascii="Arial" w:hAnsi="Arial" w:cs="Arial"/>
          <w:color w:val="000000"/>
        </w:rPr>
        <w:t>;</w:t>
      </w:r>
      <w:r w:rsidRPr="00125F93">
        <w:rPr>
          <w:rFonts w:ascii="Arial" w:hAnsi="Arial" w:cs="Arial"/>
          <w:i/>
          <w:iCs/>
          <w:color w:val="000000"/>
        </w:rPr>
        <w:t xml:space="preserve"> </w:t>
      </w:r>
      <w:r w:rsidRPr="00125F93">
        <w:rPr>
          <w:rFonts w:ascii="Arial" w:hAnsi="Arial" w:cs="Arial"/>
          <w:b/>
          <w:bCs/>
          <w:color w:val="000000"/>
        </w:rPr>
        <w:t>Industrialização do Xisto</w:t>
      </w:r>
      <w:r w:rsidRPr="00125F93">
        <w:rPr>
          <w:rFonts w:ascii="Arial" w:hAnsi="Arial" w:cs="Arial"/>
          <w:color w:val="000000"/>
        </w:rPr>
        <w:t>;</w:t>
      </w:r>
      <w:r w:rsidRPr="00125F93">
        <w:rPr>
          <w:rFonts w:ascii="Arial" w:hAnsi="Arial" w:cs="Arial"/>
          <w:b/>
          <w:bCs/>
          <w:color w:val="000000"/>
        </w:rPr>
        <w:t xml:space="preserve"> Movimentação de Petróleo, seus Derivados,</w:t>
      </w:r>
      <w:r w:rsidRPr="00125F93">
        <w:rPr>
          <w:rFonts w:ascii="Arial" w:hAnsi="Arial" w:cs="Arial"/>
          <w:b/>
          <w:bCs/>
          <w:i/>
          <w:iCs/>
          <w:color w:val="000000"/>
        </w:rPr>
        <w:t xml:space="preserve"> </w:t>
      </w:r>
      <w:r w:rsidRPr="00125F93">
        <w:rPr>
          <w:rFonts w:ascii="Arial" w:hAnsi="Arial" w:cs="Arial"/>
          <w:b/>
          <w:bCs/>
          <w:color w:val="000000"/>
        </w:rPr>
        <w:t>Etanol e Gás Natural;</w:t>
      </w:r>
      <w:r w:rsidRPr="00125F93">
        <w:rPr>
          <w:rFonts w:ascii="Arial" w:hAnsi="Arial" w:cs="Arial"/>
          <w:b/>
          <w:bCs/>
          <w:i/>
          <w:iCs/>
          <w:color w:val="000000"/>
        </w:rPr>
        <w:t xml:space="preserve"> </w:t>
      </w:r>
      <w:r w:rsidRPr="00125F93">
        <w:rPr>
          <w:rFonts w:ascii="Arial" w:hAnsi="Arial" w:cs="Arial"/>
          <w:color w:val="000000"/>
        </w:rPr>
        <w:t xml:space="preserve">e </w:t>
      </w:r>
      <w:r w:rsidRPr="00125F93">
        <w:rPr>
          <w:rFonts w:ascii="Arial" w:hAnsi="Arial" w:cs="Arial"/>
          <w:b/>
          <w:bCs/>
          <w:color w:val="000000"/>
        </w:rPr>
        <w:t>Comércio Exterior</w:t>
      </w:r>
      <w:r w:rsidRPr="00125F93">
        <w:rPr>
          <w:rFonts w:ascii="Arial" w:hAnsi="Arial" w:cs="Arial"/>
          <w:color w:val="000000"/>
        </w:rPr>
        <w:t>.</w:t>
      </w:r>
    </w:p>
    <w:p w14:paraId="375C7B32" w14:textId="77777777" w:rsidR="0041466A" w:rsidRPr="00360370" w:rsidRDefault="0041466A" w:rsidP="0041466A">
      <w:pPr>
        <w:autoSpaceDE w:val="0"/>
        <w:autoSpaceDN w:val="0"/>
        <w:adjustRightInd w:val="0"/>
        <w:jc w:val="both"/>
        <w:rPr>
          <w:rFonts w:ascii="Arial" w:hAnsi="Arial" w:cs="Arial"/>
          <w:color w:val="000000"/>
          <w:highlight w:val="yellow"/>
        </w:rPr>
      </w:pPr>
    </w:p>
    <w:p w14:paraId="71EEF47E" w14:textId="77777777" w:rsidR="0041466A" w:rsidRPr="00125F93" w:rsidRDefault="0041466A" w:rsidP="0041466A">
      <w:pPr>
        <w:autoSpaceDE w:val="0"/>
        <w:autoSpaceDN w:val="0"/>
        <w:adjustRightInd w:val="0"/>
        <w:jc w:val="both"/>
        <w:rPr>
          <w:rFonts w:ascii="Arial" w:hAnsi="Arial" w:cs="Arial"/>
          <w:color w:val="000000"/>
        </w:rPr>
      </w:pPr>
      <w:r w:rsidRPr="00125F93">
        <w:rPr>
          <w:rFonts w:ascii="Arial" w:hAnsi="Arial" w:cs="Arial"/>
          <w:color w:val="000000"/>
        </w:rPr>
        <w:t xml:space="preserve">O tema </w:t>
      </w:r>
      <w:r w:rsidRPr="00125F93">
        <w:rPr>
          <w:rFonts w:ascii="Arial" w:hAnsi="Arial" w:cs="Arial"/>
          <w:b/>
          <w:bCs/>
          <w:color w:val="000000"/>
        </w:rPr>
        <w:t>Exploração e Produção</w:t>
      </w:r>
      <w:r w:rsidRPr="00125F93">
        <w:rPr>
          <w:rFonts w:ascii="Arial" w:hAnsi="Arial" w:cs="Arial"/>
          <w:b/>
          <w:bCs/>
          <w:i/>
          <w:iCs/>
          <w:color w:val="000000"/>
        </w:rPr>
        <w:t xml:space="preserve"> </w:t>
      </w:r>
      <w:r w:rsidRPr="00125F93">
        <w:rPr>
          <w:rFonts w:ascii="Arial" w:hAnsi="Arial" w:cs="Arial"/>
          <w:bCs/>
          <w:iCs/>
          <w:color w:val="000000"/>
        </w:rPr>
        <w:t>tra</w:t>
      </w:r>
      <w:r w:rsidRPr="00125F93">
        <w:rPr>
          <w:rFonts w:ascii="Arial" w:hAnsi="Arial" w:cs="Arial"/>
          <w:color w:val="000000"/>
        </w:rPr>
        <w:t xml:space="preserve">z um panorama do segmento </w:t>
      </w:r>
      <w:r w:rsidRPr="00432B7B">
        <w:rPr>
          <w:rFonts w:ascii="Arial" w:hAnsi="Arial" w:cs="Arial"/>
          <w:i/>
          <w:color w:val="000000"/>
        </w:rPr>
        <w:t>upstream</w:t>
      </w:r>
      <w:r w:rsidRPr="00125F93">
        <w:rPr>
          <w:rFonts w:ascii="Arial" w:hAnsi="Arial" w:cs="Arial"/>
          <w:i/>
          <w:iCs/>
          <w:color w:val="000000"/>
        </w:rPr>
        <w:t xml:space="preserve"> </w:t>
      </w:r>
      <w:r w:rsidRPr="00125F93">
        <w:rPr>
          <w:rFonts w:ascii="Arial" w:hAnsi="Arial" w:cs="Arial"/>
          <w:color w:val="000000"/>
        </w:rPr>
        <w:t xml:space="preserve">em </w:t>
      </w:r>
      <w:r>
        <w:rPr>
          <w:rFonts w:ascii="Arial" w:hAnsi="Arial" w:cs="Arial"/>
          <w:color w:val="000000"/>
        </w:rPr>
        <w:t>oito</w:t>
      </w:r>
      <w:r w:rsidRPr="00125F93">
        <w:rPr>
          <w:rFonts w:ascii="Arial" w:hAnsi="Arial" w:cs="Arial"/>
          <w:color w:val="000000"/>
        </w:rPr>
        <w:t xml:space="preserve"> capítulos. O primeiro </w:t>
      </w:r>
      <w:r>
        <w:rPr>
          <w:rFonts w:ascii="Arial" w:hAnsi="Arial" w:cs="Arial"/>
          <w:color w:val="000000"/>
        </w:rPr>
        <w:t xml:space="preserve">capítulo </w:t>
      </w:r>
      <w:r w:rsidRPr="00125F93">
        <w:rPr>
          <w:rFonts w:ascii="Arial" w:hAnsi="Arial" w:cs="Arial"/>
          <w:color w:val="000000"/>
        </w:rPr>
        <w:t xml:space="preserve">mostra a situação vigente, em 31 de dezembro de </w:t>
      </w:r>
      <w:r>
        <w:rPr>
          <w:rFonts w:ascii="Arial" w:hAnsi="Arial" w:cs="Arial"/>
          <w:color w:val="000000"/>
        </w:rPr>
        <w:t>2025</w:t>
      </w:r>
      <w:r w:rsidRPr="00125F93">
        <w:rPr>
          <w:rFonts w:ascii="Arial" w:hAnsi="Arial" w:cs="Arial"/>
          <w:color w:val="000000"/>
        </w:rPr>
        <w:t>, das áreas concedidas pela ANP para as atividades de exploração e produção de petróleo e gás natural.</w:t>
      </w:r>
    </w:p>
    <w:p w14:paraId="772682FA" w14:textId="77777777" w:rsidR="0041466A" w:rsidRPr="00125F93" w:rsidRDefault="0041466A" w:rsidP="0041466A">
      <w:pPr>
        <w:autoSpaceDE w:val="0"/>
        <w:autoSpaceDN w:val="0"/>
        <w:adjustRightInd w:val="0"/>
        <w:jc w:val="both"/>
        <w:rPr>
          <w:rFonts w:ascii="Arial" w:hAnsi="Arial" w:cs="Arial"/>
          <w:color w:val="000000"/>
        </w:rPr>
      </w:pPr>
    </w:p>
    <w:p w14:paraId="1B7B9EBE" w14:textId="77777777" w:rsidR="0041466A" w:rsidRPr="00125F93" w:rsidRDefault="0041466A" w:rsidP="0041466A">
      <w:pPr>
        <w:autoSpaceDE w:val="0"/>
        <w:autoSpaceDN w:val="0"/>
        <w:adjustRightInd w:val="0"/>
        <w:jc w:val="both"/>
        <w:rPr>
          <w:rFonts w:ascii="Arial" w:hAnsi="Arial" w:cs="Arial"/>
          <w:iCs/>
          <w:color w:val="000000"/>
        </w:rPr>
      </w:pPr>
      <w:r w:rsidRPr="00125F93">
        <w:rPr>
          <w:rFonts w:ascii="Arial" w:hAnsi="Arial" w:cs="Arial"/>
          <w:color w:val="000000"/>
        </w:rPr>
        <w:t>O segundo apresenta dados sobre atividade sísmica, perfuração de poços e métodos potenciais. O terceiro contempla a evolução das reservas brasileiras, totais e provadas</w:t>
      </w:r>
      <w:r>
        <w:rPr>
          <w:rFonts w:ascii="Arial" w:hAnsi="Arial" w:cs="Arial"/>
          <w:color w:val="000000"/>
        </w:rPr>
        <w:t>,</w:t>
      </w:r>
      <w:r w:rsidRPr="00125F93">
        <w:rPr>
          <w:rFonts w:ascii="Arial" w:hAnsi="Arial" w:cs="Arial"/>
          <w:color w:val="000000"/>
        </w:rPr>
        <w:t xml:space="preserve"> de petróleo e gás natural. O quarto capítulo aborda o desempenho das atividades de produção nacional de hidrocarbonetos</w:t>
      </w:r>
      <w:r w:rsidRPr="00125F93">
        <w:rPr>
          <w:rFonts w:ascii="Arial" w:hAnsi="Arial" w:cs="Arial"/>
          <w:iCs/>
          <w:color w:val="000000"/>
        </w:rPr>
        <w:t>.</w:t>
      </w:r>
      <w:r>
        <w:rPr>
          <w:rFonts w:ascii="Arial" w:hAnsi="Arial" w:cs="Arial"/>
          <w:iCs/>
          <w:color w:val="000000"/>
        </w:rPr>
        <w:t xml:space="preserve"> O quinto capítulo apresenta as a</w:t>
      </w:r>
      <w:r w:rsidRPr="00F30198">
        <w:rPr>
          <w:rFonts w:ascii="Arial" w:hAnsi="Arial" w:cs="Arial"/>
          <w:iCs/>
          <w:color w:val="000000"/>
        </w:rPr>
        <w:t xml:space="preserve">ções de </w:t>
      </w:r>
      <w:r>
        <w:rPr>
          <w:rFonts w:ascii="Arial" w:hAnsi="Arial" w:cs="Arial"/>
          <w:iCs/>
          <w:color w:val="000000"/>
        </w:rPr>
        <w:t>f</w:t>
      </w:r>
      <w:r w:rsidRPr="00F30198">
        <w:rPr>
          <w:rFonts w:ascii="Arial" w:hAnsi="Arial" w:cs="Arial"/>
          <w:iCs/>
          <w:color w:val="000000"/>
        </w:rPr>
        <w:t xml:space="preserve">iscalização e </w:t>
      </w:r>
      <w:r>
        <w:rPr>
          <w:rFonts w:ascii="Arial" w:hAnsi="Arial" w:cs="Arial"/>
          <w:iCs/>
          <w:color w:val="000000"/>
        </w:rPr>
        <w:t>c</w:t>
      </w:r>
      <w:r w:rsidRPr="00F30198">
        <w:rPr>
          <w:rFonts w:ascii="Arial" w:hAnsi="Arial" w:cs="Arial"/>
          <w:iCs/>
          <w:color w:val="000000"/>
        </w:rPr>
        <w:t xml:space="preserve">omunicação de </w:t>
      </w:r>
      <w:r>
        <w:rPr>
          <w:rFonts w:ascii="Arial" w:hAnsi="Arial" w:cs="Arial"/>
          <w:iCs/>
          <w:color w:val="000000"/>
        </w:rPr>
        <w:t>i</w:t>
      </w:r>
      <w:r w:rsidRPr="00F30198">
        <w:rPr>
          <w:rFonts w:ascii="Arial" w:hAnsi="Arial" w:cs="Arial"/>
          <w:iCs/>
          <w:color w:val="000000"/>
        </w:rPr>
        <w:t xml:space="preserve">ncidentes nas </w:t>
      </w:r>
      <w:r>
        <w:rPr>
          <w:rFonts w:ascii="Arial" w:hAnsi="Arial" w:cs="Arial"/>
          <w:iCs/>
          <w:color w:val="000000"/>
        </w:rPr>
        <w:t>a</w:t>
      </w:r>
      <w:r w:rsidRPr="00F30198">
        <w:rPr>
          <w:rFonts w:ascii="Arial" w:hAnsi="Arial" w:cs="Arial"/>
          <w:iCs/>
          <w:color w:val="000000"/>
        </w:rPr>
        <w:t xml:space="preserve">tividades de </w:t>
      </w:r>
      <w:r>
        <w:rPr>
          <w:rFonts w:ascii="Arial" w:hAnsi="Arial" w:cs="Arial"/>
          <w:iCs/>
          <w:color w:val="000000"/>
        </w:rPr>
        <w:t>e</w:t>
      </w:r>
      <w:r w:rsidRPr="00F30198">
        <w:rPr>
          <w:rFonts w:ascii="Arial" w:hAnsi="Arial" w:cs="Arial"/>
          <w:iCs/>
          <w:color w:val="000000"/>
        </w:rPr>
        <w:t xml:space="preserve">xploração e </w:t>
      </w:r>
      <w:r>
        <w:rPr>
          <w:rFonts w:ascii="Arial" w:hAnsi="Arial" w:cs="Arial"/>
          <w:iCs/>
          <w:color w:val="000000"/>
        </w:rPr>
        <w:t>p</w:t>
      </w:r>
      <w:r w:rsidRPr="00F30198">
        <w:rPr>
          <w:rFonts w:ascii="Arial" w:hAnsi="Arial" w:cs="Arial"/>
          <w:iCs/>
          <w:color w:val="000000"/>
        </w:rPr>
        <w:t>rodução</w:t>
      </w:r>
      <w:r>
        <w:rPr>
          <w:rFonts w:ascii="Arial" w:hAnsi="Arial" w:cs="Arial"/>
          <w:iCs/>
          <w:color w:val="000000"/>
        </w:rPr>
        <w:t>.</w:t>
      </w:r>
    </w:p>
    <w:p w14:paraId="7085A47B" w14:textId="77777777" w:rsidR="0041466A" w:rsidRPr="00125F93" w:rsidRDefault="0041466A" w:rsidP="0041466A">
      <w:pPr>
        <w:autoSpaceDE w:val="0"/>
        <w:autoSpaceDN w:val="0"/>
        <w:adjustRightInd w:val="0"/>
        <w:jc w:val="both"/>
        <w:rPr>
          <w:rFonts w:ascii="Arial" w:hAnsi="Arial" w:cs="Arial"/>
          <w:iCs/>
          <w:color w:val="000000"/>
        </w:rPr>
      </w:pPr>
    </w:p>
    <w:p w14:paraId="5203EB22" w14:textId="385A071B" w:rsidR="0041466A" w:rsidRPr="00125F93"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Em seguida, o sexto capítulo divulga os montantes das participações governamentais (royalties, participação especial</w:t>
      </w:r>
      <w:r w:rsidR="00C21F14">
        <w:rPr>
          <w:rFonts w:ascii="Arial" w:hAnsi="Arial" w:cs="Arial"/>
          <w:color w:val="000000" w:themeColor="text1"/>
        </w:rPr>
        <w:t xml:space="preserve">, </w:t>
      </w:r>
      <w:r w:rsidR="00C21F14" w:rsidRPr="00C21F14">
        <w:rPr>
          <w:rFonts w:ascii="Arial" w:hAnsi="Arial" w:cs="Arial"/>
          <w:color w:val="000000" w:themeColor="text1"/>
        </w:rPr>
        <w:t>participação pela ocupação ou retenção de área onde são realizadas as atividades de exploração e produção</w:t>
      </w:r>
      <w:r w:rsidRPr="211A77E2">
        <w:rPr>
          <w:rFonts w:ascii="Arial" w:hAnsi="Arial" w:cs="Arial"/>
          <w:color w:val="000000" w:themeColor="text1"/>
        </w:rPr>
        <w:t>) pagas pelas empresas que produzem petróleo e gás natural no território brasileiro.</w:t>
      </w:r>
      <w:r>
        <w:rPr>
          <w:rFonts w:ascii="Arial" w:hAnsi="Arial" w:cs="Arial"/>
          <w:color w:val="000000" w:themeColor="text1"/>
        </w:rPr>
        <w:t xml:space="preserve"> </w:t>
      </w:r>
      <w:r w:rsidRPr="211A77E2">
        <w:rPr>
          <w:rFonts w:ascii="Arial" w:hAnsi="Arial" w:cs="Arial"/>
          <w:color w:val="000000" w:themeColor="text1"/>
        </w:rPr>
        <w:t>O sétimo capítulo apresenta as informações relativas ao volume de recursos destinados à pesquisa, ao desenvolvimento e à inovação e à formação de recursos humanos.</w:t>
      </w:r>
    </w:p>
    <w:p w14:paraId="7B605948" w14:textId="77777777" w:rsidR="0041466A" w:rsidRPr="00125F93" w:rsidRDefault="0041466A" w:rsidP="0041466A">
      <w:pPr>
        <w:autoSpaceDE w:val="0"/>
        <w:autoSpaceDN w:val="0"/>
        <w:adjustRightInd w:val="0"/>
        <w:jc w:val="both"/>
        <w:rPr>
          <w:rFonts w:ascii="Arial" w:hAnsi="Arial" w:cs="Arial"/>
          <w:color w:val="000000"/>
        </w:rPr>
      </w:pPr>
    </w:p>
    <w:p w14:paraId="3A4E0882" w14:textId="33063E22" w:rsidR="0041466A" w:rsidRPr="00125F93" w:rsidRDefault="00650C38" w:rsidP="0041466A">
      <w:pPr>
        <w:autoSpaceDE w:val="0"/>
        <w:autoSpaceDN w:val="0"/>
        <w:adjustRightInd w:val="0"/>
        <w:jc w:val="both"/>
        <w:rPr>
          <w:rFonts w:ascii="Arial" w:hAnsi="Arial" w:cs="Arial"/>
          <w:color w:val="000000"/>
        </w:rPr>
      </w:pPr>
      <w:r>
        <w:rPr>
          <w:rFonts w:ascii="Arial" w:hAnsi="Arial" w:cs="Arial"/>
          <w:color w:val="000000"/>
        </w:rPr>
        <w:t>Por fim</w:t>
      </w:r>
      <w:r w:rsidR="0041466A" w:rsidRPr="00125F93">
        <w:rPr>
          <w:rFonts w:ascii="Arial" w:hAnsi="Arial" w:cs="Arial"/>
          <w:color w:val="000000"/>
        </w:rPr>
        <w:t xml:space="preserve">, o </w:t>
      </w:r>
      <w:r w:rsidR="0041466A">
        <w:rPr>
          <w:rFonts w:ascii="Arial" w:hAnsi="Arial" w:cs="Arial"/>
          <w:color w:val="000000"/>
        </w:rPr>
        <w:t>oitavo</w:t>
      </w:r>
      <w:r w:rsidR="0041466A" w:rsidRPr="00125F93">
        <w:rPr>
          <w:rFonts w:ascii="Arial" w:hAnsi="Arial" w:cs="Arial"/>
          <w:color w:val="000000"/>
        </w:rPr>
        <w:t xml:space="preserve"> capítulo registra os preços médios de petróleo e gás natural, que toma como base os preços de referência utilizados no cálculo das participações governamentais.</w:t>
      </w:r>
    </w:p>
    <w:p w14:paraId="5EA925B0" w14:textId="77777777" w:rsidR="0041466A" w:rsidRPr="00125F93" w:rsidRDefault="0041466A" w:rsidP="0041466A">
      <w:pPr>
        <w:autoSpaceDE w:val="0"/>
        <w:autoSpaceDN w:val="0"/>
        <w:adjustRightInd w:val="0"/>
        <w:jc w:val="both"/>
        <w:rPr>
          <w:rFonts w:ascii="Arial" w:hAnsi="Arial" w:cs="Arial"/>
          <w:color w:val="000000"/>
        </w:rPr>
      </w:pPr>
    </w:p>
    <w:p w14:paraId="1A17AF33" w14:textId="4298BD3D" w:rsidR="0041466A" w:rsidRPr="00125F93"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 xml:space="preserve">O segundo tema desta seção, </w:t>
      </w:r>
      <w:r w:rsidRPr="211A77E2">
        <w:rPr>
          <w:rFonts w:ascii="Arial" w:hAnsi="Arial" w:cs="Arial"/>
          <w:b/>
          <w:bCs/>
          <w:color w:val="000000" w:themeColor="text1"/>
        </w:rPr>
        <w:t>Refino e Processamento</w:t>
      </w:r>
      <w:r w:rsidRPr="211A77E2">
        <w:rPr>
          <w:rFonts w:ascii="Arial" w:hAnsi="Arial" w:cs="Arial"/>
          <w:color w:val="000000" w:themeColor="text1"/>
        </w:rPr>
        <w:t xml:space="preserve">, está estruturado em quatro capítulos: </w:t>
      </w:r>
      <w:r w:rsidRPr="211A77E2">
        <w:rPr>
          <w:rFonts w:ascii="Arial" w:hAnsi="Arial" w:cs="Arial"/>
          <w:b/>
          <w:bCs/>
          <w:color w:val="000000" w:themeColor="text1"/>
        </w:rPr>
        <w:t>Refino de Petróleo</w:t>
      </w:r>
      <w:r w:rsidRPr="211A77E2">
        <w:rPr>
          <w:rFonts w:ascii="Arial" w:hAnsi="Arial" w:cs="Arial"/>
          <w:color w:val="000000" w:themeColor="text1"/>
        </w:rPr>
        <w:t xml:space="preserve">; </w:t>
      </w:r>
      <w:r w:rsidRPr="211A77E2">
        <w:rPr>
          <w:rFonts w:ascii="Arial" w:hAnsi="Arial" w:cs="Arial"/>
          <w:b/>
          <w:bCs/>
          <w:color w:val="000000" w:themeColor="text1"/>
        </w:rPr>
        <w:t>Processamento de Gás Natural</w:t>
      </w:r>
      <w:r w:rsidRPr="211A77E2">
        <w:rPr>
          <w:rFonts w:ascii="Arial" w:hAnsi="Arial" w:cs="Arial"/>
          <w:color w:val="000000" w:themeColor="text1"/>
        </w:rPr>
        <w:t xml:space="preserve">; </w:t>
      </w:r>
      <w:r w:rsidRPr="211A77E2">
        <w:rPr>
          <w:rFonts w:ascii="Arial" w:hAnsi="Arial" w:cs="Arial"/>
          <w:b/>
          <w:bCs/>
          <w:color w:val="000000" w:themeColor="text1"/>
        </w:rPr>
        <w:t>Produção de Derivados de Petróleo</w:t>
      </w:r>
      <w:r w:rsidRPr="211A77E2">
        <w:rPr>
          <w:rFonts w:ascii="Arial" w:hAnsi="Arial" w:cs="Arial"/>
          <w:color w:val="000000" w:themeColor="text1"/>
        </w:rPr>
        <w:t xml:space="preserve">; </w:t>
      </w:r>
      <w:r w:rsidRPr="211A77E2">
        <w:rPr>
          <w:rFonts w:ascii="Arial" w:hAnsi="Arial" w:cs="Arial"/>
          <w:b/>
          <w:bCs/>
          <w:color w:val="000000" w:themeColor="text1"/>
        </w:rPr>
        <w:t>Preços dos Produtores e Importadores de Derivados de Petróleo</w:t>
      </w:r>
      <w:r w:rsidRPr="211A77E2">
        <w:rPr>
          <w:rFonts w:ascii="Arial" w:hAnsi="Arial" w:cs="Arial"/>
          <w:color w:val="000000" w:themeColor="text1"/>
        </w:rPr>
        <w:t xml:space="preserve">. Os dois primeiros capítulos abordam, respectivamente, a </w:t>
      </w:r>
      <w:r w:rsidRPr="211A77E2">
        <w:rPr>
          <w:rFonts w:ascii="Arial" w:hAnsi="Arial" w:cs="Arial"/>
        </w:rPr>
        <w:t>infraestrutura</w:t>
      </w:r>
      <w:r w:rsidRPr="211A77E2">
        <w:rPr>
          <w:rFonts w:ascii="Arial" w:hAnsi="Arial" w:cs="Arial"/>
          <w:color w:val="000000" w:themeColor="text1"/>
        </w:rPr>
        <w:t xml:space="preserve"> do parque de refino de petróleo e das unidades de processamento de gás natural no Brasil. O terceiro capítulo apresenta a evolução da produção nacional de derivados e o quarto compila dados </w:t>
      </w:r>
      <w:r w:rsidR="00807842">
        <w:rPr>
          <w:rFonts w:ascii="Arial" w:hAnsi="Arial" w:cs="Arial"/>
          <w:color w:val="000000" w:themeColor="text1"/>
        </w:rPr>
        <w:t>de</w:t>
      </w:r>
      <w:r w:rsidRPr="211A77E2">
        <w:rPr>
          <w:rFonts w:ascii="Arial" w:hAnsi="Arial" w:cs="Arial"/>
          <w:color w:val="000000" w:themeColor="text1"/>
        </w:rPr>
        <w:t xml:space="preserve"> preços médios praticados pelos produtores e importadores.</w:t>
      </w:r>
    </w:p>
    <w:p w14:paraId="19A8FE56" w14:textId="77777777" w:rsidR="0041466A" w:rsidRPr="00125F93" w:rsidRDefault="0041466A" w:rsidP="0041466A">
      <w:pPr>
        <w:autoSpaceDE w:val="0"/>
        <w:autoSpaceDN w:val="0"/>
        <w:adjustRightInd w:val="0"/>
        <w:jc w:val="both"/>
        <w:rPr>
          <w:rFonts w:ascii="Arial" w:hAnsi="Arial" w:cs="Arial"/>
          <w:color w:val="000000"/>
        </w:rPr>
      </w:pPr>
    </w:p>
    <w:p w14:paraId="0331F5AC" w14:textId="77777777" w:rsidR="0041466A" w:rsidRPr="00125F93"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 xml:space="preserve">O </w:t>
      </w:r>
      <w:r>
        <w:rPr>
          <w:rFonts w:ascii="Arial" w:hAnsi="Arial" w:cs="Arial"/>
          <w:color w:val="000000" w:themeColor="text1"/>
        </w:rPr>
        <w:t xml:space="preserve">tema </w:t>
      </w:r>
      <w:r w:rsidRPr="211A77E2">
        <w:rPr>
          <w:rFonts w:ascii="Arial" w:hAnsi="Arial" w:cs="Arial"/>
          <w:b/>
          <w:bCs/>
          <w:color w:val="000000" w:themeColor="text1"/>
        </w:rPr>
        <w:t>Industrialização do Xisto</w:t>
      </w:r>
      <w:r w:rsidRPr="211A77E2">
        <w:rPr>
          <w:rFonts w:ascii="Arial" w:hAnsi="Arial" w:cs="Arial"/>
          <w:b/>
          <w:bCs/>
          <w:i/>
          <w:iCs/>
          <w:color w:val="000000" w:themeColor="text1"/>
        </w:rPr>
        <w:t xml:space="preserve"> </w:t>
      </w:r>
      <w:r w:rsidRPr="211A77E2">
        <w:rPr>
          <w:rFonts w:ascii="Arial" w:hAnsi="Arial" w:cs="Arial"/>
          <w:color w:val="000000" w:themeColor="text1"/>
        </w:rPr>
        <w:t>traz uma síntese</w:t>
      </w:r>
      <w:r>
        <w:rPr>
          <w:rFonts w:ascii="Arial" w:hAnsi="Arial" w:cs="Arial"/>
          <w:color w:val="000000" w:themeColor="text1"/>
        </w:rPr>
        <w:t xml:space="preserve"> </w:t>
      </w:r>
      <w:r w:rsidRPr="211A77E2">
        <w:rPr>
          <w:rFonts w:ascii="Arial" w:hAnsi="Arial" w:cs="Arial"/>
          <w:color w:val="000000" w:themeColor="text1"/>
        </w:rPr>
        <w:t>das atividades relacionadas ao xisto betuminoso que têm interface com a indústria nacional do petróleo.</w:t>
      </w:r>
    </w:p>
    <w:p w14:paraId="2EAA8574" w14:textId="77777777" w:rsidR="0041466A" w:rsidRPr="00125F93" w:rsidRDefault="0041466A" w:rsidP="0041466A">
      <w:pPr>
        <w:autoSpaceDE w:val="0"/>
        <w:autoSpaceDN w:val="0"/>
        <w:adjustRightInd w:val="0"/>
        <w:jc w:val="both"/>
        <w:rPr>
          <w:rFonts w:ascii="Arial" w:hAnsi="Arial" w:cs="Arial"/>
          <w:color w:val="000000"/>
        </w:rPr>
      </w:pPr>
    </w:p>
    <w:p w14:paraId="5ECE6EEF" w14:textId="77777777" w:rsidR="0041466A" w:rsidRPr="00125F93"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 xml:space="preserve">O tópico </w:t>
      </w:r>
      <w:r w:rsidRPr="211A77E2">
        <w:rPr>
          <w:rFonts w:ascii="Arial" w:hAnsi="Arial" w:cs="Arial"/>
          <w:b/>
          <w:bCs/>
          <w:color w:val="000000" w:themeColor="text1"/>
        </w:rPr>
        <w:t>Movimentação de Petróleo</w:t>
      </w:r>
      <w:r w:rsidRPr="211A77E2">
        <w:rPr>
          <w:rFonts w:ascii="Arial" w:hAnsi="Arial" w:cs="Arial"/>
          <w:b/>
          <w:bCs/>
          <w:i/>
          <w:iCs/>
          <w:color w:val="000000" w:themeColor="text1"/>
        </w:rPr>
        <w:t xml:space="preserve">, </w:t>
      </w:r>
      <w:r w:rsidRPr="211A77E2">
        <w:rPr>
          <w:rFonts w:ascii="Arial" w:hAnsi="Arial" w:cs="Arial"/>
          <w:b/>
          <w:bCs/>
          <w:color w:val="000000" w:themeColor="text1"/>
        </w:rPr>
        <w:t>seus Derivados</w:t>
      </w:r>
      <w:r w:rsidRPr="211A77E2">
        <w:rPr>
          <w:rFonts w:ascii="Arial" w:hAnsi="Arial" w:cs="Arial"/>
          <w:b/>
          <w:bCs/>
          <w:i/>
          <w:iCs/>
          <w:color w:val="000000" w:themeColor="text1"/>
        </w:rPr>
        <w:t xml:space="preserve">, </w:t>
      </w:r>
      <w:r w:rsidRPr="211A77E2">
        <w:rPr>
          <w:rFonts w:ascii="Arial" w:hAnsi="Arial" w:cs="Arial"/>
          <w:b/>
          <w:bCs/>
          <w:color w:val="000000" w:themeColor="text1"/>
        </w:rPr>
        <w:t>Etanol e Gás Natural</w:t>
      </w:r>
      <w:r w:rsidRPr="211A77E2">
        <w:rPr>
          <w:rFonts w:ascii="Arial" w:hAnsi="Arial" w:cs="Arial"/>
          <w:b/>
          <w:bCs/>
          <w:i/>
          <w:iCs/>
          <w:color w:val="000000" w:themeColor="text1"/>
        </w:rPr>
        <w:t xml:space="preserve"> </w:t>
      </w:r>
      <w:r w:rsidRPr="211A77E2">
        <w:rPr>
          <w:rFonts w:ascii="Arial" w:hAnsi="Arial" w:cs="Arial"/>
          <w:color w:val="000000" w:themeColor="text1"/>
        </w:rPr>
        <w:t xml:space="preserve">é apresentado em dois capítulos: </w:t>
      </w:r>
      <w:r w:rsidRPr="211A77E2">
        <w:rPr>
          <w:rFonts w:ascii="Arial" w:hAnsi="Arial" w:cs="Arial"/>
          <w:b/>
          <w:bCs/>
          <w:color w:val="000000" w:themeColor="text1"/>
        </w:rPr>
        <w:t>Terminais</w:t>
      </w:r>
      <w:r w:rsidRPr="211A77E2">
        <w:rPr>
          <w:rFonts w:ascii="Arial" w:hAnsi="Arial" w:cs="Arial"/>
          <w:color w:val="000000" w:themeColor="text1"/>
        </w:rPr>
        <w:t xml:space="preserve"> e </w:t>
      </w:r>
      <w:r w:rsidRPr="211A77E2">
        <w:rPr>
          <w:rFonts w:ascii="Arial" w:hAnsi="Arial" w:cs="Arial"/>
          <w:b/>
          <w:bCs/>
          <w:color w:val="000000" w:themeColor="text1"/>
        </w:rPr>
        <w:t>Dutos</w:t>
      </w:r>
      <w:r w:rsidRPr="211A77E2">
        <w:rPr>
          <w:rFonts w:ascii="Arial" w:hAnsi="Arial" w:cs="Arial"/>
          <w:color w:val="000000" w:themeColor="text1"/>
        </w:rPr>
        <w:t>, ambos com informações sobre a infraestrutura para transporte e transferência de hidrocarbonetos e etanol disponível no país.</w:t>
      </w:r>
    </w:p>
    <w:p w14:paraId="3082B5B8" w14:textId="77777777" w:rsidR="0041466A" w:rsidRPr="00125F93" w:rsidRDefault="0041466A" w:rsidP="0041466A">
      <w:pPr>
        <w:autoSpaceDE w:val="0"/>
        <w:autoSpaceDN w:val="0"/>
        <w:adjustRightInd w:val="0"/>
        <w:jc w:val="both"/>
        <w:rPr>
          <w:rFonts w:ascii="Arial" w:hAnsi="Arial" w:cs="Arial"/>
          <w:color w:val="000000"/>
        </w:rPr>
      </w:pPr>
    </w:p>
    <w:p w14:paraId="21822717" w14:textId="4D69514F" w:rsidR="0041466A" w:rsidRPr="00125F93" w:rsidRDefault="0041466A" w:rsidP="0041466A">
      <w:pPr>
        <w:autoSpaceDE w:val="0"/>
        <w:autoSpaceDN w:val="0"/>
        <w:adjustRightInd w:val="0"/>
        <w:jc w:val="both"/>
        <w:rPr>
          <w:rFonts w:ascii="Arial" w:hAnsi="Arial" w:cs="Arial"/>
          <w:color w:val="000000"/>
        </w:rPr>
      </w:pPr>
      <w:r w:rsidRPr="211A77E2">
        <w:rPr>
          <w:rFonts w:ascii="Arial" w:hAnsi="Arial" w:cs="Arial"/>
          <w:color w:val="000000" w:themeColor="text1"/>
        </w:rPr>
        <w:t xml:space="preserve">O último tema da segunda seção, </w:t>
      </w:r>
      <w:r w:rsidRPr="211A77E2">
        <w:rPr>
          <w:rFonts w:ascii="Arial" w:hAnsi="Arial" w:cs="Arial"/>
          <w:b/>
          <w:bCs/>
          <w:color w:val="000000" w:themeColor="text1"/>
        </w:rPr>
        <w:t>Comércio Exterior</w:t>
      </w:r>
      <w:r w:rsidRPr="211A77E2">
        <w:rPr>
          <w:rFonts w:ascii="Arial" w:hAnsi="Arial" w:cs="Arial"/>
          <w:color w:val="000000" w:themeColor="text1"/>
        </w:rPr>
        <w:t xml:space="preserve">, compreende quatro capítulos: </w:t>
      </w:r>
      <w:r w:rsidRPr="211A77E2">
        <w:rPr>
          <w:rFonts w:ascii="Arial" w:hAnsi="Arial" w:cs="Arial"/>
          <w:b/>
          <w:bCs/>
          <w:color w:val="000000" w:themeColor="text1"/>
        </w:rPr>
        <w:t>Importação e Exportação de Petróleo</w:t>
      </w:r>
      <w:r w:rsidRPr="211A77E2">
        <w:rPr>
          <w:rFonts w:ascii="Arial" w:hAnsi="Arial" w:cs="Arial"/>
          <w:color w:val="000000" w:themeColor="text1"/>
        </w:rPr>
        <w:t xml:space="preserve">; </w:t>
      </w:r>
      <w:r w:rsidRPr="211A77E2">
        <w:rPr>
          <w:rFonts w:ascii="Arial" w:hAnsi="Arial" w:cs="Arial"/>
          <w:b/>
          <w:bCs/>
          <w:color w:val="000000" w:themeColor="text1"/>
        </w:rPr>
        <w:t>Importação e Exportação de Derivados de Petróleo</w:t>
      </w:r>
      <w:r w:rsidRPr="211A77E2">
        <w:rPr>
          <w:rFonts w:ascii="Arial" w:hAnsi="Arial" w:cs="Arial"/>
          <w:color w:val="000000" w:themeColor="text1"/>
        </w:rPr>
        <w:t xml:space="preserve">; </w:t>
      </w:r>
      <w:r w:rsidRPr="211A77E2">
        <w:rPr>
          <w:rFonts w:ascii="Arial" w:hAnsi="Arial" w:cs="Arial"/>
          <w:b/>
          <w:bCs/>
          <w:color w:val="000000" w:themeColor="text1"/>
        </w:rPr>
        <w:t>Superávit Externo de Petróleo e seus Derivados</w:t>
      </w:r>
      <w:r w:rsidRPr="211A77E2">
        <w:rPr>
          <w:rFonts w:ascii="Arial" w:hAnsi="Arial" w:cs="Arial"/>
          <w:color w:val="000000" w:themeColor="text1"/>
        </w:rPr>
        <w:t xml:space="preserve">; </w:t>
      </w:r>
      <w:r w:rsidRPr="211A77E2">
        <w:rPr>
          <w:rFonts w:ascii="Arial" w:hAnsi="Arial" w:cs="Arial"/>
          <w:b/>
          <w:bCs/>
          <w:color w:val="000000" w:themeColor="text1"/>
        </w:rPr>
        <w:t>Importação e Exportação de Gás Natural</w:t>
      </w:r>
      <w:r w:rsidRPr="211A77E2">
        <w:rPr>
          <w:rFonts w:ascii="Arial" w:hAnsi="Arial" w:cs="Arial"/>
          <w:color w:val="000000" w:themeColor="text1"/>
        </w:rPr>
        <w:t xml:space="preserve">. São apresentados os volumes de petróleo, de seus derivados e de gás natural </w:t>
      </w:r>
      <w:r w:rsidR="00807842">
        <w:rPr>
          <w:rFonts w:ascii="Arial" w:hAnsi="Arial" w:cs="Arial"/>
          <w:color w:val="000000" w:themeColor="text1"/>
        </w:rPr>
        <w:t>comercializados</w:t>
      </w:r>
      <w:r w:rsidR="00807842" w:rsidRPr="211A77E2">
        <w:rPr>
          <w:rFonts w:ascii="Arial" w:hAnsi="Arial" w:cs="Arial"/>
          <w:color w:val="000000" w:themeColor="text1"/>
        </w:rPr>
        <w:t xml:space="preserve"> </w:t>
      </w:r>
      <w:r w:rsidRPr="211A77E2">
        <w:rPr>
          <w:rFonts w:ascii="Arial" w:hAnsi="Arial" w:cs="Arial"/>
          <w:color w:val="000000" w:themeColor="text1"/>
        </w:rPr>
        <w:t>internacionalmente e os montantes financeiros envolvidos, além da evolução do superávit externo do Brasil em relação ao petróleo e seus derivados.</w:t>
      </w:r>
    </w:p>
    <w:p w14:paraId="19226FA1" w14:textId="77777777" w:rsidR="0041466A" w:rsidRPr="00360370" w:rsidRDefault="0041466A" w:rsidP="0041466A">
      <w:pPr>
        <w:autoSpaceDE w:val="0"/>
        <w:autoSpaceDN w:val="0"/>
        <w:adjustRightInd w:val="0"/>
        <w:jc w:val="both"/>
        <w:rPr>
          <w:rFonts w:ascii="Arial" w:hAnsi="Arial" w:cs="Arial"/>
          <w:color w:val="000000"/>
          <w:highlight w:val="yellow"/>
        </w:rPr>
      </w:pPr>
    </w:p>
    <w:p w14:paraId="592137E6"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6A6A462C"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0A12FB1A"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1537C441"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1770A0BF"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56D37C87"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0A5D2947"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3305414A"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6BA68C12"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6F5886B9"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32354E89"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4212A3D4"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6023CF7C" w14:textId="77777777" w:rsidR="0041466A" w:rsidRPr="00360370" w:rsidRDefault="0041466A" w:rsidP="0041466A">
      <w:pPr>
        <w:autoSpaceDE w:val="0"/>
        <w:autoSpaceDN w:val="0"/>
        <w:adjustRightInd w:val="0"/>
        <w:jc w:val="both"/>
        <w:rPr>
          <w:rFonts w:ascii="Arial" w:hAnsi="Arial" w:cs="Arial"/>
          <w:b/>
          <w:bCs/>
          <w:color w:val="000000"/>
          <w:highlight w:val="yellow"/>
        </w:rPr>
      </w:pPr>
    </w:p>
    <w:p w14:paraId="58DBAF39" w14:textId="77777777" w:rsidR="0041466A" w:rsidRDefault="0041466A" w:rsidP="0041466A">
      <w:pPr>
        <w:autoSpaceDE w:val="0"/>
        <w:autoSpaceDN w:val="0"/>
        <w:adjustRightInd w:val="0"/>
        <w:jc w:val="both"/>
        <w:rPr>
          <w:rFonts w:ascii="Arial" w:hAnsi="Arial" w:cs="Arial"/>
          <w:b/>
          <w:bCs/>
          <w:color w:val="000000"/>
          <w:highlight w:val="yellow"/>
        </w:rPr>
      </w:pPr>
    </w:p>
    <w:p w14:paraId="7EDDFC1D" w14:textId="77777777" w:rsidR="0041466A" w:rsidRDefault="0041466A" w:rsidP="0041466A">
      <w:pPr>
        <w:autoSpaceDE w:val="0"/>
        <w:autoSpaceDN w:val="0"/>
        <w:adjustRightInd w:val="0"/>
        <w:jc w:val="both"/>
        <w:rPr>
          <w:rFonts w:ascii="Arial" w:hAnsi="Arial" w:cs="Arial"/>
          <w:b/>
          <w:bCs/>
          <w:color w:val="000000"/>
          <w:highlight w:val="yellow"/>
        </w:rPr>
      </w:pPr>
    </w:p>
    <w:p w14:paraId="251DDFA5" w14:textId="77777777" w:rsidR="0041466A" w:rsidRDefault="0041466A" w:rsidP="0041466A">
      <w:pPr>
        <w:autoSpaceDE w:val="0"/>
        <w:autoSpaceDN w:val="0"/>
        <w:adjustRightInd w:val="0"/>
        <w:jc w:val="both"/>
        <w:rPr>
          <w:rFonts w:ascii="Arial" w:hAnsi="Arial" w:cs="Arial"/>
          <w:b/>
          <w:bCs/>
          <w:color w:val="000000"/>
          <w:highlight w:val="yellow"/>
        </w:rPr>
      </w:pPr>
    </w:p>
    <w:p w14:paraId="06198134" w14:textId="77777777" w:rsidR="0041466A" w:rsidRDefault="0041466A" w:rsidP="0041466A">
      <w:pPr>
        <w:autoSpaceDE w:val="0"/>
        <w:autoSpaceDN w:val="0"/>
        <w:adjustRightInd w:val="0"/>
        <w:jc w:val="both"/>
        <w:rPr>
          <w:rFonts w:ascii="Arial" w:hAnsi="Arial" w:cs="Arial"/>
          <w:b/>
          <w:bCs/>
          <w:color w:val="000000"/>
          <w:highlight w:val="yellow"/>
        </w:rPr>
      </w:pPr>
    </w:p>
    <w:p w14:paraId="1B7E6D94" w14:textId="77777777" w:rsidR="0041466A" w:rsidRDefault="0041466A" w:rsidP="0041466A">
      <w:pPr>
        <w:autoSpaceDE w:val="0"/>
        <w:autoSpaceDN w:val="0"/>
        <w:adjustRightInd w:val="0"/>
        <w:jc w:val="both"/>
        <w:rPr>
          <w:rFonts w:ascii="Arial" w:hAnsi="Arial" w:cs="Arial"/>
          <w:b/>
          <w:bCs/>
          <w:color w:val="000000"/>
          <w:highlight w:val="yellow"/>
        </w:rPr>
      </w:pPr>
    </w:p>
    <w:p w14:paraId="5C3E7765" w14:textId="77777777" w:rsidR="0041466A" w:rsidRDefault="0041466A" w:rsidP="0041466A">
      <w:pPr>
        <w:autoSpaceDE w:val="0"/>
        <w:autoSpaceDN w:val="0"/>
        <w:adjustRightInd w:val="0"/>
        <w:jc w:val="both"/>
        <w:rPr>
          <w:rFonts w:ascii="Arial" w:hAnsi="Arial" w:cs="Arial"/>
          <w:b/>
          <w:bCs/>
          <w:color w:val="000000"/>
          <w:highlight w:val="yellow"/>
        </w:rPr>
      </w:pPr>
    </w:p>
    <w:p w14:paraId="6377331C" w14:textId="77777777" w:rsidR="0041466A" w:rsidRDefault="0041466A" w:rsidP="0041466A">
      <w:pPr>
        <w:autoSpaceDE w:val="0"/>
        <w:autoSpaceDN w:val="0"/>
        <w:adjustRightInd w:val="0"/>
        <w:jc w:val="both"/>
        <w:rPr>
          <w:rFonts w:ascii="Arial" w:hAnsi="Arial" w:cs="Arial"/>
          <w:b/>
          <w:bCs/>
          <w:color w:val="000000"/>
          <w:highlight w:val="yellow"/>
        </w:rPr>
      </w:pPr>
    </w:p>
    <w:p w14:paraId="1EAC271C" w14:textId="5981E22C" w:rsidR="0041466A" w:rsidRPr="00AC50F3" w:rsidRDefault="00EE7A7C" w:rsidP="0041466A">
      <w:pPr>
        <w:autoSpaceDE w:val="0"/>
        <w:autoSpaceDN w:val="0"/>
        <w:adjustRightInd w:val="0"/>
        <w:jc w:val="both"/>
        <w:rPr>
          <w:rFonts w:ascii="Arial" w:hAnsi="Arial" w:cs="Arial"/>
          <w:b/>
          <w:bCs/>
          <w:color w:val="000000"/>
        </w:rPr>
      </w:pPr>
      <w:r>
        <w:rPr>
          <w:rFonts w:ascii="Arial" w:hAnsi="Arial" w:cs="Arial"/>
          <w:b/>
          <w:bCs/>
          <w:color w:val="000000"/>
        </w:rPr>
        <w:lastRenderedPageBreak/>
        <w:t xml:space="preserve">2.1 </w:t>
      </w:r>
      <w:r w:rsidRPr="00AC50F3">
        <w:rPr>
          <w:rFonts w:ascii="Arial" w:hAnsi="Arial" w:cs="Arial"/>
          <w:b/>
          <w:bCs/>
          <w:color w:val="000000"/>
        </w:rPr>
        <w:t>EXPLORAÇÃO E PRODUÇÃO</w:t>
      </w:r>
    </w:p>
    <w:p w14:paraId="4D651571" w14:textId="77777777" w:rsidR="0041466A" w:rsidRPr="00AC50F3" w:rsidRDefault="0041466A" w:rsidP="0041466A">
      <w:pPr>
        <w:autoSpaceDE w:val="0"/>
        <w:autoSpaceDN w:val="0"/>
        <w:adjustRightInd w:val="0"/>
        <w:jc w:val="both"/>
        <w:rPr>
          <w:rFonts w:ascii="Arial" w:hAnsi="Arial" w:cs="Arial"/>
          <w:b/>
          <w:bCs/>
          <w:color w:val="000000"/>
        </w:rPr>
      </w:pPr>
    </w:p>
    <w:p w14:paraId="39F479B3" w14:textId="2F5D3343" w:rsidR="0041466A" w:rsidRPr="00AC50F3" w:rsidRDefault="0041466A" w:rsidP="0041466A">
      <w:pPr>
        <w:autoSpaceDE w:val="0"/>
        <w:autoSpaceDN w:val="0"/>
        <w:adjustRightInd w:val="0"/>
        <w:jc w:val="both"/>
        <w:rPr>
          <w:rFonts w:ascii="Arial" w:hAnsi="Arial" w:cs="Arial"/>
          <w:b/>
          <w:bCs/>
          <w:color w:val="000000" w:themeColor="text1"/>
        </w:rPr>
      </w:pPr>
      <w:r w:rsidRPr="211A77E2">
        <w:rPr>
          <w:rFonts w:ascii="Arial" w:hAnsi="Arial" w:cs="Arial"/>
          <w:b/>
          <w:bCs/>
          <w:color w:val="000000" w:themeColor="text1"/>
        </w:rPr>
        <w:t>2.</w:t>
      </w:r>
      <w:r w:rsidR="00EE7A7C">
        <w:rPr>
          <w:rFonts w:ascii="Arial" w:hAnsi="Arial" w:cs="Arial"/>
          <w:b/>
          <w:bCs/>
          <w:color w:val="000000" w:themeColor="text1"/>
        </w:rPr>
        <w:t>1.</w:t>
      </w:r>
      <w:r w:rsidRPr="211A77E2">
        <w:rPr>
          <w:rFonts w:ascii="Arial" w:hAnsi="Arial" w:cs="Arial"/>
          <w:b/>
          <w:bCs/>
          <w:color w:val="000000" w:themeColor="text1"/>
        </w:rPr>
        <w:t xml:space="preserve">1 </w:t>
      </w:r>
      <w:r w:rsidR="00EE7A7C">
        <w:rPr>
          <w:rFonts w:ascii="Arial" w:hAnsi="Arial" w:cs="Arial"/>
          <w:b/>
          <w:bCs/>
          <w:color w:val="000000" w:themeColor="text1"/>
        </w:rPr>
        <w:t>B</w:t>
      </w:r>
      <w:r w:rsidR="00EE7A7C" w:rsidRPr="211A77E2">
        <w:rPr>
          <w:rFonts w:ascii="Arial" w:hAnsi="Arial" w:cs="Arial"/>
          <w:b/>
          <w:bCs/>
          <w:color w:val="000000" w:themeColor="text1"/>
        </w:rPr>
        <w:t>locos na fase de exploração e campos em desenvolvimento e em produção sob contrato</w:t>
      </w:r>
      <w:r w:rsidRPr="211A77E2">
        <w:rPr>
          <w:rFonts w:ascii="Arial" w:hAnsi="Arial" w:cs="Arial"/>
          <w:b/>
          <w:bCs/>
          <w:color w:val="000000" w:themeColor="text1"/>
        </w:rPr>
        <w:t xml:space="preserve"> </w:t>
      </w:r>
    </w:p>
    <w:p w14:paraId="72EDA636" w14:textId="77777777" w:rsidR="0041466A" w:rsidRPr="00AC50F3" w:rsidRDefault="0041466A" w:rsidP="0041466A">
      <w:pPr>
        <w:pStyle w:val="Corpodetexto3"/>
        <w:rPr>
          <w:sz w:val="20"/>
          <w:szCs w:val="20"/>
        </w:rPr>
      </w:pPr>
    </w:p>
    <w:p w14:paraId="220E4BD2" w14:textId="0464E986" w:rsidR="0041466A" w:rsidRPr="00AC50F3" w:rsidRDefault="0041466A" w:rsidP="0041466A">
      <w:pPr>
        <w:pStyle w:val="Corpodetexto3"/>
        <w:rPr>
          <w:sz w:val="20"/>
          <w:szCs w:val="20"/>
        </w:rPr>
      </w:pPr>
      <w:r w:rsidRPr="211A77E2">
        <w:rPr>
          <w:sz w:val="20"/>
          <w:szCs w:val="20"/>
        </w:rPr>
        <w:t xml:space="preserve">A ANP tem como uma das principais atribuições a promoção de </w:t>
      </w:r>
      <w:r w:rsidR="00D067D9">
        <w:rPr>
          <w:sz w:val="20"/>
          <w:szCs w:val="20"/>
        </w:rPr>
        <w:t>licitação de blo</w:t>
      </w:r>
      <w:r w:rsidRPr="211A77E2">
        <w:rPr>
          <w:sz w:val="20"/>
          <w:szCs w:val="20"/>
        </w:rPr>
        <w:t xml:space="preserve">cos e áreas </w:t>
      </w:r>
      <w:r w:rsidR="009D1CF7">
        <w:rPr>
          <w:sz w:val="20"/>
          <w:szCs w:val="20"/>
        </w:rPr>
        <w:t xml:space="preserve">para exploração </w:t>
      </w:r>
      <w:r w:rsidRPr="211A77E2">
        <w:rPr>
          <w:sz w:val="20"/>
          <w:szCs w:val="20"/>
        </w:rPr>
        <w:t>de petróleo e gás natural, os quais, após a conclusão da fase de exploração e a declaração de comercialidade, passam para as etapas de desenvolvimento e produção.</w:t>
      </w:r>
    </w:p>
    <w:p w14:paraId="197F87D7" w14:textId="77777777" w:rsidR="0041466A" w:rsidRPr="00AC50F3" w:rsidRDefault="0041466A" w:rsidP="0041466A">
      <w:pPr>
        <w:pStyle w:val="Corpodetexto3"/>
        <w:rPr>
          <w:sz w:val="20"/>
          <w:szCs w:val="20"/>
        </w:rPr>
      </w:pPr>
    </w:p>
    <w:p w14:paraId="4C8B00B2" w14:textId="10C64103" w:rsidR="0041466A" w:rsidRPr="003B5F9C" w:rsidRDefault="0041466A" w:rsidP="0041466A">
      <w:pPr>
        <w:pStyle w:val="Corpodetexto3"/>
        <w:rPr>
          <w:color w:val="auto"/>
          <w:sz w:val="20"/>
          <w:szCs w:val="20"/>
        </w:rPr>
      </w:pPr>
      <w:r w:rsidRPr="211A77E2">
        <w:rPr>
          <w:color w:val="auto"/>
          <w:sz w:val="20"/>
          <w:szCs w:val="20"/>
        </w:rPr>
        <w:t xml:space="preserve">No final de </w:t>
      </w:r>
      <w:r>
        <w:rPr>
          <w:color w:val="auto"/>
          <w:sz w:val="20"/>
          <w:szCs w:val="20"/>
        </w:rPr>
        <w:t>2025</w:t>
      </w:r>
      <w:r w:rsidRPr="211A77E2">
        <w:rPr>
          <w:color w:val="auto"/>
          <w:sz w:val="20"/>
          <w:szCs w:val="20"/>
        </w:rPr>
        <w:t xml:space="preserve">, </w:t>
      </w:r>
      <w:r>
        <w:rPr>
          <w:color w:val="auto"/>
          <w:sz w:val="20"/>
          <w:szCs w:val="20"/>
        </w:rPr>
        <w:t>7</w:t>
      </w:r>
      <w:r w:rsidR="00D067D9">
        <w:rPr>
          <w:color w:val="auto"/>
          <w:sz w:val="20"/>
          <w:szCs w:val="20"/>
        </w:rPr>
        <w:t>77</w:t>
      </w:r>
      <w:r>
        <w:rPr>
          <w:color w:val="auto"/>
          <w:sz w:val="20"/>
          <w:szCs w:val="20"/>
        </w:rPr>
        <w:t xml:space="preserve"> </w:t>
      </w:r>
      <w:r w:rsidRPr="211A77E2">
        <w:rPr>
          <w:color w:val="auto"/>
          <w:sz w:val="20"/>
          <w:szCs w:val="20"/>
        </w:rPr>
        <w:t xml:space="preserve">áreas estavam sob contrato: </w:t>
      </w:r>
      <w:r>
        <w:rPr>
          <w:color w:val="auto"/>
          <w:sz w:val="20"/>
          <w:szCs w:val="20"/>
        </w:rPr>
        <w:t>4</w:t>
      </w:r>
      <w:r w:rsidR="00D067D9">
        <w:rPr>
          <w:color w:val="auto"/>
          <w:sz w:val="20"/>
          <w:szCs w:val="20"/>
        </w:rPr>
        <w:t>31</w:t>
      </w:r>
      <w:r w:rsidRPr="211A77E2">
        <w:rPr>
          <w:color w:val="auto"/>
          <w:sz w:val="20"/>
          <w:szCs w:val="20"/>
        </w:rPr>
        <w:t xml:space="preserve"> blocos na fase de exploração, </w:t>
      </w:r>
      <w:r>
        <w:rPr>
          <w:color w:val="auto"/>
          <w:sz w:val="20"/>
          <w:szCs w:val="20"/>
        </w:rPr>
        <w:t>4</w:t>
      </w:r>
      <w:r w:rsidR="00D067D9">
        <w:rPr>
          <w:color w:val="auto"/>
          <w:sz w:val="20"/>
          <w:szCs w:val="20"/>
        </w:rPr>
        <w:t>4</w:t>
      </w:r>
      <w:r w:rsidRPr="211A77E2">
        <w:rPr>
          <w:color w:val="auto"/>
          <w:sz w:val="20"/>
          <w:szCs w:val="20"/>
        </w:rPr>
        <w:t xml:space="preserve"> campos em desenvolvimento da produção e </w:t>
      </w:r>
      <w:r>
        <w:rPr>
          <w:color w:val="auto"/>
          <w:sz w:val="20"/>
          <w:szCs w:val="20"/>
        </w:rPr>
        <w:t>302</w:t>
      </w:r>
      <w:r w:rsidRPr="211A77E2">
        <w:rPr>
          <w:color w:val="auto"/>
          <w:sz w:val="20"/>
          <w:szCs w:val="20"/>
        </w:rPr>
        <w:t xml:space="preserve"> campos na etapa de produção.</w:t>
      </w:r>
    </w:p>
    <w:p w14:paraId="0BA69258" w14:textId="77777777" w:rsidR="0041466A" w:rsidRPr="00360370" w:rsidRDefault="0041466A" w:rsidP="0041466A">
      <w:pPr>
        <w:pStyle w:val="Corpodetexto3"/>
        <w:rPr>
          <w:sz w:val="20"/>
          <w:szCs w:val="20"/>
          <w:highlight w:val="yellow"/>
        </w:rPr>
      </w:pPr>
    </w:p>
    <w:p w14:paraId="1049001B" w14:textId="56EAE203" w:rsidR="0041466A" w:rsidRPr="000B55CE" w:rsidRDefault="00D067D9" w:rsidP="0041466A">
      <w:pPr>
        <w:pStyle w:val="Corpodetexto3"/>
        <w:rPr>
          <w:sz w:val="20"/>
          <w:szCs w:val="20"/>
        </w:rPr>
      </w:pPr>
      <w:r w:rsidRPr="00D067D9">
        <w:rPr>
          <w:rStyle w:val="ui-provider"/>
          <w:sz w:val="20"/>
          <w:szCs w:val="20"/>
        </w:rPr>
        <w:t>Dos 431 blocos em fase de exploração, 164 se localizavam em mar e 267 em terra. Dos 421 blocos contratados sob o regime de concessão, três foram concedidos na Terceira Rodada; um na Quarta; sete na Sexta; quatro na Sétima; cinco na Nona; dois na 10ª; 26 na 11ª; oito na 12ª; cinco na 13ª; 15 na 14ª; dez na 15ª; seis na 16ª; e cinco na 17ª. Ainda sob o regime de concessão, nos ciclos de Oferta Permanente, 32 blocos foram concedidos no 1º Ciclo, 17 no 2º Ciclo, 58 no 3º, 184 no 4º e 33 no 5º. Dos blocos contratados sob o regime de partilha de produção havia 10 blocos: um licitado na Primeira Rodada; um na Terceira; um na Quarta; um na Quinta; e um na Sexta. Ainda sob o regime de partilha, nos ciclos de Oferta Permanente, quatro blocos foram contratados no 1º Ciclo e um no 2º.</w:t>
      </w:r>
    </w:p>
    <w:p w14:paraId="5B95BFE2" w14:textId="77777777" w:rsidR="0041466A" w:rsidRPr="00E96F9D" w:rsidRDefault="0041466A" w:rsidP="0041466A">
      <w:pPr>
        <w:pStyle w:val="Corpodetexto3"/>
        <w:rPr>
          <w:sz w:val="20"/>
          <w:szCs w:val="20"/>
        </w:rPr>
      </w:pPr>
    </w:p>
    <w:p w14:paraId="634AF150" w14:textId="50DC3B4A" w:rsidR="0041466A" w:rsidRDefault="00D067D9" w:rsidP="0041466A">
      <w:pPr>
        <w:pStyle w:val="Corpodetexto3"/>
        <w:rPr>
          <w:sz w:val="20"/>
          <w:szCs w:val="20"/>
        </w:rPr>
      </w:pPr>
      <w:r w:rsidRPr="00D067D9">
        <w:rPr>
          <w:sz w:val="20"/>
          <w:szCs w:val="20"/>
        </w:rPr>
        <w:t>No final de 2025, dos 431 blocos exploratórios sob contrato, a Petrobras tinha participação em 78, todos marítimos, dos quais 16 eram contratos exclusivos e os outros 62 em consórcio com outras empresas. A Shell Brasil tinha 59 blocos marítimos sob contrato de exploração, dos quais oito exclusivos e os outros 51 em consórcio com outras empresas. A Chevron Brasil possuía 26 blocos marítimos sob contrato, sendo 15 exclusivos. Destaca-se também a Elysian Petroleum com 122 blocos terrestres e a Petro-Victory, com 34 blocos terrestres sob contrato, todos exclusivos. A Imetame possuía 21 blocos terrestres sob contrato, sendo quatro exclusivos. A Eneva possuía o contrato de exploração de 21 blocos terrestres, sendo 17 exclusivos. Dentre as empresas que se destacaram em 2025 por atuarem como operadoras de consórcios em ambiente marítimo estão: Petrobras (68 blocos), Shell (25), Chevron Brasil (24), Enauta Energia e Karoon Brasail (9) e ExxonMobil (7).</w:t>
      </w:r>
      <w:r>
        <w:rPr>
          <w:sz w:val="20"/>
          <w:szCs w:val="20"/>
        </w:rPr>
        <w:t xml:space="preserve"> </w:t>
      </w:r>
      <w:r w:rsidRPr="00D067D9">
        <w:rPr>
          <w:sz w:val="20"/>
          <w:szCs w:val="20"/>
        </w:rPr>
        <w:t>Já em ambiente terrestre, as empresas com maior número de contratos como operadoras ao final de 2025 eram a Elysian Petroleum (122), Petro-Victory (34</w:t>
      </w:r>
      <w:r w:rsidR="009D1CF7" w:rsidRPr="00D067D9">
        <w:rPr>
          <w:sz w:val="20"/>
          <w:szCs w:val="20"/>
        </w:rPr>
        <w:t>), Imetame</w:t>
      </w:r>
      <w:r w:rsidRPr="00D067D9">
        <w:rPr>
          <w:sz w:val="20"/>
          <w:szCs w:val="20"/>
        </w:rPr>
        <w:t xml:space="preserve"> e Eneva (21), Origem (18) e 3R Potiguar (9)</w:t>
      </w:r>
      <w:r>
        <w:rPr>
          <w:sz w:val="20"/>
          <w:szCs w:val="20"/>
        </w:rPr>
        <w:t>.</w:t>
      </w:r>
    </w:p>
    <w:p w14:paraId="2A3CA75D" w14:textId="77777777" w:rsidR="00D067D9" w:rsidRPr="009049CE" w:rsidRDefault="00D067D9" w:rsidP="0041466A">
      <w:pPr>
        <w:pStyle w:val="Corpodetexto3"/>
        <w:rPr>
          <w:sz w:val="20"/>
          <w:szCs w:val="20"/>
        </w:rPr>
      </w:pPr>
    </w:p>
    <w:p w14:paraId="4D1881A6" w14:textId="272AFFC1" w:rsidR="0041466A" w:rsidRDefault="00D067D9" w:rsidP="0041466A">
      <w:pPr>
        <w:pStyle w:val="Corpodetexto3"/>
        <w:rPr>
          <w:sz w:val="20"/>
          <w:szCs w:val="20"/>
        </w:rPr>
      </w:pPr>
      <w:r w:rsidRPr="00D067D9">
        <w:rPr>
          <w:sz w:val="20"/>
          <w:szCs w:val="20"/>
        </w:rPr>
        <w:t xml:space="preserve">Ao longo de 2025, foram iniciados dois </w:t>
      </w:r>
      <w:r w:rsidR="0025130F">
        <w:rPr>
          <w:sz w:val="20"/>
          <w:szCs w:val="20"/>
        </w:rPr>
        <w:t>p</w:t>
      </w:r>
      <w:r w:rsidR="0025130F" w:rsidRPr="00D067D9">
        <w:rPr>
          <w:sz w:val="20"/>
          <w:szCs w:val="20"/>
        </w:rPr>
        <w:t xml:space="preserve">lanos </w:t>
      </w:r>
      <w:r w:rsidRPr="00D067D9">
        <w:rPr>
          <w:sz w:val="20"/>
          <w:szCs w:val="20"/>
        </w:rPr>
        <w:t xml:space="preserve">de </w:t>
      </w:r>
      <w:r w:rsidR="0025130F">
        <w:rPr>
          <w:sz w:val="20"/>
          <w:szCs w:val="20"/>
        </w:rPr>
        <w:t>a</w:t>
      </w:r>
      <w:r w:rsidR="0025130F" w:rsidRPr="00D067D9">
        <w:rPr>
          <w:sz w:val="20"/>
          <w:szCs w:val="20"/>
        </w:rPr>
        <w:t xml:space="preserve">valiação </w:t>
      </w:r>
      <w:r w:rsidRPr="00D067D9">
        <w:rPr>
          <w:sz w:val="20"/>
          <w:szCs w:val="20"/>
        </w:rPr>
        <w:t xml:space="preserve">de </w:t>
      </w:r>
      <w:r w:rsidR="0025130F">
        <w:rPr>
          <w:sz w:val="20"/>
          <w:szCs w:val="20"/>
        </w:rPr>
        <w:t>d</w:t>
      </w:r>
      <w:r w:rsidR="0025130F" w:rsidRPr="00D067D9">
        <w:rPr>
          <w:sz w:val="20"/>
          <w:szCs w:val="20"/>
        </w:rPr>
        <w:t xml:space="preserve">escobertas </w:t>
      </w:r>
      <w:r w:rsidRPr="00D067D9">
        <w:rPr>
          <w:sz w:val="20"/>
          <w:szCs w:val="20"/>
        </w:rPr>
        <w:t xml:space="preserve">de </w:t>
      </w:r>
      <w:r w:rsidR="0025130F">
        <w:rPr>
          <w:sz w:val="20"/>
          <w:szCs w:val="20"/>
        </w:rPr>
        <w:t>p</w:t>
      </w:r>
      <w:r w:rsidR="0025130F" w:rsidRPr="00D067D9">
        <w:rPr>
          <w:sz w:val="20"/>
          <w:szCs w:val="20"/>
        </w:rPr>
        <w:t xml:space="preserve">etróleo </w:t>
      </w:r>
      <w:r w:rsidRPr="00D067D9">
        <w:rPr>
          <w:sz w:val="20"/>
          <w:szCs w:val="20"/>
        </w:rPr>
        <w:t xml:space="preserve">ou </w:t>
      </w:r>
      <w:r w:rsidR="0025130F">
        <w:rPr>
          <w:sz w:val="20"/>
          <w:szCs w:val="20"/>
        </w:rPr>
        <w:t>g</w:t>
      </w:r>
      <w:r w:rsidR="0025130F" w:rsidRPr="00D067D9">
        <w:rPr>
          <w:sz w:val="20"/>
          <w:szCs w:val="20"/>
        </w:rPr>
        <w:t xml:space="preserve">ás </w:t>
      </w:r>
      <w:r w:rsidR="0025130F">
        <w:rPr>
          <w:sz w:val="20"/>
          <w:szCs w:val="20"/>
        </w:rPr>
        <w:t>n</w:t>
      </w:r>
      <w:r w:rsidR="0025130F" w:rsidRPr="00D067D9">
        <w:rPr>
          <w:sz w:val="20"/>
          <w:szCs w:val="20"/>
        </w:rPr>
        <w:t xml:space="preserve">atural </w:t>
      </w:r>
      <w:r w:rsidRPr="00D067D9">
        <w:rPr>
          <w:sz w:val="20"/>
          <w:szCs w:val="20"/>
        </w:rPr>
        <w:t xml:space="preserve">(PADs) e recebidas cinco </w:t>
      </w:r>
      <w:r w:rsidR="0025130F">
        <w:rPr>
          <w:sz w:val="20"/>
          <w:szCs w:val="20"/>
        </w:rPr>
        <w:t>d</w:t>
      </w:r>
      <w:r w:rsidR="0025130F" w:rsidRPr="00D067D9">
        <w:rPr>
          <w:sz w:val="20"/>
          <w:szCs w:val="20"/>
        </w:rPr>
        <w:t xml:space="preserve">eclarações </w:t>
      </w:r>
      <w:r w:rsidRPr="00D067D9">
        <w:rPr>
          <w:sz w:val="20"/>
          <w:szCs w:val="20"/>
        </w:rPr>
        <w:t xml:space="preserve">de </w:t>
      </w:r>
      <w:r w:rsidR="0025130F">
        <w:rPr>
          <w:sz w:val="20"/>
          <w:szCs w:val="20"/>
        </w:rPr>
        <w:t>c</w:t>
      </w:r>
      <w:r w:rsidR="0025130F" w:rsidRPr="00D067D9">
        <w:rPr>
          <w:sz w:val="20"/>
          <w:szCs w:val="20"/>
        </w:rPr>
        <w:t xml:space="preserve">omercialidade </w:t>
      </w:r>
      <w:r w:rsidRPr="00D067D9">
        <w:rPr>
          <w:sz w:val="20"/>
          <w:szCs w:val="20"/>
        </w:rPr>
        <w:t xml:space="preserve">referentes a contratos na fase de exploração. Dentre as </w:t>
      </w:r>
      <w:r w:rsidR="0025130F">
        <w:rPr>
          <w:sz w:val="20"/>
          <w:szCs w:val="20"/>
        </w:rPr>
        <w:t>d</w:t>
      </w:r>
      <w:r w:rsidR="0025130F" w:rsidRPr="00D067D9">
        <w:rPr>
          <w:sz w:val="20"/>
          <w:szCs w:val="20"/>
        </w:rPr>
        <w:t xml:space="preserve">eclarações </w:t>
      </w:r>
      <w:r w:rsidRPr="00D067D9">
        <w:rPr>
          <w:sz w:val="20"/>
          <w:szCs w:val="20"/>
        </w:rPr>
        <w:t xml:space="preserve">de </w:t>
      </w:r>
      <w:r w:rsidR="0025130F">
        <w:rPr>
          <w:sz w:val="20"/>
          <w:szCs w:val="20"/>
        </w:rPr>
        <w:t>c</w:t>
      </w:r>
      <w:r w:rsidR="0025130F" w:rsidRPr="00D067D9">
        <w:rPr>
          <w:sz w:val="20"/>
          <w:szCs w:val="20"/>
        </w:rPr>
        <w:t xml:space="preserve">omercialidade </w:t>
      </w:r>
      <w:r w:rsidRPr="00D067D9">
        <w:rPr>
          <w:sz w:val="20"/>
          <w:szCs w:val="20"/>
        </w:rPr>
        <w:t xml:space="preserve">recebidas duas </w:t>
      </w:r>
      <w:r w:rsidR="0025130F">
        <w:rPr>
          <w:sz w:val="20"/>
          <w:szCs w:val="20"/>
        </w:rPr>
        <w:t>eram em mar</w:t>
      </w:r>
      <w:r w:rsidRPr="00D067D9">
        <w:rPr>
          <w:sz w:val="20"/>
          <w:szCs w:val="20"/>
        </w:rPr>
        <w:t xml:space="preserve"> e foram efetivadas ainda em 2025 (</w:t>
      </w:r>
      <w:r w:rsidR="0025130F">
        <w:rPr>
          <w:sz w:val="20"/>
          <w:szCs w:val="20"/>
        </w:rPr>
        <w:t>á</w:t>
      </w:r>
      <w:r w:rsidR="0025130F" w:rsidRPr="00D067D9">
        <w:rPr>
          <w:sz w:val="20"/>
          <w:szCs w:val="20"/>
        </w:rPr>
        <w:t xml:space="preserve">reas </w:t>
      </w:r>
      <w:r w:rsidRPr="00D067D9">
        <w:rPr>
          <w:sz w:val="20"/>
          <w:szCs w:val="20"/>
        </w:rPr>
        <w:t xml:space="preserve">de </w:t>
      </w:r>
      <w:r w:rsidR="0025130F">
        <w:rPr>
          <w:sz w:val="20"/>
          <w:szCs w:val="20"/>
        </w:rPr>
        <w:t>d</w:t>
      </w:r>
      <w:r w:rsidR="0025130F" w:rsidRPr="00D067D9">
        <w:rPr>
          <w:sz w:val="20"/>
          <w:szCs w:val="20"/>
        </w:rPr>
        <w:t xml:space="preserve">esenvolvimento </w:t>
      </w:r>
      <w:r w:rsidRPr="00D067D9">
        <w:rPr>
          <w:sz w:val="20"/>
          <w:szCs w:val="20"/>
        </w:rPr>
        <w:t xml:space="preserve">de Orca e Sul de Orca). As outras três </w:t>
      </w:r>
      <w:r w:rsidR="0025130F">
        <w:rPr>
          <w:sz w:val="20"/>
          <w:szCs w:val="20"/>
        </w:rPr>
        <w:t>d</w:t>
      </w:r>
      <w:r w:rsidR="0025130F" w:rsidRPr="00D067D9">
        <w:rPr>
          <w:sz w:val="20"/>
          <w:szCs w:val="20"/>
        </w:rPr>
        <w:t xml:space="preserve">eclarações </w:t>
      </w:r>
      <w:r w:rsidRPr="00D067D9">
        <w:rPr>
          <w:sz w:val="20"/>
          <w:szCs w:val="20"/>
        </w:rPr>
        <w:t xml:space="preserve">de </w:t>
      </w:r>
      <w:r w:rsidR="0025130F">
        <w:rPr>
          <w:sz w:val="20"/>
          <w:szCs w:val="20"/>
        </w:rPr>
        <w:t>c</w:t>
      </w:r>
      <w:r w:rsidR="0025130F" w:rsidRPr="00D067D9">
        <w:rPr>
          <w:sz w:val="20"/>
          <w:szCs w:val="20"/>
        </w:rPr>
        <w:t xml:space="preserve">omercialidade </w:t>
      </w:r>
      <w:r w:rsidRPr="00D067D9">
        <w:rPr>
          <w:sz w:val="20"/>
          <w:szCs w:val="20"/>
        </w:rPr>
        <w:t xml:space="preserve">recebidas referiam-se ao ambiente terrestre e as efetivações ainda dependiam da aprovação do </w:t>
      </w:r>
      <w:r w:rsidR="0025130F">
        <w:rPr>
          <w:sz w:val="20"/>
          <w:szCs w:val="20"/>
        </w:rPr>
        <w:t>r</w:t>
      </w:r>
      <w:r w:rsidR="0025130F" w:rsidRPr="00D067D9">
        <w:rPr>
          <w:sz w:val="20"/>
          <w:szCs w:val="20"/>
        </w:rPr>
        <w:t xml:space="preserve">elatório </w:t>
      </w:r>
      <w:r w:rsidR="0025130F">
        <w:rPr>
          <w:sz w:val="20"/>
          <w:szCs w:val="20"/>
        </w:rPr>
        <w:t>f</w:t>
      </w:r>
      <w:r w:rsidR="0025130F" w:rsidRPr="00D067D9">
        <w:rPr>
          <w:sz w:val="20"/>
          <w:szCs w:val="20"/>
        </w:rPr>
        <w:t xml:space="preserve">inal </w:t>
      </w:r>
      <w:r w:rsidRPr="00D067D9">
        <w:rPr>
          <w:sz w:val="20"/>
          <w:szCs w:val="20"/>
        </w:rPr>
        <w:t xml:space="preserve">de </w:t>
      </w:r>
      <w:r w:rsidR="0025130F">
        <w:rPr>
          <w:sz w:val="20"/>
          <w:szCs w:val="20"/>
        </w:rPr>
        <w:t>a</w:t>
      </w:r>
      <w:r w:rsidR="0025130F" w:rsidRPr="00D067D9">
        <w:rPr>
          <w:sz w:val="20"/>
          <w:szCs w:val="20"/>
        </w:rPr>
        <w:t xml:space="preserve">valiação </w:t>
      </w:r>
      <w:r w:rsidRPr="00D067D9">
        <w:rPr>
          <w:sz w:val="20"/>
          <w:szCs w:val="20"/>
        </w:rPr>
        <w:t xml:space="preserve">de </w:t>
      </w:r>
      <w:r w:rsidR="0025130F">
        <w:rPr>
          <w:sz w:val="20"/>
          <w:szCs w:val="20"/>
        </w:rPr>
        <w:t>d</w:t>
      </w:r>
      <w:r w:rsidR="0025130F" w:rsidRPr="00D067D9">
        <w:rPr>
          <w:sz w:val="20"/>
          <w:szCs w:val="20"/>
        </w:rPr>
        <w:t xml:space="preserve">escobertas </w:t>
      </w:r>
      <w:r w:rsidRPr="00D067D9">
        <w:rPr>
          <w:sz w:val="20"/>
          <w:szCs w:val="20"/>
        </w:rPr>
        <w:t xml:space="preserve">pela ANP </w:t>
      </w:r>
      <w:r w:rsidR="0025130F">
        <w:rPr>
          <w:sz w:val="20"/>
          <w:szCs w:val="20"/>
        </w:rPr>
        <w:t>n</w:t>
      </w:r>
      <w:r w:rsidRPr="00D067D9">
        <w:rPr>
          <w:sz w:val="20"/>
          <w:szCs w:val="20"/>
        </w:rPr>
        <w:t>o final de 2025 (</w:t>
      </w:r>
      <w:r w:rsidR="0025130F">
        <w:rPr>
          <w:sz w:val="20"/>
          <w:szCs w:val="20"/>
        </w:rPr>
        <w:t>á</w:t>
      </w:r>
      <w:r w:rsidR="0025130F" w:rsidRPr="00D067D9">
        <w:rPr>
          <w:sz w:val="20"/>
          <w:szCs w:val="20"/>
        </w:rPr>
        <w:t xml:space="preserve">reas </w:t>
      </w:r>
      <w:r w:rsidRPr="00D067D9">
        <w:rPr>
          <w:sz w:val="20"/>
          <w:szCs w:val="20"/>
        </w:rPr>
        <w:t xml:space="preserve">de </w:t>
      </w:r>
      <w:r w:rsidR="0025130F">
        <w:rPr>
          <w:sz w:val="20"/>
          <w:szCs w:val="20"/>
        </w:rPr>
        <w:t>d</w:t>
      </w:r>
      <w:r w:rsidR="0025130F" w:rsidRPr="00D067D9">
        <w:rPr>
          <w:sz w:val="20"/>
          <w:szCs w:val="20"/>
        </w:rPr>
        <w:t xml:space="preserve">esenvolvimento </w:t>
      </w:r>
      <w:r w:rsidRPr="00D067D9">
        <w:rPr>
          <w:sz w:val="20"/>
          <w:szCs w:val="20"/>
        </w:rPr>
        <w:t>de Surucucu, Urubu-rei e Urubu-rei Leste)</w:t>
      </w:r>
      <w:r w:rsidR="0041466A" w:rsidRPr="000B6230">
        <w:rPr>
          <w:sz w:val="20"/>
          <w:szCs w:val="20"/>
        </w:rPr>
        <w:t>.</w:t>
      </w:r>
    </w:p>
    <w:p w14:paraId="4032933F" w14:textId="77777777" w:rsidR="0041466A" w:rsidRPr="0066393E" w:rsidRDefault="0041466A" w:rsidP="0041466A">
      <w:pPr>
        <w:pStyle w:val="Corpodetexto3"/>
        <w:rPr>
          <w:sz w:val="20"/>
          <w:szCs w:val="20"/>
          <w:highlight w:val="yellow"/>
        </w:rPr>
      </w:pPr>
    </w:p>
    <w:p w14:paraId="6F47BED6" w14:textId="1013EC99" w:rsidR="0041466A" w:rsidRDefault="00D067D9" w:rsidP="0041466A">
      <w:pPr>
        <w:pStyle w:val="Corpodetexto3"/>
        <w:rPr>
          <w:sz w:val="20"/>
          <w:szCs w:val="20"/>
        </w:rPr>
      </w:pPr>
      <w:r w:rsidRPr="00D067D9">
        <w:rPr>
          <w:sz w:val="20"/>
          <w:szCs w:val="20"/>
        </w:rPr>
        <w:t>Em 2025, dos 44 campos na etapa de desenvolvimento, 24 eram marítimos e 20 terrestres. Desse total, 10 campos estavam sob contrato exclusivo da Petrobras e outros cinco em consórcio com outras empresas em diferentes bacias. A Eneva possuía o contrato exclusivo de seis campos terrestres na bacia do Parnaíba. A Equinor, IBV Brasil, Petrogal, Origem e Shell, possuíam três contratos em consórcio com outras empresas nas bacias de Campos, Espírito Santo, Potiguar, Santos e Sergipe. As empresas Brasil Refinarias, ExxonMobil, Imetame e Karoon tinham dois contratos exclusivos e, em consórcios nas bacias do Espírito Santo, Recôncavo e Santos. Outras empresas que possuíam contratos, consorciadas ou não, foram: 3R Petroleum, Aguila, BMG, BW Peixe, Campo Petróleo, Ecopetrol, Níon Energia, ONGC Campos, Perícia, Petro Rio Jaguar, Petroborn, Petro-Victory, Potiguar E&amp;P, Recôncavo Energia e Repsol Sinopec possuíam contratos, consorciados ou não, nas bacias Camamu, Campos, Espírito Santo, Potiguar, Recôncavo, Santos e Sergipe</w:t>
      </w:r>
      <w:r w:rsidR="0041466A" w:rsidRPr="00FA3B05">
        <w:rPr>
          <w:sz w:val="20"/>
          <w:szCs w:val="20"/>
        </w:rPr>
        <w:t>.</w:t>
      </w:r>
    </w:p>
    <w:p w14:paraId="2E71079D" w14:textId="77777777" w:rsidR="0041466A" w:rsidRPr="008143E3" w:rsidRDefault="0041466A" w:rsidP="0041466A">
      <w:pPr>
        <w:pStyle w:val="Corpodetexto3"/>
        <w:rPr>
          <w:sz w:val="20"/>
          <w:szCs w:val="20"/>
          <w:highlight w:val="yellow"/>
        </w:rPr>
      </w:pPr>
    </w:p>
    <w:p w14:paraId="413DCCDB" w14:textId="3AFB5A79" w:rsidR="0041466A" w:rsidRPr="008143E3" w:rsidRDefault="00D067D9" w:rsidP="0041466A">
      <w:pPr>
        <w:pStyle w:val="Corpodetexto3"/>
        <w:rPr>
          <w:sz w:val="20"/>
          <w:szCs w:val="20"/>
          <w:highlight w:val="yellow"/>
        </w:rPr>
      </w:pPr>
      <w:r w:rsidRPr="00D067D9">
        <w:rPr>
          <w:sz w:val="20"/>
          <w:szCs w:val="20"/>
        </w:rPr>
        <w:t>Em 2025, com relação aos 302 campos em fase de produção, 76 eram em mar e 227 em terra. A Petrobras era a única contratada em 42 campos e operadora do consórcio de outros 17 campos. Além disso, a PetroRecôncavo possuía 100% dos contratos de 44 campos e tinha participação como operador em outros dois. A 3R Potiguar era a única contratada de 30 campos terrestres, todos na Bacia Potiguar. A Mandacaru Energia era a única contratada de dois campos e operadora do consórcio de outros 10 campos terrestres, nas bacias do Espírito Santo, Potiguar e Sergipe. A Seacrest SPE Cricaré possuía 10 campos exclusivos terrestres na Bacia do Espírito Santo. A Trident Energy possuía 100% dos contratos de nove campos na Bacia do Campos. A Eneva possuía o contrato exclusivo de oito campos terrestres nas bacias do Amazonas e Parnaíba. A Phoenix Óleo &amp; Gás possuía o contrato exclusivo de seis campos terrestres na bacia Potiguar</w:t>
      </w:r>
      <w:r w:rsidR="0041466A">
        <w:rPr>
          <w:sz w:val="20"/>
          <w:szCs w:val="20"/>
        </w:rPr>
        <w:t>.</w:t>
      </w:r>
    </w:p>
    <w:p w14:paraId="7AE8B796" w14:textId="77777777" w:rsidR="0041466A" w:rsidRPr="008143E3" w:rsidRDefault="0041466A" w:rsidP="0041466A">
      <w:pPr>
        <w:pStyle w:val="Corpodetexto3"/>
        <w:rPr>
          <w:sz w:val="20"/>
          <w:szCs w:val="20"/>
          <w:highlight w:val="yellow"/>
        </w:rPr>
      </w:pPr>
    </w:p>
    <w:p w14:paraId="4CD7E104" w14:textId="2E7C723E" w:rsidR="0041466A" w:rsidRPr="00EB41B2" w:rsidRDefault="00D067D9" w:rsidP="0041466A">
      <w:pPr>
        <w:pStyle w:val="Corpodetexto3"/>
        <w:rPr>
          <w:sz w:val="20"/>
          <w:szCs w:val="20"/>
          <w:highlight w:val="yellow"/>
        </w:rPr>
      </w:pPr>
      <w:r w:rsidRPr="00D067D9">
        <w:rPr>
          <w:sz w:val="20"/>
          <w:szCs w:val="20"/>
        </w:rPr>
        <w:t>Em 2025, foram declarados comerciais as áreas de: Orca e Sul de Orca, operadas pela Shell; Surucucu, operada pela BGM; e Urubu-rei e Urubu-rei Leste, operadas pela Vultur. Em 2025, iniciaram a produção os campos terrestres de: Tanatau, operado pela Phoenix; Rio Joanes, operado pela Creative; Alto Alegre, operado pela Petro-victory; Gavião Vaqueiro, operado pela Eneva; e Batuíra, operado pela Capixaba</w:t>
      </w:r>
      <w:r w:rsidR="0041466A" w:rsidRPr="00114A13">
        <w:rPr>
          <w:sz w:val="20"/>
          <w:szCs w:val="20"/>
        </w:rPr>
        <w:t>.</w:t>
      </w:r>
    </w:p>
    <w:p w14:paraId="10E0231C" w14:textId="77777777" w:rsidR="0041466A" w:rsidRPr="00EB41B2" w:rsidRDefault="0041466A" w:rsidP="0041466A">
      <w:pPr>
        <w:pStyle w:val="Corpodetexto3"/>
        <w:rPr>
          <w:sz w:val="20"/>
          <w:szCs w:val="20"/>
          <w:highlight w:val="yellow"/>
        </w:rPr>
      </w:pPr>
    </w:p>
    <w:p w14:paraId="01AF95AF" w14:textId="0D22ADAF" w:rsidR="0041466A" w:rsidRDefault="00B303C4" w:rsidP="0041466A">
      <w:pPr>
        <w:pStyle w:val="Corpodetexto3"/>
        <w:rPr>
          <w:sz w:val="20"/>
          <w:szCs w:val="20"/>
        </w:rPr>
      </w:pPr>
      <w:r w:rsidRPr="00B303C4">
        <w:rPr>
          <w:sz w:val="20"/>
          <w:szCs w:val="20"/>
        </w:rPr>
        <w:t>Ao longo de 2025</w:t>
      </w:r>
      <w:r>
        <w:rPr>
          <w:sz w:val="20"/>
          <w:szCs w:val="20"/>
        </w:rPr>
        <w:t xml:space="preserve"> f</w:t>
      </w:r>
      <w:r w:rsidR="00D067D9" w:rsidRPr="00D067D9">
        <w:rPr>
          <w:sz w:val="20"/>
          <w:szCs w:val="20"/>
        </w:rPr>
        <w:t>oi iniciada produção das unidades marítimas FPSO Almirante Tamandaré, que recebe produção dos campos de Búzios, Búzios_ECO e Tambuatá; FPSO Alexandre de Gusmão, que recebe produção do campo de Mero e da AnC_Mero; FPSO Bacalhau, que recebe produção dos campos de Bacalhau e Bacalhau Norte; e Petrobras 78, que recebe produção dos campos de Búzios, Búzios_ECO e Tambuatá</w:t>
      </w:r>
      <w:r w:rsidR="0041466A" w:rsidRPr="00FA3B05">
        <w:rPr>
          <w:sz w:val="20"/>
          <w:szCs w:val="20"/>
        </w:rPr>
        <w:t>.</w:t>
      </w:r>
    </w:p>
    <w:p w14:paraId="480E0A01" w14:textId="77777777" w:rsidR="0041466A" w:rsidRPr="008143E3" w:rsidRDefault="0041466A" w:rsidP="0041466A">
      <w:pPr>
        <w:pStyle w:val="Corpodetexto3"/>
        <w:rPr>
          <w:sz w:val="20"/>
          <w:szCs w:val="20"/>
          <w:highlight w:val="yellow"/>
        </w:rPr>
      </w:pPr>
    </w:p>
    <w:p w14:paraId="5DA2A161"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Quadro 2.1</w:t>
      </w:r>
    </w:p>
    <w:p w14:paraId="4315EEFD"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Quadro 2.2</w:t>
      </w:r>
    </w:p>
    <w:p w14:paraId="3B7E3734" w14:textId="77777777" w:rsidR="0041466A" w:rsidRPr="001A4B9C" w:rsidRDefault="0041466A" w:rsidP="0041466A">
      <w:pPr>
        <w:pStyle w:val="Corpodetexto"/>
        <w:autoSpaceDE w:val="0"/>
        <w:autoSpaceDN w:val="0"/>
        <w:adjustRightInd w:val="0"/>
        <w:spacing w:line="240" w:lineRule="auto"/>
        <w:rPr>
          <w:rFonts w:cs="Arial"/>
          <w:color w:val="FF0000"/>
          <w:sz w:val="20"/>
        </w:rPr>
      </w:pPr>
      <w:r w:rsidRPr="001A4B9C">
        <w:rPr>
          <w:rFonts w:cs="Arial"/>
          <w:b/>
          <w:bCs/>
          <w:color w:val="FF0000"/>
          <w:sz w:val="20"/>
        </w:rPr>
        <w:t>Quadro 2.3</w:t>
      </w:r>
    </w:p>
    <w:p w14:paraId="741890D1" w14:textId="77777777" w:rsidR="0041466A" w:rsidRDefault="0041466A" w:rsidP="0041466A">
      <w:pPr>
        <w:pStyle w:val="Corpodetexto"/>
        <w:autoSpaceDE w:val="0"/>
        <w:autoSpaceDN w:val="0"/>
        <w:adjustRightInd w:val="0"/>
        <w:spacing w:line="240" w:lineRule="auto"/>
        <w:rPr>
          <w:rFonts w:cs="Arial"/>
          <w:b/>
          <w:bCs/>
          <w:sz w:val="20"/>
        </w:rPr>
      </w:pPr>
    </w:p>
    <w:p w14:paraId="6D789457" w14:textId="77777777" w:rsidR="0041466A" w:rsidRPr="001A4B9C" w:rsidRDefault="0041466A" w:rsidP="0041466A">
      <w:pPr>
        <w:pStyle w:val="Corpodetexto"/>
        <w:autoSpaceDE w:val="0"/>
        <w:autoSpaceDN w:val="0"/>
        <w:adjustRightInd w:val="0"/>
        <w:spacing w:line="240" w:lineRule="auto"/>
        <w:rPr>
          <w:rFonts w:cs="Arial"/>
          <w:b/>
          <w:bCs/>
          <w:sz w:val="20"/>
        </w:rPr>
      </w:pPr>
    </w:p>
    <w:p w14:paraId="45DFB588" w14:textId="2F42C3C5" w:rsidR="0041466A" w:rsidRPr="001A4B9C" w:rsidRDefault="0041466A" w:rsidP="0041466A">
      <w:pPr>
        <w:pStyle w:val="Corpodetexto"/>
        <w:autoSpaceDE w:val="0"/>
        <w:autoSpaceDN w:val="0"/>
        <w:adjustRightInd w:val="0"/>
        <w:spacing w:line="240" w:lineRule="auto"/>
        <w:rPr>
          <w:rFonts w:cs="Arial"/>
          <w:b/>
          <w:bCs/>
          <w:sz w:val="20"/>
        </w:rPr>
      </w:pPr>
      <w:r w:rsidRPr="0042172C">
        <w:rPr>
          <w:rFonts w:cs="Arial"/>
          <w:b/>
          <w:bCs/>
          <w:sz w:val="20"/>
        </w:rPr>
        <w:t>2.</w:t>
      </w:r>
      <w:r w:rsidR="00EE7A7C">
        <w:rPr>
          <w:rFonts w:cs="Arial"/>
          <w:b/>
          <w:bCs/>
          <w:sz w:val="20"/>
        </w:rPr>
        <w:t>1.</w:t>
      </w:r>
      <w:r w:rsidRPr="0042172C">
        <w:rPr>
          <w:rFonts w:cs="Arial"/>
          <w:b/>
          <w:bCs/>
          <w:sz w:val="20"/>
        </w:rPr>
        <w:t xml:space="preserve">2 </w:t>
      </w:r>
      <w:r w:rsidR="00EE7A7C">
        <w:rPr>
          <w:rFonts w:cs="Arial"/>
          <w:b/>
          <w:bCs/>
          <w:sz w:val="20"/>
        </w:rPr>
        <w:t>A</w:t>
      </w:r>
      <w:r w:rsidR="00EE7A7C" w:rsidRPr="0042172C">
        <w:rPr>
          <w:rFonts w:cs="Arial"/>
          <w:b/>
          <w:bCs/>
          <w:sz w:val="20"/>
        </w:rPr>
        <w:t>tividade</w:t>
      </w:r>
      <w:r w:rsidR="00EE7A7C">
        <w:rPr>
          <w:rFonts w:cs="Arial"/>
          <w:b/>
          <w:bCs/>
          <w:sz w:val="20"/>
        </w:rPr>
        <w:t>s</w:t>
      </w:r>
      <w:r w:rsidR="00EE7A7C" w:rsidRPr="0042172C">
        <w:rPr>
          <w:rFonts w:cs="Arial"/>
          <w:b/>
          <w:bCs/>
          <w:sz w:val="20"/>
        </w:rPr>
        <w:t xml:space="preserve"> exploratória</w:t>
      </w:r>
      <w:r w:rsidR="00EE7A7C">
        <w:rPr>
          <w:rFonts w:cs="Arial"/>
          <w:b/>
          <w:bCs/>
          <w:sz w:val="20"/>
        </w:rPr>
        <w:t>s e explotatórias</w:t>
      </w:r>
    </w:p>
    <w:p w14:paraId="3243F9D9" w14:textId="77777777" w:rsidR="0041466A" w:rsidRPr="00360370" w:rsidRDefault="0041466A" w:rsidP="0041466A">
      <w:pPr>
        <w:pStyle w:val="Corpodetexto"/>
        <w:autoSpaceDE w:val="0"/>
        <w:autoSpaceDN w:val="0"/>
        <w:adjustRightInd w:val="0"/>
        <w:spacing w:line="240" w:lineRule="auto"/>
        <w:rPr>
          <w:rFonts w:cs="Arial"/>
          <w:sz w:val="20"/>
          <w:highlight w:val="yellow"/>
        </w:rPr>
      </w:pPr>
    </w:p>
    <w:p w14:paraId="74D4D2B2" w14:textId="11778330" w:rsidR="0041466A" w:rsidRPr="00AA79A0" w:rsidRDefault="0041466A" w:rsidP="0041466A">
      <w:pPr>
        <w:pStyle w:val="Corpodetexto"/>
        <w:autoSpaceDE w:val="0"/>
        <w:autoSpaceDN w:val="0"/>
        <w:adjustRightInd w:val="0"/>
        <w:spacing w:line="240" w:lineRule="auto"/>
        <w:rPr>
          <w:rFonts w:cs="Arial"/>
          <w:color w:val="000000"/>
          <w:sz w:val="20"/>
        </w:rPr>
      </w:pPr>
      <w:r w:rsidRPr="00AA79A0">
        <w:rPr>
          <w:rFonts w:cs="Arial"/>
          <w:color w:val="000000"/>
          <w:sz w:val="20"/>
        </w:rPr>
        <w:t>O conhecimento geológico sobre as bacias sedimentares brasileiras é fundamental para a expansão contínua da atividade exploratória da indústria do petróleo. A União, proprietária exclusiva das riquezas minerais do subsolo, ganha com a ampliação do potencial petrolífero, que gera emprego</w:t>
      </w:r>
      <w:r>
        <w:rPr>
          <w:rFonts w:cs="Arial"/>
          <w:color w:val="000000"/>
          <w:sz w:val="20"/>
        </w:rPr>
        <w:t xml:space="preserve"> e</w:t>
      </w:r>
      <w:r w:rsidRPr="00AA79A0">
        <w:rPr>
          <w:rFonts w:cs="Arial"/>
          <w:color w:val="000000"/>
          <w:sz w:val="20"/>
        </w:rPr>
        <w:t xml:space="preserve"> renda, fortalece a economia nacional, impulsiona as economias locais e garante receitas. </w:t>
      </w:r>
      <w:r w:rsidR="001C0E86">
        <w:rPr>
          <w:rFonts w:cs="Arial"/>
          <w:color w:val="000000"/>
          <w:sz w:val="20"/>
        </w:rPr>
        <w:t>A</w:t>
      </w:r>
      <w:r w:rsidR="00E57DC7">
        <w:rPr>
          <w:rFonts w:cs="Arial"/>
          <w:color w:val="000000"/>
          <w:sz w:val="20"/>
        </w:rPr>
        <w:t xml:space="preserve"> </w:t>
      </w:r>
      <w:r w:rsidRPr="00AA79A0">
        <w:rPr>
          <w:rFonts w:cs="Arial"/>
          <w:color w:val="000000"/>
          <w:sz w:val="20"/>
        </w:rPr>
        <w:t>promoção de estudos geológicos é uma das atribuições legais da ANP.</w:t>
      </w:r>
    </w:p>
    <w:p w14:paraId="23A3E0D7" w14:textId="77777777" w:rsidR="0041466A" w:rsidRPr="00360370" w:rsidRDefault="0041466A" w:rsidP="0041466A">
      <w:pPr>
        <w:pStyle w:val="Corpodetexto"/>
        <w:autoSpaceDE w:val="0"/>
        <w:autoSpaceDN w:val="0"/>
        <w:adjustRightInd w:val="0"/>
        <w:spacing w:line="240" w:lineRule="auto"/>
        <w:rPr>
          <w:rFonts w:cs="Arial"/>
          <w:color w:val="000000"/>
          <w:sz w:val="20"/>
          <w:highlight w:val="yellow"/>
        </w:rPr>
      </w:pPr>
    </w:p>
    <w:p w14:paraId="60F55A6A" w14:textId="77777777" w:rsidR="0041466A" w:rsidRPr="000D7C33" w:rsidRDefault="0041466A" w:rsidP="0041466A">
      <w:pPr>
        <w:pStyle w:val="Corpodetexto"/>
        <w:autoSpaceDE w:val="0"/>
        <w:autoSpaceDN w:val="0"/>
        <w:adjustRightInd w:val="0"/>
        <w:spacing w:line="240" w:lineRule="auto"/>
        <w:rPr>
          <w:rFonts w:cs="Arial"/>
          <w:color w:val="000000"/>
          <w:sz w:val="20"/>
        </w:rPr>
      </w:pPr>
      <w:r w:rsidRPr="000D7C33">
        <w:rPr>
          <w:rFonts w:cs="Arial"/>
          <w:color w:val="000000"/>
          <w:sz w:val="20"/>
        </w:rPr>
        <w:t xml:space="preserve">A atividade exploratória inclui a aquisição de dados </w:t>
      </w:r>
      <w:r>
        <w:rPr>
          <w:rFonts w:cs="Arial"/>
          <w:color w:val="000000"/>
          <w:sz w:val="20"/>
        </w:rPr>
        <w:t>por meio</w:t>
      </w:r>
      <w:r w:rsidRPr="000D7C33">
        <w:rPr>
          <w:rFonts w:cs="Arial"/>
          <w:color w:val="000000"/>
          <w:sz w:val="20"/>
        </w:rPr>
        <w:t xml:space="preserve"> de pesquisas nas bacias sedimentares</w:t>
      </w:r>
      <w:r>
        <w:rPr>
          <w:rFonts w:cs="Arial"/>
          <w:color w:val="000000"/>
          <w:sz w:val="20"/>
        </w:rPr>
        <w:t xml:space="preserve"> realizad</w:t>
      </w:r>
      <w:r w:rsidRPr="000D7C33">
        <w:rPr>
          <w:rFonts w:cs="Arial"/>
          <w:color w:val="000000"/>
          <w:sz w:val="20"/>
        </w:rPr>
        <w:t xml:space="preserve">as tanto por concessionários </w:t>
      </w:r>
      <w:r>
        <w:rPr>
          <w:rFonts w:cs="Arial"/>
          <w:color w:val="000000"/>
          <w:sz w:val="20"/>
        </w:rPr>
        <w:t>quant</w:t>
      </w:r>
      <w:r w:rsidRPr="000D7C33">
        <w:rPr>
          <w:rFonts w:cs="Arial"/>
          <w:color w:val="000000"/>
          <w:sz w:val="20"/>
        </w:rPr>
        <w:t xml:space="preserve">o </w:t>
      </w:r>
      <w:r>
        <w:rPr>
          <w:rFonts w:cs="Arial"/>
          <w:color w:val="000000"/>
          <w:sz w:val="20"/>
        </w:rPr>
        <w:t xml:space="preserve">por </w:t>
      </w:r>
      <w:r w:rsidRPr="000D7C33">
        <w:rPr>
          <w:rFonts w:cs="Arial"/>
          <w:color w:val="000000"/>
          <w:sz w:val="20"/>
        </w:rPr>
        <w:t>empre</w:t>
      </w:r>
      <w:r>
        <w:rPr>
          <w:rFonts w:cs="Arial"/>
          <w:color w:val="000000"/>
          <w:sz w:val="20"/>
        </w:rPr>
        <w:t>sas de aquisição de dados (EAD). Além destes, há os dados de fomento,</w:t>
      </w:r>
      <w:r w:rsidRPr="000D7C33">
        <w:rPr>
          <w:rFonts w:cs="Arial"/>
          <w:color w:val="000000"/>
          <w:sz w:val="20"/>
        </w:rPr>
        <w:t xml:space="preserve"> </w:t>
      </w:r>
      <w:r w:rsidRPr="009C3ABD">
        <w:rPr>
          <w:rFonts w:cs="Arial"/>
          <w:color w:val="000000"/>
          <w:sz w:val="20"/>
        </w:rPr>
        <w:t xml:space="preserve">que são os adquiridos pela ANP, </w:t>
      </w:r>
      <w:r>
        <w:rPr>
          <w:rFonts w:cs="Arial"/>
          <w:color w:val="000000"/>
          <w:sz w:val="20"/>
        </w:rPr>
        <w:t xml:space="preserve">seja </w:t>
      </w:r>
      <w:r w:rsidRPr="009C3ABD">
        <w:rPr>
          <w:rFonts w:cs="Arial"/>
          <w:color w:val="000000"/>
          <w:sz w:val="20"/>
        </w:rPr>
        <w:t>por meio de empresa contratada ou instituição conveniada e aqueles obtidos por instituição acadêmica</w:t>
      </w:r>
      <w:r w:rsidRPr="000D7C33">
        <w:rPr>
          <w:rFonts w:cs="Arial"/>
          <w:color w:val="000000"/>
          <w:sz w:val="20"/>
        </w:rPr>
        <w:t>. Esses dados podem ser sísmicos – adquiridos com a utilização de métodos geofísicos de reflexão e/ou refração de ondas – ou não sísmicos,</w:t>
      </w:r>
      <w:r>
        <w:rPr>
          <w:rFonts w:cs="Arial"/>
          <w:color w:val="000000"/>
          <w:sz w:val="20"/>
        </w:rPr>
        <w:t xml:space="preserve"> também chamados potenciais,</w:t>
      </w:r>
      <w:r w:rsidRPr="000D7C33">
        <w:rPr>
          <w:rFonts w:cs="Arial"/>
          <w:color w:val="000000"/>
          <w:sz w:val="20"/>
        </w:rPr>
        <w:t xml:space="preserve"> tais como os obtidos por métodos gravimétricos e magnetométricos.</w:t>
      </w:r>
    </w:p>
    <w:p w14:paraId="3F9A8B32" w14:textId="77777777" w:rsidR="0041466A" w:rsidRPr="00360370" w:rsidRDefault="0041466A" w:rsidP="0041466A">
      <w:pPr>
        <w:pStyle w:val="Corpodetexto"/>
        <w:autoSpaceDE w:val="0"/>
        <w:autoSpaceDN w:val="0"/>
        <w:adjustRightInd w:val="0"/>
        <w:spacing w:line="240" w:lineRule="auto"/>
        <w:rPr>
          <w:rFonts w:cs="Arial"/>
          <w:color w:val="000000"/>
          <w:sz w:val="20"/>
          <w:highlight w:val="yellow"/>
        </w:rPr>
      </w:pPr>
    </w:p>
    <w:p w14:paraId="26DACC37" w14:textId="77777777" w:rsidR="0041466A" w:rsidRDefault="0041466A" w:rsidP="0041466A">
      <w:pPr>
        <w:pStyle w:val="Corpodetexto"/>
        <w:autoSpaceDE w:val="0"/>
        <w:autoSpaceDN w:val="0"/>
        <w:adjustRightInd w:val="0"/>
        <w:spacing w:line="240" w:lineRule="auto"/>
        <w:rPr>
          <w:rFonts w:cs="Arial"/>
          <w:color w:val="000000"/>
          <w:sz w:val="20"/>
        </w:rPr>
      </w:pPr>
      <w:r>
        <w:rPr>
          <w:rFonts w:cs="Arial"/>
          <w:color w:val="000000"/>
          <w:sz w:val="20"/>
        </w:rPr>
        <w:t>Dados</w:t>
      </w:r>
      <w:r w:rsidRPr="00464572">
        <w:rPr>
          <w:rFonts w:cs="Arial"/>
          <w:color w:val="000000"/>
          <w:sz w:val="20"/>
        </w:rPr>
        <w:t xml:space="preserve"> exclusivos são aqueles adquiridos por concessionários nos limites de sua área de concessão, por intermédio de EAD ou por meios próprios. E dados não exclusivos são </w:t>
      </w:r>
      <w:r>
        <w:rPr>
          <w:rFonts w:cs="Arial"/>
          <w:color w:val="000000"/>
          <w:sz w:val="20"/>
        </w:rPr>
        <w:t xml:space="preserve">os </w:t>
      </w:r>
      <w:r w:rsidRPr="00464572">
        <w:rPr>
          <w:rFonts w:cs="Arial"/>
          <w:color w:val="000000"/>
          <w:sz w:val="20"/>
        </w:rPr>
        <w:t>obtidos por EAD em área que seja ou não objeto de contrato de concessão, mediante autorização da ANP.</w:t>
      </w:r>
    </w:p>
    <w:p w14:paraId="32D925A9" w14:textId="77777777" w:rsidR="0041466A" w:rsidRPr="00464572" w:rsidRDefault="0041466A" w:rsidP="0041466A">
      <w:pPr>
        <w:pStyle w:val="Corpodetexto"/>
        <w:autoSpaceDE w:val="0"/>
        <w:autoSpaceDN w:val="0"/>
        <w:adjustRightInd w:val="0"/>
        <w:spacing w:line="240" w:lineRule="auto"/>
        <w:rPr>
          <w:rFonts w:cs="Arial"/>
          <w:color w:val="000000"/>
          <w:sz w:val="20"/>
        </w:rPr>
      </w:pPr>
    </w:p>
    <w:p w14:paraId="74AFBCF3" w14:textId="16C87AEC" w:rsidR="009F1ACE" w:rsidRDefault="0041466A" w:rsidP="0041466A">
      <w:pPr>
        <w:pStyle w:val="Corpodetexto"/>
        <w:autoSpaceDE w:val="0"/>
        <w:autoSpaceDN w:val="0"/>
        <w:adjustRightInd w:val="0"/>
        <w:spacing w:line="240" w:lineRule="auto"/>
        <w:rPr>
          <w:rFonts w:cs="Arial"/>
          <w:color w:val="000000"/>
          <w:sz w:val="20"/>
        </w:rPr>
      </w:pPr>
      <w:r w:rsidRPr="00464572">
        <w:rPr>
          <w:rFonts w:cs="Arial"/>
          <w:color w:val="000000"/>
          <w:sz w:val="20"/>
        </w:rPr>
        <w:t xml:space="preserve">Em </w:t>
      </w:r>
      <w:r>
        <w:rPr>
          <w:rFonts w:cs="Arial"/>
          <w:color w:val="000000"/>
          <w:sz w:val="20"/>
        </w:rPr>
        <w:t>2025</w:t>
      </w:r>
      <w:r w:rsidRPr="00464572">
        <w:rPr>
          <w:rFonts w:cs="Arial"/>
          <w:color w:val="000000"/>
          <w:sz w:val="20"/>
        </w:rPr>
        <w:t>,</w:t>
      </w:r>
      <w:r>
        <w:rPr>
          <w:rFonts w:cs="Arial"/>
          <w:color w:val="000000"/>
          <w:sz w:val="20"/>
        </w:rPr>
        <w:t xml:space="preserve"> </w:t>
      </w:r>
      <w:r w:rsidR="009F1ACE">
        <w:rPr>
          <w:rFonts w:cs="Arial"/>
          <w:color w:val="000000"/>
          <w:sz w:val="20"/>
        </w:rPr>
        <w:t>p</w:t>
      </w:r>
      <w:r w:rsidR="009F1ACE" w:rsidRPr="00464572">
        <w:rPr>
          <w:rFonts w:cs="Arial"/>
          <w:color w:val="000000"/>
          <w:sz w:val="20"/>
        </w:rPr>
        <w:t xml:space="preserve">or </w:t>
      </w:r>
      <w:r w:rsidRPr="00464572">
        <w:rPr>
          <w:rFonts w:cs="Arial"/>
          <w:color w:val="000000"/>
          <w:sz w:val="20"/>
        </w:rPr>
        <w:t xml:space="preserve">meio da sísmica 3D, houve aquisição </w:t>
      </w:r>
      <w:r>
        <w:rPr>
          <w:rFonts w:cs="Arial"/>
          <w:color w:val="000000"/>
          <w:sz w:val="20"/>
        </w:rPr>
        <w:t xml:space="preserve">de 4.478 </w:t>
      </w:r>
      <w:r w:rsidRPr="00464572">
        <w:rPr>
          <w:rFonts w:cs="Arial"/>
          <w:color w:val="000000"/>
          <w:sz w:val="20"/>
        </w:rPr>
        <w:t>km²</w:t>
      </w:r>
      <w:r>
        <w:rPr>
          <w:rFonts w:cs="Arial"/>
          <w:color w:val="000000"/>
          <w:sz w:val="20"/>
        </w:rPr>
        <w:t xml:space="preserve"> </w:t>
      </w:r>
      <w:r w:rsidR="009F1ACE">
        <w:rPr>
          <w:rFonts w:cs="Arial"/>
          <w:color w:val="000000"/>
          <w:sz w:val="20"/>
        </w:rPr>
        <w:t xml:space="preserve">de </w:t>
      </w:r>
      <w:r>
        <w:rPr>
          <w:rFonts w:cs="Arial"/>
          <w:color w:val="000000"/>
          <w:sz w:val="20"/>
        </w:rPr>
        <w:t xml:space="preserve">dados exclusivos, </w:t>
      </w:r>
      <w:r w:rsidR="009F1ACE">
        <w:rPr>
          <w:rFonts w:cs="Arial"/>
          <w:color w:val="000000"/>
          <w:sz w:val="20"/>
        </w:rPr>
        <w:t xml:space="preserve">um aumento de </w:t>
      </w:r>
      <w:r>
        <w:rPr>
          <w:rFonts w:cs="Arial"/>
          <w:color w:val="000000"/>
          <w:sz w:val="20"/>
        </w:rPr>
        <w:t xml:space="preserve">402% </w:t>
      </w:r>
      <w:r w:rsidR="009F1ACE">
        <w:rPr>
          <w:rFonts w:cs="Arial"/>
          <w:color w:val="000000"/>
          <w:sz w:val="20"/>
        </w:rPr>
        <w:t xml:space="preserve">em </w:t>
      </w:r>
      <w:r>
        <w:rPr>
          <w:rFonts w:cs="Arial"/>
          <w:color w:val="000000"/>
          <w:sz w:val="20"/>
        </w:rPr>
        <w:t>relação a 2024</w:t>
      </w:r>
      <w:r w:rsidR="009F1ACE">
        <w:rPr>
          <w:rFonts w:cs="Arial"/>
          <w:color w:val="000000"/>
          <w:sz w:val="20"/>
        </w:rPr>
        <w:t>. Além disso, foram adquiridos</w:t>
      </w:r>
      <w:r w:rsidRPr="00464572">
        <w:rPr>
          <w:rFonts w:cs="Arial"/>
          <w:color w:val="000000"/>
          <w:sz w:val="20"/>
        </w:rPr>
        <w:t xml:space="preserve"> </w:t>
      </w:r>
      <w:r>
        <w:rPr>
          <w:rFonts w:cs="Arial"/>
          <w:color w:val="000000"/>
          <w:sz w:val="20"/>
        </w:rPr>
        <w:t>20,2</w:t>
      </w:r>
      <w:r w:rsidRPr="00464572">
        <w:rPr>
          <w:rFonts w:cs="Arial"/>
          <w:color w:val="000000"/>
          <w:sz w:val="20"/>
        </w:rPr>
        <w:t xml:space="preserve"> mil km² de dados não exclusivos</w:t>
      </w:r>
      <w:r>
        <w:rPr>
          <w:rFonts w:cs="Arial"/>
          <w:color w:val="000000"/>
          <w:sz w:val="20"/>
        </w:rPr>
        <w:t>, 18,7%</w:t>
      </w:r>
      <w:r w:rsidR="009F1ACE">
        <w:rPr>
          <w:rFonts w:cs="Arial"/>
          <w:color w:val="000000"/>
          <w:sz w:val="20"/>
        </w:rPr>
        <w:t xml:space="preserve"> a menos que no ano anterior</w:t>
      </w:r>
      <w:r w:rsidRPr="00464572">
        <w:rPr>
          <w:rFonts w:cs="Arial"/>
          <w:color w:val="000000"/>
          <w:sz w:val="20"/>
        </w:rPr>
        <w:t>.</w:t>
      </w:r>
    </w:p>
    <w:p w14:paraId="4592BEDE" w14:textId="77777777" w:rsidR="009F1ACE" w:rsidRDefault="009F1ACE" w:rsidP="0041466A">
      <w:pPr>
        <w:pStyle w:val="Corpodetexto"/>
        <w:autoSpaceDE w:val="0"/>
        <w:autoSpaceDN w:val="0"/>
        <w:adjustRightInd w:val="0"/>
        <w:spacing w:line="240" w:lineRule="auto"/>
        <w:rPr>
          <w:rFonts w:cs="Arial"/>
          <w:color w:val="000000"/>
          <w:sz w:val="20"/>
        </w:rPr>
      </w:pPr>
    </w:p>
    <w:p w14:paraId="4F868967" w14:textId="75550A39" w:rsidR="0041466A" w:rsidRPr="00360370" w:rsidRDefault="00047561" w:rsidP="0041466A">
      <w:pPr>
        <w:pStyle w:val="Corpodetexto"/>
        <w:autoSpaceDE w:val="0"/>
        <w:autoSpaceDN w:val="0"/>
        <w:adjustRightInd w:val="0"/>
        <w:spacing w:line="240" w:lineRule="auto"/>
        <w:rPr>
          <w:rFonts w:cs="Arial"/>
          <w:color w:val="000000"/>
          <w:sz w:val="20"/>
          <w:highlight w:val="yellow"/>
        </w:rPr>
      </w:pPr>
      <w:r>
        <w:rPr>
          <w:rFonts w:cs="Arial"/>
          <w:color w:val="000000"/>
          <w:sz w:val="20"/>
        </w:rPr>
        <w:t>Através</w:t>
      </w:r>
      <w:r w:rsidR="003E4028">
        <w:rPr>
          <w:rFonts w:cs="Arial"/>
          <w:color w:val="000000"/>
          <w:sz w:val="20"/>
        </w:rPr>
        <w:t xml:space="preserve"> </w:t>
      </w:r>
      <w:r>
        <w:rPr>
          <w:rFonts w:cs="Arial"/>
          <w:color w:val="000000"/>
          <w:sz w:val="20"/>
        </w:rPr>
        <w:t>d</w:t>
      </w:r>
      <w:r w:rsidR="003E4028">
        <w:rPr>
          <w:rFonts w:cs="Arial"/>
          <w:color w:val="000000"/>
          <w:sz w:val="20"/>
        </w:rPr>
        <w:t xml:space="preserve">a sísmica </w:t>
      </w:r>
      <w:r w:rsidR="003E4028" w:rsidRPr="007951B9">
        <w:rPr>
          <w:rFonts w:cs="Arial"/>
          <w:color w:val="000000"/>
          <w:sz w:val="20"/>
        </w:rPr>
        <w:t>4D/4C</w:t>
      </w:r>
      <w:r w:rsidR="003E4028">
        <w:rPr>
          <w:rFonts w:cs="Arial"/>
          <w:color w:val="000000"/>
          <w:sz w:val="20"/>
        </w:rPr>
        <w:t xml:space="preserve">, </w:t>
      </w:r>
      <w:r w:rsidR="0041466A">
        <w:rPr>
          <w:rFonts w:cs="Arial"/>
          <w:color w:val="000000"/>
          <w:sz w:val="20"/>
        </w:rPr>
        <w:t xml:space="preserve">houve aquisição de 478 </w:t>
      </w:r>
      <w:r w:rsidR="0041466A" w:rsidRPr="00464572">
        <w:rPr>
          <w:rFonts w:cs="Arial"/>
          <w:color w:val="000000"/>
          <w:sz w:val="20"/>
        </w:rPr>
        <w:t>km²</w:t>
      </w:r>
      <w:r w:rsidR="0041466A">
        <w:rPr>
          <w:rFonts w:cs="Arial"/>
          <w:color w:val="000000"/>
          <w:sz w:val="20"/>
        </w:rPr>
        <w:t xml:space="preserve"> de </w:t>
      </w:r>
      <w:r w:rsidR="003E4028">
        <w:rPr>
          <w:rFonts w:cs="Arial"/>
          <w:color w:val="000000"/>
          <w:sz w:val="20"/>
        </w:rPr>
        <w:t>dados exclusivos</w:t>
      </w:r>
      <w:r w:rsidR="0041466A">
        <w:rPr>
          <w:rFonts w:cs="Arial"/>
          <w:color w:val="000000"/>
          <w:sz w:val="20"/>
        </w:rPr>
        <w:t xml:space="preserve">, </w:t>
      </w:r>
      <w:r w:rsidR="003E4028">
        <w:rPr>
          <w:rFonts w:cs="Arial"/>
          <w:color w:val="000000"/>
          <w:sz w:val="20"/>
        </w:rPr>
        <w:t xml:space="preserve">registrando </w:t>
      </w:r>
      <w:r w:rsidR="0041466A">
        <w:rPr>
          <w:rFonts w:cs="Arial"/>
          <w:color w:val="000000"/>
          <w:sz w:val="20"/>
        </w:rPr>
        <w:t>queda de 91,7% em relação ao total de 2024.</w:t>
      </w:r>
    </w:p>
    <w:p w14:paraId="7752196B" w14:textId="77777777" w:rsidR="0041466A" w:rsidRPr="00360370" w:rsidRDefault="0041466A" w:rsidP="0041466A">
      <w:pPr>
        <w:pStyle w:val="Corpodetexto"/>
        <w:autoSpaceDE w:val="0"/>
        <w:autoSpaceDN w:val="0"/>
        <w:adjustRightInd w:val="0"/>
        <w:spacing w:line="240" w:lineRule="auto"/>
        <w:rPr>
          <w:rFonts w:cs="Arial"/>
          <w:sz w:val="20"/>
          <w:highlight w:val="yellow"/>
        </w:rPr>
      </w:pPr>
    </w:p>
    <w:p w14:paraId="57A1C4D3" w14:textId="2420665C" w:rsidR="00047561" w:rsidRDefault="00047561" w:rsidP="0041466A">
      <w:pPr>
        <w:jc w:val="both"/>
        <w:rPr>
          <w:rFonts w:ascii="Arial" w:hAnsi="Arial" w:cs="Arial"/>
          <w:color w:val="000000"/>
        </w:rPr>
      </w:pPr>
      <w:r>
        <w:rPr>
          <w:rFonts w:ascii="Arial" w:hAnsi="Arial" w:cs="Arial"/>
          <w:color w:val="000000"/>
        </w:rPr>
        <w:t>Por meio dos</w:t>
      </w:r>
      <w:r w:rsidR="0041466A" w:rsidRPr="00E02EA5">
        <w:rPr>
          <w:rFonts w:ascii="Arial" w:hAnsi="Arial" w:cs="Arial"/>
          <w:color w:val="000000"/>
        </w:rPr>
        <w:t xml:space="preserve"> métodos potenciais</w:t>
      </w:r>
      <w:r w:rsidR="0041466A">
        <w:rPr>
          <w:rFonts w:ascii="Arial" w:hAnsi="Arial" w:cs="Arial"/>
          <w:color w:val="000000"/>
        </w:rPr>
        <w:t xml:space="preserve">, houve aquisição de 21,9 km </w:t>
      </w:r>
      <w:r>
        <w:rPr>
          <w:rFonts w:ascii="Arial" w:hAnsi="Arial" w:cs="Arial"/>
          <w:color w:val="000000"/>
        </w:rPr>
        <w:t xml:space="preserve">de dados exclusivos por </w:t>
      </w:r>
      <w:r w:rsidR="0041466A">
        <w:rPr>
          <w:rFonts w:ascii="Arial" w:hAnsi="Arial" w:cs="Arial"/>
          <w:color w:val="000000"/>
        </w:rPr>
        <w:t>g</w:t>
      </w:r>
      <w:r w:rsidR="0041466A" w:rsidRPr="00E02EA5">
        <w:rPr>
          <w:rFonts w:ascii="Arial" w:hAnsi="Arial" w:cs="Arial"/>
          <w:color w:val="000000"/>
        </w:rPr>
        <w:t>ravimetria</w:t>
      </w:r>
      <w:r>
        <w:rPr>
          <w:rFonts w:ascii="Arial" w:hAnsi="Arial" w:cs="Arial"/>
          <w:color w:val="000000"/>
        </w:rPr>
        <w:t xml:space="preserve"> e</w:t>
      </w:r>
      <w:r w:rsidR="0041466A">
        <w:rPr>
          <w:rFonts w:ascii="Arial" w:hAnsi="Arial" w:cs="Arial"/>
          <w:color w:val="000000"/>
        </w:rPr>
        <w:t xml:space="preserve"> magnetometria. Em </w:t>
      </w:r>
      <w:r>
        <w:rPr>
          <w:rFonts w:ascii="Arial" w:hAnsi="Arial" w:cs="Arial"/>
          <w:color w:val="000000"/>
        </w:rPr>
        <w:t>de</w:t>
      </w:r>
      <w:r w:rsidR="0041466A">
        <w:rPr>
          <w:rFonts w:ascii="Arial" w:hAnsi="Arial" w:cs="Arial"/>
          <w:color w:val="000000"/>
        </w:rPr>
        <w:t xml:space="preserve"> 23,8 km</w:t>
      </w:r>
      <w:r>
        <w:rPr>
          <w:rFonts w:ascii="Arial" w:hAnsi="Arial" w:cs="Arial"/>
          <w:color w:val="000000"/>
        </w:rPr>
        <w:t xml:space="preserve"> de dados não exclusivos</w:t>
      </w:r>
      <w:r w:rsidR="0041466A">
        <w:rPr>
          <w:rFonts w:ascii="Arial" w:hAnsi="Arial" w:cs="Arial"/>
          <w:color w:val="000000"/>
        </w:rPr>
        <w:t xml:space="preserve"> </w:t>
      </w:r>
      <w:r>
        <w:rPr>
          <w:rFonts w:ascii="Arial" w:hAnsi="Arial" w:cs="Arial"/>
          <w:color w:val="000000"/>
        </w:rPr>
        <w:t>por</w:t>
      </w:r>
      <w:r w:rsidR="0041466A">
        <w:rPr>
          <w:rFonts w:ascii="Arial" w:hAnsi="Arial" w:cs="Arial"/>
          <w:color w:val="000000"/>
        </w:rPr>
        <w:t xml:space="preserve"> magnetometria (km).</w:t>
      </w:r>
    </w:p>
    <w:p w14:paraId="27ADB754" w14:textId="77777777" w:rsidR="00047561" w:rsidRDefault="00047561" w:rsidP="0041466A">
      <w:pPr>
        <w:jc w:val="both"/>
        <w:rPr>
          <w:rFonts w:ascii="Arial" w:hAnsi="Arial" w:cs="Arial"/>
          <w:color w:val="000000"/>
        </w:rPr>
      </w:pPr>
    </w:p>
    <w:p w14:paraId="23A61862" w14:textId="0A039ADC" w:rsidR="0041466A" w:rsidRDefault="0041466A" w:rsidP="0041466A">
      <w:pPr>
        <w:jc w:val="both"/>
        <w:rPr>
          <w:rFonts w:ascii="Arial" w:hAnsi="Arial" w:cs="Arial"/>
          <w:color w:val="000000"/>
        </w:rPr>
      </w:pPr>
      <w:r w:rsidRPr="00E02EA5">
        <w:rPr>
          <w:rFonts w:ascii="Arial" w:hAnsi="Arial" w:cs="Arial"/>
          <w:color w:val="000000"/>
        </w:rPr>
        <w:t>A gravimetria usa informações do campo de gravidade terrestre para investigar a distribuição de densidades no subsolo.</w:t>
      </w:r>
      <w:r w:rsidRPr="00E02EA5">
        <w:rPr>
          <w:rFonts w:cs="Arial"/>
          <w:color w:val="000000"/>
        </w:rPr>
        <w:t xml:space="preserve"> </w:t>
      </w:r>
      <w:r w:rsidRPr="00E02EA5">
        <w:rPr>
          <w:rFonts w:ascii="Arial" w:hAnsi="Arial" w:cs="Arial"/>
          <w:color w:val="000000"/>
        </w:rPr>
        <w:t>A partir de medidas da aceleração</w:t>
      </w:r>
      <w:r w:rsidR="00047561">
        <w:rPr>
          <w:rFonts w:ascii="Arial" w:hAnsi="Arial" w:cs="Arial"/>
          <w:color w:val="000000"/>
        </w:rPr>
        <w:t>,</w:t>
      </w:r>
      <w:r w:rsidRPr="00E02EA5">
        <w:rPr>
          <w:rFonts w:ascii="Arial" w:hAnsi="Arial" w:cs="Arial"/>
          <w:color w:val="000000"/>
        </w:rPr>
        <w:t xml:space="preserve"> é possível verificar, por métodos de modelagem direta ou inversão geofísica, a distribuição de densidades que explique o acúmulo de hidrocarbonetos.</w:t>
      </w:r>
      <w:r>
        <w:rPr>
          <w:rFonts w:ascii="Arial" w:hAnsi="Arial" w:cs="Arial"/>
          <w:color w:val="000000"/>
        </w:rPr>
        <w:t xml:space="preserve"> </w:t>
      </w:r>
      <w:r w:rsidRPr="00E02EA5">
        <w:rPr>
          <w:rFonts w:ascii="Arial" w:hAnsi="Arial" w:cs="Arial"/>
          <w:color w:val="000000"/>
        </w:rPr>
        <w:t>Já a magnetometria é uma técnica que utiliza a informação do campo magnético terrestre para a investigação das estruturas em subsuperfície. Ela é importante na determinação de parâmetros regionais de profundidade média de fontes magnéticas para modelagem de bacias sedimentares.</w:t>
      </w:r>
    </w:p>
    <w:p w14:paraId="3E5EDADC" w14:textId="77777777" w:rsidR="00B303C4" w:rsidRDefault="00B303C4" w:rsidP="0041466A">
      <w:pPr>
        <w:jc w:val="both"/>
        <w:rPr>
          <w:rFonts w:ascii="Arial" w:hAnsi="Arial" w:cs="Arial"/>
          <w:color w:val="000000"/>
        </w:rPr>
      </w:pPr>
    </w:p>
    <w:p w14:paraId="36021A7B" w14:textId="77777777" w:rsidR="0041466A" w:rsidRPr="006240A8" w:rsidRDefault="0041466A" w:rsidP="0041466A">
      <w:pPr>
        <w:rPr>
          <w:rFonts w:ascii="Arial" w:hAnsi="Arial" w:cs="Arial"/>
          <w:b/>
          <w:bCs/>
          <w:color w:val="EE0000"/>
        </w:rPr>
      </w:pPr>
      <w:r w:rsidRPr="006240A8">
        <w:rPr>
          <w:rFonts w:ascii="Arial" w:hAnsi="Arial" w:cs="Arial"/>
          <w:b/>
          <w:bCs/>
          <w:color w:val="EE0000"/>
        </w:rPr>
        <w:t>Tabela 2.1</w:t>
      </w:r>
    </w:p>
    <w:p w14:paraId="09BEA0FA" w14:textId="77777777" w:rsidR="0041466A" w:rsidRPr="008125D9" w:rsidRDefault="0041466A" w:rsidP="0041466A">
      <w:pPr>
        <w:pStyle w:val="Corpodetexto"/>
        <w:autoSpaceDE w:val="0"/>
        <w:autoSpaceDN w:val="0"/>
        <w:adjustRightInd w:val="0"/>
        <w:spacing w:line="240" w:lineRule="auto"/>
        <w:rPr>
          <w:rFonts w:cs="Arial"/>
          <w:bCs/>
          <w:highlight w:val="yellow"/>
        </w:rPr>
      </w:pPr>
    </w:p>
    <w:p w14:paraId="71324473" w14:textId="148585FE" w:rsidR="0041466A" w:rsidRDefault="0041466A" w:rsidP="0041466A">
      <w:pPr>
        <w:pStyle w:val="Corpodetexto"/>
        <w:autoSpaceDE w:val="0"/>
        <w:autoSpaceDN w:val="0"/>
        <w:adjustRightInd w:val="0"/>
        <w:spacing w:line="240" w:lineRule="auto"/>
        <w:rPr>
          <w:rFonts w:cs="Arial"/>
          <w:color w:val="000000" w:themeColor="text1"/>
          <w:sz w:val="20"/>
        </w:rPr>
      </w:pPr>
      <w:r w:rsidRPr="36DAC812">
        <w:rPr>
          <w:rFonts w:cs="Arial"/>
          <w:color w:val="000000" w:themeColor="text1"/>
          <w:sz w:val="20"/>
        </w:rPr>
        <w:t xml:space="preserve">Em </w:t>
      </w:r>
      <w:r>
        <w:rPr>
          <w:rFonts w:cs="Arial"/>
          <w:color w:val="000000" w:themeColor="text1"/>
          <w:sz w:val="20"/>
        </w:rPr>
        <w:t>2025</w:t>
      </w:r>
      <w:r w:rsidRPr="36DAC812">
        <w:rPr>
          <w:rFonts w:cs="Arial"/>
          <w:color w:val="000000" w:themeColor="text1"/>
          <w:sz w:val="20"/>
        </w:rPr>
        <w:t xml:space="preserve">, foram perfurados </w:t>
      </w:r>
      <w:r>
        <w:rPr>
          <w:rFonts w:cs="Arial"/>
          <w:color w:val="000000" w:themeColor="text1"/>
          <w:sz w:val="20"/>
        </w:rPr>
        <w:t>279</w:t>
      </w:r>
      <w:r w:rsidRPr="36DAC812">
        <w:rPr>
          <w:rFonts w:cs="Arial"/>
          <w:color w:val="000000" w:themeColor="text1"/>
          <w:sz w:val="20"/>
        </w:rPr>
        <w:t xml:space="preserve"> poços, sendo </w:t>
      </w:r>
      <w:r>
        <w:rPr>
          <w:rFonts w:cs="Arial"/>
          <w:color w:val="000000" w:themeColor="text1"/>
          <w:sz w:val="20"/>
        </w:rPr>
        <w:t xml:space="preserve">206 </w:t>
      </w:r>
      <w:r w:rsidRPr="36DAC812">
        <w:rPr>
          <w:rFonts w:cs="Arial"/>
          <w:color w:val="000000" w:themeColor="text1"/>
          <w:sz w:val="20"/>
        </w:rPr>
        <w:t>em terra (</w:t>
      </w:r>
      <w:r w:rsidR="0061108A">
        <w:rPr>
          <w:rFonts w:cs="Arial"/>
          <w:color w:val="000000" w:themeColor="text1"/>
          <w:sz w:val="20"/>
        </w:rPr>
        <w:t>um</w:t>
      </w:r>
      <w:r w:rsidRPr="36DAC812">
        <w:rPr>
          <w:rFonts w:cs="Arial"/>
          <w:color w:val="000000" w:themeColor="text1"/>
          <w:sz w:val="20"/>
        </w:rPr>
        <w:t xml:space="preserve"> aumento</w:t>
      </w:r>
      <w:r>
        <w:rPr>
          <w:rFonts w:cs="Arial"/>
          <w:color w:val="000000" w:themeColor="text1"/>
          <w:sz w:val="20"/>
        </w:rPr>
        <w:t xml:space="preserve"> </w:t>
      </w:r>
      <w:r w:rsidRPr="36DAC812">
        <w:rPr>
          <w:rFonts w:cs="Arial"/>
          <w:color w:val="000000" w:themeColor="text1"/>
          <w:sz w:val="20"/>
        </w:rPr>
        <w:t>de</w:t>
      </w:r>
      <w:r>
        <w:rPr>
          <w:rFonts w:cs="Arial"/>
          <w:color w:val="000000" w:themeColor="text1"/>
          <w:sz w:val="20"/>
        </w:rPr>
        <w:t xml:space="preserve"> 14,4</w:t>
      </w:r>
      <w:r w:rsidRPr="36DAC812">
        <w:rPr>
          <w:rFonts w:cs="Arial"/>
          <w:color w:val="000000" w:themeColor="text1"/>
          <w:sz w:val="20"/>
        </w:rPr>
        <w:t xml:space="preserve">% em relação ao ano anterior) e </w:t>
      </w:r>
      <w:r>
        <w:rPr>
          <w:rFonts w:cs="Arial"/>
          <w:color w:val="000000" w:themeColor="text1"/>
          <w:sz w:val="20"/>
        </w:rPr>
        <w:t xml:space="preserve">73 </w:t>
      </w:r>
      <w:r w:rsidRPr="36DAC812">
        <w:rPr>
          <w:rFonts w:cs="Arial"/>
          <w:color w:val="000000" w:themeColor="text1"/>
          <w:sz w:val="20"/>
        </w:rPr>
        <w:t xml:space="preserve">no mar (quantidade </w:t>
      </w:r>
      <w:r>
        <w:rPr>
          <w:rFonts w:cs="Arial"/>
          <w:color w:val="000000" w:themeColor="text1"/>
          <w:sz w:val="20"/>
        </w:rPr>
        <w:t>15,1</w:t>
      </w:r>
      <w:r w:rsidRPr="36DAC812">
        <w:rPr>
          <w:rFonts w:cs="Arial"/>
          <w:color w:val="000000" w:themeColor="text1"/>
          <w:sz w:val="20"/>
        </w:rPr>
        <w:t>%</w:t>
      </w:r>
      <w:r>
        <w:rPr>
          <w:rFonts w:cs="Arial"/>
          <w:color w:val="000000" w:themeColor="text1"/>
          <w:sz w:val="20"/>
        </w:rPr>
        <w:t xml:space="preserve"> inferi</w:t>
      </w:r>
      <w:r w:rsidRPr="36DAC812">
        <w:rPr>
          <w:rFonts w:cs="Arial"/>
          <w:color w:val="000000" w:themeColor="text1"/>
          <w:sz w:val="20"/>
        </w:rPr>
        <w:t xml:space="preserve">or à apurada em </w:t>
      </w:r>
      <w:r>
        <w:rPr>
          <w:rFonts w:cs="Arial"/>
          <w:color w:val="000000" w:themeColor="text1"/>
          <w:sz w:val="20"/>
        </w:rPr>
        <w:t>2024</w:t>
      </w:r>
      <w:r w:rsidRPr="36DAC812">
        <w:rPr>
          <w:rFonts w:cs="Arial"/>
          <w:color w:val="000000" w:themeColor="text1"/>
          <w:sz w:val="20"/>
        </w:rPr>
        <w:t xml:space="preserve">). O número total de poços perfurados registrou aumento de </w:t>
      </w:r>
      <w:r w:rsidR="005C400C">
        <w:rPr>
          <w:rFonts w:cs="Arial"/>
          <w:color w:val="000000" w:themeColor="text1"/>
          <w:sz w:val="20"/>
        </w:rPr>
        <w:t>4</w:t>
      </w:r>
      <w:r>
        <w:rPr>
          <w:rFonts w:cs="Arial"/>
          <w:color w:val="000000" w:themeColor="text1"/>
          <w:sz w:val="20"/>
        </w:rPr>
        <w:t>,9</w:t>
      </w:r>
      <w:r w:rsidRPr="36DAC812">
        <w:rPr>
          <w:rFonts w:cs="Arial"/>
          <w:color w:val="000000" w:themeColor="text1"/>
          <w:sz w:val="20"/>
        </w:rPr>
        <w:t xml:space="preserve">% em comparação a </w:t>
      </w:r>
      <w:r>
        <w:rPr>
          <w:rFonts w:cs="Arial"/>
          <w:color w:val="000000" w:themeColor="text1"/>
          <w:sz w:val="20"/>
        </w:rPr>
        <w:t>2024</w:t>
      </w:r>
      <w:r w:rsidRPr="36DAC812">
        <w:rPr>
          <w:rFonts w:cs="Arial"/>
          <w:color w:val="000000" w:themeColor="text1"/>
          <w:sz w:val="20"/>
        </w:rPr>
        <w:t>. A maioria era</w:t>
      </w:r>
      <w:r w:rsidR="0061108A">
        <w:rPr>
          <w:rFonts w:cs="Arial"/>
          <w:color w:val="000000" w:themeColor="text1"/>
          <w:sz w:val="20"/>
        </w:rPr>
        <w:t xml:space="preserve"> de poços</w:t>
      </w:r>
      <w:r w:rsidRPr="36DAC812">
        <w:rPr>
          <w:rFonts w:cs="Arial"/>
          <w:color w:val="000000" w:themeColor="text1"/>
          <w:sz w:val="20"/>
        </w:rPr>
        <w:t xml:space="preserve"> explotatórios: </w:t>
      </w:r>
      <w:r>
        <w:rPr>
          <w:rFonts w:cs="Arial"/>
          <w:color w:val="000000" w:themeColor="text1"/>
          <w:sz w:val="20"/>
        </w:rPr>
        <w:t>249</w:t>
      </w:r>
      <w:r w:rsidRPr="36DAC812">
        <w:rPr>
          <w:rFonts w:cs="Arial"/>
          <w:color w:val="000000" w:themeColor="text1"/>
          <w:sz w:val="20"/>
        </w:rPr>
        <w:t xml:space="preserve">, correspondendo a </w:t>
      </w:r>
      <w:r>
        <w:rPr>
          <w:rFonts w:cs="Arial"/>
          <w:color w:val="000000" w:themeColor="text1"/>
          <w:sz w:val="20"/>
        </w:rPr>
        <w:t>89,2</w:t>
      </w:r>
      <w:r w:rsidRPr="36DAC812">
        <w:rPr>
          <w:rFonts w:cs="Arial"/>
          <w:color w:val="000000" w:themeColor="text1"/>
          <w:sz w:val="20"/>
        </w:rPr>
        <w:t>% do total. Foram perfurados ainda</w:t>
      </w:r>
      <w:r>
        <w:rPr>
          <w:rFonts w:cs="Arial"/>
          <w:color w:val="000000" w:themeColor="text1"/>
          <w:sz w:val="20"/>
        </w:rPr>
        <w:t xml:space="preserve"> 26</w:t>
      </w:r>
      <w:r w:rsidRPr="36DAC812">
        <w:rPr>
          <w:rFonts w:cs="Arial"/>
          <w:color w:val="000000" w:themeColor="text1"/>
          <w:sz w:val="20"/>
        </w:rPr>
        <w:t xml:space="preserve"> poços exploratórios</w:t>
      </w:r>
      <w:r>
        <w:rPr>
          <w:rFonts w:cs="Arial"/>
          <w:color w:val="000000" w:themeColor="text1"/>
          <w:sz w:val="20"/>
        </w:rPr>
        <w:t xml:space="preserve"> </w:t>
      </w:r>
      <w:r w:rsidRPr="36DAC812">
        <w:rPr>
          <w:rFonts w:cs="Arial"/>
          <w:color w:val="000000" w:themeColor="text1"/>
          <w:sz w:val="20"/>
        </w:rPr>
        <w:t>e</w:t>
      </w:r>
      <w:r>
        <w:rPr>
          <w:rFonts w:cs="Arial"/>
          <w:color w:val="000000" w:themeColor="text1"/>
          <w:sz w:val="20"/>
        </w:rPr>
        <w:t xml:space="preserve"> quatro </w:t>
      </w:r>
      <w:r w:rsidRPr="36DAC812">
        <w:rPr>
          <w:rFonts w:cs="Arial"/>
          <w:color w:val="000000" w:themeColor="text1"/>
          <w:sz w:val="20"/>
        </w:rPr>
        <w:t>poços</w:t>
      </w:r>
      <w:r>
        <w:rPr>
          <w:rFonts w:cs="Arial"/>
          <w:color w:val="000000" w:themeColor="text1"/>
          <w:sz w:val="20"/>
        </w:rPr>
        <w:t xml:space="preserve"> </w:t>
      </w:r>
      <w:r w:rsidRPr="36DAC812">
        <w:rPr>
          <w:rFonts w:cs="Arial"/>
          <w:color w:val="000000" w:themeColor="text1"/>
          <w:sz w:val="20"/>
        </w:rPr>
        <w:t xml:space="preserve">especiais. Em </w:t>
      </w:r>
      <w:r>
        <w:rPr>
          <w:rFonts w:cs="Arial"/>
          <w:color w:val="000000" w:themeColor="text1"/>
          <w:sz w:val="20"/>
        </w:rPr>
        <w:t>2025</w:t>
      </w:r>
      <w:r w:rsidRPr="36DAC812">
        <w:rPr>
          <w:rFonts w:cs="Arial"/>
          <w:color w:val="000000" w:themeColor="text1"/>
          <w:sz w:val="20"/>
        </w:rPr>
        <w:t>, foram reali</w:t>
      </w:r>
      <w:r>
        <w:rPr>
          <w:rFonts w:cs="Arial"/>
          <w:color w:val="000000" w:themeColor="text1"/>
          <w:sz w:val="20"/>
        </w:rPr>
        <w:t xml:space="preserve">zadas dez </w:t>
      </w:r>
      <w:r w:rsidRPr="36DAC812">
        <w:rPr>
          <w:rFonts w:cs="Arial"/>
          <w:color w:val="000000" w:themeColor="text1"/>
          <w:sz w:val="20"/>
        </w:rPr>
        <w:t>descobertas em mar e</w:t>
      </w:r>
      <w:r>
        <w:rPr>
          <w:rFonts w:cs="Arial"/>
          <w:color w:val="000000" w:themeColor="text1"/>
          <w:sz w:val="20"/>
        </w:rPr>
        <w:t xml:space="preserve"> três</w:t>
      </w:r>
      <w:r w:rsidRPr="36DAC812">
        <w:rPr>
          <w:rFonts w:cs="Arial"/>
          <w:color w:val="000000" w:themeColor="text1"/>
          <w:sz w:val="20"/>
        </w:rPr>
        <w:t xml:space="preserve"> em terra (ver nota 2 da Tabela 2.2).</w:t>
      </w:r>
    </w:p>
    <w:p w14:paraId="6A0446C1" w14:textId="77777777" w:rsidR="00B303C4" w:rsidRPr="003837BB" w:rsidRDefault="00B303C4" w:rsidP="0041466A">
      <w:pPr>
        <w:pStyle w:val="Corpodetexto"/>
        <w:autoSpaceDE w:val="0"/>
        <w:autoSpaceDN w:val="0"/>
        <w:adjustRightInd w:val="0"/>
        <w:spacing w:line="240" w:lineRule="auto"/>
        <w:rPr>
          <w:rFonts w:cs="Arial"/>
          <w:color w:val="000000"/>
          <w:sz w:val="20"/>
        </w:rPr>
      </w:pPr>
    </w:p>
    <w:p w14:paraId="4ED35D48" w14:textId="1DAE7012" w:rsidR="00E57DC7" w:rsidRPr="00E57DC7" w:rsidRDefault="0041466A" w:rsidP="00E57DC7">
      <w:pPr>
        <w:pStyle w:val="Corpodetexto"/>
        <w:autoSpaceDE w:val="0"/>
        <w:autoSpaceDN w:val="0"/>
        <w:adjustRightInd w:val="0"/>
        <w:spacing w:line="240" w:lineRule="auto"/>
        <w:rPr>
          <w:rFonts w:cs="Arial"/>
          <w:b/>
          <w:bCs/>
          <w:color w:val="EE0000"/>
          <w:sz w:val="20"/>
        </w:rPr>
      </w:pPr>
      <w:r w:rsidRPr="006240A8">
        <w:rPr>
          <w:rFonts w:cs="Arial"/>
          <w:b/>
          <w:bCs/>
          <w:color w:val="EE0000"/>
          <w:sz w:val="20"/>
        </w:rPr>
        <w:t>Tabela 2.2</w:t>
      </w:r>
    </w:p>
    <w:p w14:paraId="53FA2AA9" w14:textId="5AB36551" w:rsidR="0041466A" w:rsidRPr="008D1E63" w:rsidRDefault="0041466A" w:rsidP="0041466A">
      <w:pPr>
        <w:autoSpaceDE w:val="0"/>
        <w:autoSpaceDN w:val="0"/>
        <w:adjustRightInd w:val="0"/>
        <w:jc w:val="both"/>
        <w:rPr>
          <w:rFonts w:ascii="Arial" w:hAnsi="Arial" w:cs="Arial"/>
          <w:b/>
          <w:bCs/>
          <w:color w:val="000000"/>
          <w:u w:val="single"/>
        </w:rPr>
      </w:pPr>
      <w:r w:rsidRPr="001A4B9C">
        <w:rPr>
          <w:rFonts w:ascii="Arial" w:hAnsi="Arial" w:cs="Arial"/>
          <w:b/>
          <w:bCs/>
          <w:color w:val="000000"/>
        </w:rPr>
        <w:lastRenderedPageBreak/>
        <w:t>2.</w:t>
      </w:r>
      <w:r w:rsidR="003D1B91">
        <w:rPr>
          <w:rFonts w:ascii="Arial" w:hAnsi="Arial" w:cs="Arial"/>
          <w:b/>
          <w:bCs/>
          <w:color w:val="000000"/>
        </w:rPr>
        <w:t>1.</w:t>
      </w:r>
      <w:r w:rsidRPr="001A4B9C">
        <w:rPr>
          <w:rFonts w:ascii="Arial" w:hAnsi="Arial" w:cs="Arial"/>
          <w:b/>
          <w:bCs/>
          <w:color w:val="000000"/>
        </w:rPr>
        <w:t>3 Reservas</w:t>
      </w:r>
    </w:p>
    <w:p w14:paraId="60C8599B" w14:textId="77777777" w:rsidR="00E57DC7" w:rsidRDefault="00E57DC7" w:rsidP="0041466A">
      <w:pPr>
        <w:autoSpaceDE w:val="0"/>
        <w:autoSpaceDN w:val="0"/>
        <w:adjustRightInd w:val="0"/>
        <w:jc w:val="both"/>
        <w:rPr>
          <w:rFonts w:ascii="Arial" w:hAnsi="Arial" w:cs="Arial"/>
          <w:color w:val="000000"/>
        </w:rPr>
      </w:pPr>
    </w:p>
    <w:p w14:paraId="3F437D9F" w14:textId="480E1F02" w:rsidR="0041466A" w:rsidRPr="003D1B91" w:rsidRDefault="00A47BF9" w:rsidP="0041466A">
      <w:pPr>
        <w:autoSpaceDE w:val="0"/>
        <w:autoSpaceDN w:val="0"/>
        <w:adjustRightInd w:val="0"/>
        <w:jc w:val="both"/>
        <w:rPr>
          <w:rFonts w:ascii="Arial" w:hAnsi="Arial" w:cs="Arial"/>
          <w:color w:val="000000"/>
        </w:rPr>
      </w:pPr>
      <w:r w:rsidRPr="003D1B91">
        <w:rPr>
          <w:rFonts w:ascii="Arial" w:hAnsi="Arial" w:cs="Arial"/>
          <w:color w:val="000000"/>
        </w:rPr>
        <w:t xml:space="preserve">As definições técnicas de reserva e reservatório são distintas e não devem ser confundidas. Enquanto reservatório é a acumulação de petróleo ou gás natural em determinada camada do subsolo, a reserva é uma estimativa do volume de petróleo ou gás natural dos reservatórios que pode ser produzido, devido à existência de tecnologia para extraí-lo e viabilidade econômica para comercializá-lo, de modo a cobrir seus custos de produção. As reservas totais </w:t>
      </w:r>
      <w:r w:rsidR="00395931" w:rsidRPr="003D1B91">
        <w:rPr>
          <w:rFonts w:ascii="Arial" w:hAnsi="Arial" w:cs="Arial"/>
          <w:color w:val="000000"/>
        </w:rPr>
        <w:t>são a soma da</w:t>
      </w:r>
      <w:r w:rsidR="00E57DC7">
        <w:rPr>
          <w:rFonts w:ascii="Arial" w:hAnsi="Arial" w:cs="Arial"/>
          <w:color w:val="000000"/>
        </w:rPr>
        <w:t>s</w:t>
      </w:r>
      <w:r w:rsidRPr="003D1B91">
        <w:rPr>
          <w:rFonts w:ascii="Arial" w:hAnsi="Arial" w:cs="Arial"/>
          <w:color w:val="000000"/>
        </w:rPr>
        <w:t xml:space="preserve"> reservas provadas, prováveis e possíveis.</w:t>
      </w:r>
    </w:p>
    <w:p w14:paraId="62D08FA2" w14:textId="77777777" w:rsidR="00A47BF9" w:rsidRPr="003D1B91" w:rsidRDefault="00A47BF9" w:rsidP="0041466A">
      <w:pPr>
        <w:autoSpaceDE w:val="0"/>
        <w:autoSpaceDN w:val="0"/>
        <w:adjustRightInd w:val="0"/>
        <w:jc w:val="both"/>
        <w:rPr>
          <w:rFonts w:ascii="Arial" w:hAnsi="Arial" w:cs="Arial"/>
          <w:color w:val="000000"/>
        </w:rPr>
      </w:pPr>
    </w:p>
    <w:p w14:paraId="4AC493DA" w14:textId="77777777" w:rsidR="003D1B91" w:rsidRDefault="0041466A" w:rsidP="0041466A">
      <w:pPr>
        <w:autoSpaceDE w:val="0"/>
        <w:autoSpaceDN w:val="0"/>
        <w:adjustRightInd w:val="0"/>
        <w:jc w:val="both"/>
        <w:rPr>
          <w:rFonts w:ascii="Arial" w:hAnsi="Arial" w:cs="Arial"/>
          <w:color w:val="000000"/>
        </w:rPr>
      </w:pPr>
      <w:r w:rsidRPr="003D1B91">
        <w:rPr>
          <w:rFonts w:ascii="Arial" w:hAnsi="Arial" w:cs="Arial"/>
          <w:color w:val="000000"/>
        </w:rPr>
        <w:t xml:space="preserve">No </w:t>
      </w:r>
      <w:r w:rsidR="00A47BF9" w:rsidRPr="003D1B91">
        <w:rPr>
          <w:rFonts w:ascii="Arial" w:hAnsi="Arial" w:cs="Arial"/>
          <w:color w:val="000000"/>
        </w:rPr>
        <w:t xml:space="preserve">final </w:t>
      </w:r>
      <w:r w:rsidRPr="003D1B91">
        <w:rPr>
          <w:rFonts w:ascii="Arial" w:hAnsi="Arial" w:cs="Arial"/>
          <w:color w:val="000000"/>
        </w:rPr>
        <w:t xml:space="preserve">de 2025, as reservas totais de petróleo do Brasil foram contabilizadas em 28,9 bilhões de barris, </w:t>
      </w:r>
    </w:p>
    <w:p w14:paraId="1B3709A4" w14:textId="2702B345" w:rsidR="0041466A" w:rsidRPr="003D1B91" w:rsidRDefault="0041466A" w:rsidP="0041466A">
      <w:pPr>
        <w:autoSpaceDE w:val="0"/>
        <w:autoSpaceDN w:val="0"/>
        <w:adjustRightInd w:val="0"/>
        <w:jc w:val="both"/>
        <w:rPr>
          <w:rFonts w:ascii="Arial" w:hAnsi="Arial" w:cs="Arial"/>
          <w:color w:val="000000"/>
        </w:rPr>
      </w:pPr>
      <w:r w:rsidRPr="003D1B91">
        <w:rPr>
          <w:rFonts w:ascii="Arial" w:hAnsi="Arial" w:cs="Arial"/>
          <w:color w:val="000000"/>
        </w:rPr>
        <w:t>volume 1% menor do que em 2024</w:t>
      </w:r>
      <w:r w:rsidR="00A47BF9" w:rsidRPr="003D1B91">
        <w:rPr>
          <w:rFonts w:ascii="Arial" w:hAnsi="Arial" w:cs="Arial"/>
          <w:color w:val="000000"/>
        </w:rPr>
        <w:t xml:space="preserve">. Deste total, </w:t>
      </w:r>
      <w:r w:rsidRPr="003D1B91">
        <w:rPr>
          <w:rFonts w:ascii="Arial" w:hAnsi="Arial" w:cs="Arial"/>
          <w:color w:val="000000"/>
        </w:rPr>
        <w:t>64</w:t>
      </w:r>
      <w:r w:rsidR="008F4D22" w:rsidRPr="003D1B91">
        <w:rPr>
          <w:rFonts w:ascii="Arial" w:hAnsi="Arial" w:cs="Arial"/>
          <w:color w:val="000000"/>
        </w:rPr>
        <w:t>8</w:t>
      </w:r>
      <w:r w:rsidRPr="003D1B91">
        <w:rPr>
          <w:rFonts w:ascii="Arial" w:hAnsi="Arial" w:cs="Arial"/>
          <w:color w:val="000000"/>
        </w:rPr>
        <w:t>,</w:t>
      </w:r>
      <w:r w:rsidR="008F4D22" w:rsidRPr="003D1B91">
        <w:rPr>
          <w:rFonts w:ascii="Arial" w:hAnsi="Arial" w:cs="Arial"/>
          <w:color w:val="000000"/>
        </w:rPr>
        <w:t>4</w:t>
      </w:r>
      <w:r w:rsidRPr="003D1B91">
        <w:rPr>
          <w:rFonts w:ascii="Arial" w:hAnsi="Arial" w:cs="Arial"/>
          <w:color w:val="000000"/>
        </w:rPr>
        <w:t xml:space="preserve"> milhões </w:t>
      </w:r>
      <w:r w:rsidR="00A47BF9" w:rsidRPr="003D1B91">
        <w:rPr>
          <w:rFonts w:ascii="Arial" w:hAnsi="Arial" w:cs="Arial"/>
          <w:color w:val="000000"/>
        </w:rPr>
        <w:t xml:space="preserve">de barris estavam </w:t>
      </w:r>
      <w:r w:rsidRPr="003D1B91">
        <w:rPr>
          <w:rFonts w:ascii="Arial" w:hAnsi="Arial" w:cs="Arial"/>
          <w:color w:val="000000"/>
        </w:rPr>
        <w:t xml:space="preserve">em terra e 28,2 bilhões </w:t>
      </w:r>
      <w:r w:rsidR="00A47BF9" w:rsidRPr="003D1B91">
        <w:rPr>
          <w:rFonts w:ascii="Arial" w:hAnsi="Arial" w:cs="Arial"/>
          <w:color w:val="000000"/>
        </w:rPr>
        <w:t xml:space="preserve">de barris </w:t>
      </w:r>
      <w:r w:rsidRPr="003D1B91">
        <w:rPr>
          <w:rFonts w:ascii="Arial" w:hAnsi="Arial" w:cs="Arial"/>
          <w:color w:val="000000"/>
        </w:rPr>
        <w:t>em mar. Por sua vez, as reservas provadas totalizaram 17,5 bilhões de barris, com alta de 3,8% em relação a 2024, das quais 4</w:t>
      </w:r>
      <w:r w:rsidR="008F4D22" w:rsidRPr="003D1B91">
        <w:rPr>
          <w:rFonts w:ascii="Arial" w:hAnsi="Arial" w:cs="Arial"/>
          <w:color w:val="000000"/>
        </w:rPr>
        <w:t>74</w:t>
      </w:r>
      <w:r w:rsidRPr="003D1B91">
        <w:rPr>
          <w:rFonts w:ascii="Arial" w:hAnsi="Arial" w:cs="Arial"/>
          <w:color w:val="000000"/>
        </w:rPr>
        <w:t xml:space="preserve">,2 milhões de barris em terra e 17 bilhões </w:t>
      </w:r>
      <w:r w:rsidR="00395931" w:rsidRPr="003D1B91">
        <w:rPr>
          <w:rFonts w:ascii="Arial" w:hAnsi="Arial" w:cs="Arial"/>
          <w:color w:val="000000"/>
        </w:rPr>
        <w:t xml:space="preserve">de barris </w:t>
      </w:r>
      <w:r w:rsidRPr="003D1B91">
        <w:rPr>
          <w:rFonts w:ascii="Arial" w:hAnsi="Arial" w:cs="Arial"/>
          <w:color w:val="000000"/>
        </w:rPr>
        <w:t>em mar.</w:t>
      </w:r>
    </w:p>
    <w:p w14:paraId="297999FE" w14:textId="77777777" w:rsidR="0041466A" w:rsidRDefault="0041466A" w:rsidP="0041466A">
      <w:pPr>
        <w:autoSpaceDE w:val="0"/>
        <w:autoSpaceDN w:val="0"/>
        <w:adjustRightInd w:val="0"/>
        <w:jc w:val="both"/>
        <w:rPr>
          <w:rFonts w:ascii="Arial" w:hAnsi="Arial" w:cs="Arial"/>
          <w:color w:val="000000" w:themeColor="text1"/>
        </w:rPr>
      </w:pPr>
    </w:p>
    <w:p w14:paraId="39156EB4" w14:textId="17EC3271" w:rsidR="0041466A" w:rsidRPr="00257736" w:rsidRDefault="0041466A" w:rsidP="0041466A">
      <w:pPr>
        <w:autoSpaceDE w:val="0"/>
        <w:autoSpaceDN w:val="0"/>
        <w:adjustRightInd w:val="0"/>
        <w:jc w:val="both"/>
        <w:rPr>
          <w:rFonts w:ascii="Arial" w:hAnsi="Arial" w:cs="Arial"/>
          <w:color w:val="000000"/>
        </w:rPr>
      </w:pPr>
      <w:r w:rsidRPr="00257736">
        <w:rPr>
          <w:rFonts w:ascii="Arial" w:hAnsi="Arial" w:cs="Arial"/>
          <w:color w:val="000000"/>
        </w:rPr>
        <w:t>As reservas provadas são aquelas que, com base na análise de dados geológicos e de engenharia, se estima</w:t>
      </w:r>
      <w:r>
        <w:rPr>
          <w:rFonts w:ascii="Arial" w:hAnsi="Arial" w:cs="Arial"/>
          <w:color w:val="000000"/>
        </w:rPr>
        <w:t>m</w:t>
      </w:r>
      <w:r w:rsidRPr="00257736">
        <w:rPr>
          <w:rFonts w:ascii="Arial" w:hAnsi="Arial" w:cs="Arial"/>
          <w:color w:val="000000"/>
        </w:rPr>
        <w:t xml:space="preserve"> recuperar comercialmente de reservatórios descobertos e avaliados, com elevado grau de certeza, e cuja estimativa considere as condições econômicas vigentes, os métodos operacionais usualmente viáveis e os regulamentos </w:t>
      </w:r>
      <w:r>
        <w:rPr>
          <w:rFonts w:ascii="Arial" w:hAnsi="Arial" w:cs="Arial"/>
          <w:color w:val="000000"/>
        </w:rPr>
        <w:t xml:space="preserve">locais </w:t>
      </w:r>
      <w:r w:rsidRPr="00257736">
        <w:rPr>
          <w:rFonts w:ascii="Arial" w:hAnsi="Arial" w:cs="Arial"/>
          <w:color w:val="000000"/>
        </w:rPr>
        <w:t>instituídos pela legislação petrolífera e tributária.</w:t>
      </w:r>
    </w:p>
    <w:p w14:paraId="0644C989" w14:textId="77777777" w:rsidR="0041466A" w:rsidRPr="007D504C" w:rsidRDefault="0041466A" w:rsidP="0041466A">
      <w:pPr>
        <w:autoSpaceDE w:val="0"/>
        <w:autoSpaceDN w:val="0"/>
        <w:adjustRightInd w:val="0"/>
        <w:jc w:val="both"/>
        <w:rPr>
          <w:rFonts w:ascii="Arial" w:hAnsi="Arial" w:cs="Arial"/>
          <w:color w:val="000000" w:themeColor="text1"/>
        </w:rPr>
      </w:pPr>
    </w:p>
    <w:p w14:paraId="17F42D97" w14:textId="3EC4AB97" w:rsidR="0041466A" w:rsidRDefault="0041466A" w:rsidP="009F74FD">
      <w:pPr>
        <w:rPr>
          <w:rFonts w:ascii="Arial" w:hAnsi="Arial" w:cs="Arial"/>
          <w:color w:val="000000" w:themeColor="text1"/>
        </w:rPr>
      </w:pPr>
      <w:r w:rsidRPr="007D504C">
        <w:rPr>
          <w:rFonts w:ascii="Arial" w:hAnsi="Arial" w:cs="Arial"/>
          <w:color w:val="000000" w:themeColor="text1"/>
        </w:rPr>
        <w:t xml:space="preserve">Em 2025, a </w:t>
      </w:r>
      <w:r w:rsidR="00395931">
        <w:rPr>
          <w:rFonts w:ascii="Arial" w:hAnsi="Arial" w:cs="Arial"/>
          <w:color w:val="000000" w:themeColor="text1"/>
        </w:rPr>
        <w:t>Bacia de</w:t>
      </w:r>
      <w:r w:rsidRPr="007D504C">
        <w:rPr>
          <w:rFonts w:ascii="Arial" w:hAnsi="Arial" w:cs="Arial"/>
          <w:color w:val="000000" w:themeColor="text1"/>
        </w:rPr>
        <w:t xml:space="preserve"> Santos foi a que apresentou o maior volume de reservas totais de petróleo no </w:t>
      </w:r>
      <w:r>
        <w:rPr>
          <w:rFonts w:ascii="Arial" w:hAnsi="Arial" w:cs="Arial"/>
          <w:color w:val="000000" w:themeColor="text1"/>
        </w:rPr>
        <w:t>p</w:t>
      </w:r>
      <w:r w:rsidRPr="007D504C">
        <w:rPr>
          <w:rFonts w:ascii="Arial" w:hAnsi="Arial" w:cs="Arial"/>
          <w:color w:val="000000" w:themeColor="text1"/>
        </w:rPr>
        <w:t xml:space="preserve">aís, com 22,4 bilhões de barris, correspondentes a 77,7% do total nacional, </w:t>
      </w:r>
      <w:r w:rsidR="003954A6">
        <w:rPr>
          <w:rFonts w:ascii="Arial" w:hAnsi="Arial" w:cs="Arial"/>
          <w:color w:val="000000" w:themeColor="text1"/>
        </w:rPr>
        <w:t xml:space="preserve">apesar da </w:t>
      </w:r>
      <w:r w:rsidRPr="007D504C">
        <w:rPr>
          <w:rFonts w:ascii="Arial" w:hAnsi="Arial" w:cs="Arial"/>
          <w:color w:val="000000" w:themeColor="text1"/>
        </w:rPr>
        <w:t>queda de 1,5% em relação a 2024</w:t>
      </w:r>
      <w:r w:rsidR="008F4D22">
        <w:rPr>
          <w:rFonts w:ascii="Arial" w:hAnsi="Arial" w:cs="Arial"/>
          <w:color w:val="000000" w:themeColor="text1"/>
        </w:rPr>
        <w:t xml:space="preserve">. </w:t>
      </w:r>
      <w:r w:rsidRPr="007D504C">
        <w:rPr>
          <w:rFonts w:ascii="Arial" w:hAnsi="Arial" w:cs="Arial"/>
          <w:color w:val="000000" w:themeColor="text1"/>
        </w:rPr>
        <w:t xml:space="preserve">A </w:t>
      </w:r>
      <w:r w:rsidR="00395931">
        <w:rPr>
          <w:rFonts w:ascii="Arial" w:hAnsi="Arial" w:cs="Arial"/>
          <w:color w:val="000000" w:themeColor="text1"/>
        </w:rPr>
        <w:t>Bacia de</w:t>
      </w:r>
      <w:r w:rsidRPr="007D504C">
        <w:rPr>
          <w:rFonts w:ascii="Arial" w:hAnsi="Arial" w:cs="Arial"/>
          <w:color w:val="000000" w:themeColor="text1"/>
        </w:rPr>
        <w:t xml:space="preserve"> Campos</w:t>
      </w:r>
      <w:r w:rsidR="003D1B91">
        <w:rPr>
          <w:rFonts w:ascii="Arial" w:hAnsi="Arial" w:cs="Arial"/>
          <w:color w:val="000000" w:themeColor="text1"/>
        </w:rPr>
        <w:t xml:space="preserve"> </w:t>
      </w:r>
      <w:r w:rsidRPr="007D504C">
        <w:rPr>
          <w:rFonts w:ascii="Arial" w:hAnsi="Arial" w:cs="Arial"/>
          <w:color w:val="000000" w:themeColor="text1"/>
        </w:rPr>
        <w:t>contabilizou 5,4 bilhões de barris, o equivalente a 18,8% do total, com redução de 1,9% na comparação anual.</w:t>
      </w:r>
      <w:r w:rsidR="008F4D22">
        <w:rPr>
          <w:rFonts w:ascii="Arial" w:hAnsi="Arial" w:cs="Arial"/>
          <w:color w:val="000000" w:themeColor="text1"/>
        </w:rPr>
        <w:t xml:space="preserve"> </w:t>
      </w:r>
      <w:r w:rsidRPr="007D504C">
        <w:rPr>
          <w:rFonts w:ascii="Arial" w:hAnsi="Arial" w:cs="Arial"/>
          <w:color w:val="000000" w:themeColor="text1"/>
        </w:rPr>
        <w:t xml:space="preserve">Em terceiro lugar, situou-se a </w:t>
      </w:r>
      <w:r w:rsidR="00395931">
        <w:rPr>
          <w:rFonts w:ascii="Arial" w:hAnsi="Arial" w:cs="Arial"/>
          <w:color w:val="000000" w:themeColor="text1"/>
        </w:rPr>
        <w:t>Bacia de</w:t>
      </w:r>
      <w:r w:rsidRPr="007D504C">
        <w:rPr>
          <w:rFonts w:ascii="Arial" w:hAnsi="Arial" w:cs="Arial"/>
          <w:color w:val="000000" w:themeColor="text1"/>
        </w:rPr>
        <w:t xml:space="preserve"> Sergipe, com 486 milhões de barris, volume correspondente a 1,7% das reservas totais de petróleo em 2025.</w:t>
      </w:r>
    </w:p>
    <w:p w14:paraId="0D85C2C4" w14:textId="77777777" w:rsidR="0041466A" w:rsidRDefault="0041466A" w:rsidP="0041466A">
      <w:pPr>
        <w:autoSpaceDE w:val="0"/>
        <w:autoSpaceDN w:val="0"/>
        <w:adjustRightInd w:val="0"/>
        <w:jc w:val="both"/>
        <w:rPr>
          <w:rFonts w:ascii="Arial" w:hAnsi="Arial" w:cs="Arial"/>
          <w:color w:val="000000" w:themeColor="text1"/>
        </w:rPr>
      </w:pPr>
    </w:p>
    <w:p w14:paraId="5F8D8290" w14:textId="2220E5FB" w:rsidR="0041466A" w:rsidRPr="007D504C" w:rsidRDefault="003954A6" w:rsidP="0041466A">
      <w:pPr>
        <w:autoSpaceDE w:val="0"/>
        <w:autoSpaceDN w:val="0"/>
        <w:adjustRightInd w:val="0"/>
        <w:jc w:val="both"/>
        <w:rPr>
          <w:rFonts w:ascii="Arial" w:hAnsi="Arial" w:cs="Arial"/>
          <w:color w:val="000000" w:themeColor="text1"/>
        </w:rPr>
      </w:pPr>
      <w:r>
        <w:rPr>
          <w:rFonts w:ascii="Arial" w:hAnsi="Arial" w:cs="Arial"/>
          <w:color w:val="000000" w:themeColor="text1"/>
        </w:rPr>
        <w:t>Em relação às reservas provadas</w:t>
      </w:r>
      <w:r w:rsidR="0041466A" w:rsidRPr="00D94455">
        <w:rPr>
          <w:rFonts w:ascii="Arial" w:hAnsi="Arial" w:cs="Arial"/>
          <w:color w:val="000000" w:themeColor="text1"/>
        </w:rPr>
        <w:t xml:space="preserve">, a </w:t>
      </w:r>
      <w:r w:rsidR="00395931">
        <w:rPr>
          <w:rFonts w:ascii="Arial" w:hAnsi="Arial" w:cs="Arial"/>
          <w:color w:val="000000" w:themeColor="text1"/>
        </w:rPr>
        <w:t>Bacia de</w:t>
      </w:r>
      <w:r w:rsidR="0041466A" w:rsidRPr="00D94455">
        <w:rPr>
          <w:rFonts w:ascii="Arial" w:hAnsi="Arial" w:cs="Arial"/>
          <w:color w:val="000000" w:themeColor="text1"/>
        </w:rPr>
        <w:t xml:space="preserve"> Santos </w:t>
      </w:r>
      <w:r>
        <w:rPr>
          <w:rFonts w:ascii="Arial" w:hAnsi="Arial" w:cs="Arial"/>
          <w:color w:val="000000" w:themeColor="text1"/>
        </w:rPr>
        <w:t>também</w:t>
      </w:r>
      <w:r w:rsidR="0041466A" w:rsidRPr="00D94455">
        <w:rPr>
          <w:rFonts w:ascii="Arial" w:hAnsi="Arial" w:cs="Arial"/>
          <w:color w:val="000000" w:themeColor="text1"/>
        </w:rPr>
        <w:t xml:space="preserve"> apresentou maior volume</w:t>
      </w:r>
      <w:r>
        <w:rPr>
          <w:rFonts w:ascii="Arial" w:hAnsi="Arial" w:cs="Arial"/>
          <w:color w:val="000000" w:themeColor="text1"/>
        </w:rPr>
        <w:t>:</w:t>
      </w:r>
      <w:r w:rsidR="0041466A" w:rsidRPr="00D94455">
        <w:rPr>
          <w:rFonts w:ascii="Arial" w:hAnsi="Arial" w:cs="Arial"/>
          <w:color w:val="000000" w:themeColor="text1"/>
        </w:rPr>
        <w:t xml:space="preserve"> 13,7 bilhões de barris</w:t>
      </w:r>
      <w:r>
        <w:rPr>
          <w:rFonts w:ascii="Arial" w:hAnsi="Arial" w:cs="Arial"/>
          <w:color w:val="000000" w:themeColor="text1"/>
        </w:rPr>
        <w:t>. Esse volume</w:t>
      </w:r>
      <w:r w:rsidR="0041466A" w:rsidRPr="00D94455">
        <w:rPr>
          <w:rFonts w:ascii="Arial" w:hAnsi="Arial" w:cs="Arial"/>
          <w:color w:val="000000" w:themeColor="text1"/>
        </w:rPr>
        <w:t xml:space="preserve"> corresponde</w:t>
      </w:r>
      <w:r>
        <w:rPr>
          <w:rFonts w:ascii="Arial" w:hAnsi="Arial" w:cs="Arial"/>
          <w:color w:val="000000" w:themeColor="text1"/>
        </w:rPr>
        <w:t>u</w:t>
      </w:r>
      <w:r w:rsidR="0041466A" w:rsidRPr="00D94455">
        <w:rPr>
          <w:rFonts w:ascii="Arial" w:hAnsi="Arial" w:cs="Arial"/>
          <w:color w:val="000000" w:themeColor="text1"/>
        </w:rPr>
        <w:t xml:space="preserve"> a 78,6% do total nacional</w:t>
      </w:r>
      <w:r>
        <w:rPr>
          <w:rFonts w:ascii="Arial" w:hAnsi="Arial" w:cs="Arial"/>
          <w:color w:val="000000" w:themeColor="text1"/>
        </w:rPr>
        <w:t xml:space="preserve"> e a um </w:t>
      </w:r>
      <w:r w:rsidR="0041466A" w:rsidRPr="00D94455">
        <w:rPr>
          <w:rFonts w:ascii="Arial" w:hAnsi="Arial" w:cs="Arial"/>
          <w:color w:val="000000" w:themeColor="text1"/>
        </w:rPr>
        <w:t xml:space="preserve">crescimento de 5,3% em relação a 2024. A </w:t>
      </w:r>
      <w:r w:rsidR="00395931">
        <w:rPr>
          <w:rFonts w:ascii="Arial" w:hAnsi="Arial" w:cs="Arial"/>
          <w:color w:val="000000" w:themeColor="text1"/>
        </w:rPr>
        <w:t>Bacia de</w:t>
      </w:r>
      <w:r w:rsidR="0041466A" w:rsidRPr="00D94455">
        <w:rPr>
          <w:rFonts w:ascii="Arial" w:hAnsi="Arial" w:cs="Arial"/>
          <w:color w:val="000000" w:themeColor="text1"/>
        </w:rPr>
        <w:t xml:space="preserve"> Campos contabilizou 3,1 bilhões de barris, o equivalente a 17,8% do total</w:t>
      </w:r>
      <w:r w:rsidR="002D1F8A">
        <w:rPr>
          <w:rFonts w:ascii="Arial" w:hAnsi="Arial" w:cs="Arial"/>
          <w:color w:val="000000" w:themeColor="text1"/>
        </w:rPr>
        <w:t xml:space="preserve"> das reservas provadas</w:t>
      </w:r>
      <w:r w:rsidR="0041466A" w:rsidRPr="00D94455">
        <w:rPr>
          <w:rFonts w:ascii="Arial" w:hAnsi="Arial" w:cs="Arial"/>
          <w:color w:val="000000" w:themeColor="text1"/>
        </w:rPr>
        <w:t xml:space="preserve">, </w:t>
      </w:r>
      <w:r w:rsidR="002D1F8A">
        <w:rPr>
          <w:rFonts w:ascii="Arial" w:hAnsi="Arial" w:cs="Arial"/>
          <w:color w:val="000000" w:themeColor="text1"/>
        </w:rPr>
        <w:t>apesar da</w:t>
      </w:r>
      <w:r w:rsidR="002D1F8A" w:rsidRPr="00D94455">
        <w:rPr>
          <w:rFonts w:ascii="Arial" w:hAnsi="Arial" w:cs="Arial"/>
          <w:color w:val="000000" w:themeColor="text1"/>
        </w:rPr>
        <w:t xml:space="preserve"> </w:t>
      </w:r>
      <w:r w:rsidR="0041466A" w:rsidRPr="00D94455">
        <w:rPr>
          <w:rFonts w:ascii="Arial" w:hAnsi="Arial" w:cs="Arial"/>
          <w:color w:val="000000" w:themeColor="text1"/>
        </w:rPr>
        <w:t>redução de 2,6% na comparação anual. Em terceiro lugar, situou</w:t>
      </w:r>
      <w:r w:rsidR="0041466A" w:rsidRPr="00D94455">
        <w:rPr>
          <w:rFonts w:ascii="Arial" w:hAnsi="Arial" w:cs="Arial"/>
          <w:color w:val="000000" w:themeColor="text1"/>
        </w:rPr>
        <w:noBreakHyphen/>
        <w:t xml:space="preserve">se a </w:t>
      </w:r>
      <w:r w:rsidR="00395931">
        <w:rPr>
          <w:rFonts w:ascii="Arial" w:hAnsi="Arial" w:cs="Arial"/>
          <w:color w:val="000000" w:themeColor="text1"/>
        </w:rPr>
        <w:t>Bacia de</w:t>
      </w:r>
      <w:r w:rsidR="0041466A" w:rsidRPr="00D94455">
        <w:rPr>
          <w:rFonts w:ascii="Arial" w:hAnsi="Arial" w:cs="Arial"/>
          <w:color w:val="000000" w:themeColor="text1"/>
        </w:rPr>
        <w:t xml:space="preserve"> Sergipe, com 233,6 milhões de barris, volume correspondente a 1,3% das reservas provadas de petróleo em 2025, após aumento de 81% em relação ao ano anterior.</w:t>
      </w:r>
    </w:p>
    <w:p w14:paraId="52D6B257" w14:textId="77777777" w:rsidR="0041466A" w:rsidRPr="00360370" w:rsidRDefault="0041466A" w:rsidP="0041466A">
      <w:pPr>
        <w:autoSpaceDE w:val="0"/>
        <w:autoSpaceDN w:val="0"/>
        <w:adjustRightInd w:val="0"/>
        <w:jc w:val="both"/>
        <w:rPr>
          <w:rFonts w:ascii="Arial" w:hAnsi="Arial" w:cs="Arial"/>
          <w:color w:val="000000"/>
          <w:highlight w:val="yellow"/>
        </w:rPr>
      </w:pPr>
    </w:p>
    <w:p w14:paraId="1184A041" w14:textId="3B338B20" w:rsidR="0041466A" w:rsidRDefault="0041466A" w:rsidP="0041466A">
      <w:pPr>
        <w:jc w:val="both"/>
        <w:rPr>
          <w:rFonts w:ascii="Arial" w:hAnsi="Arial" w:cs="Arial"/>
          <w:color w:val="000000" w:themeColor="text1"/>
        </w:rPr>
      </w:pPr>
      <w:r w:rsidRPr="36DAC812">
        <w:rPr>
          <w:rFonts w:ascii="Arial" w:hAnsi="Arial" w:cs="Arial"/>
          <w:color w:val="000000" w:themeColor="text1"/>
        </w:rPr>
        <w:t>Dentre os estados com maiores volumes de reservas provadas de petróleo encontram-se Rio de Janeiro, São Paulo e Espírito Santo, que representam, respectivamente, 8</w:t>
      </w:r>
      <w:r>
        <w:rPr>
          <w:rFonts w:ascii="Arial" w:hAnsi="Arial" w:cs="Arial"/>
          <w:color w:val="000000" w:themeColor="text1"/>
        </w:rPr>
        <w:t>7,4</w:t>
      </w:r>
      <w:r w:rsidRPr="36DAC812">
        <w:rPr>
          <w:rFonts w:ascii="Arial" w:hAnsi="Arial" w:cs="Arial"/>
          <w:color w:val="000000" w:themeColor="text1"/>
        </w:rPr>
        <w:t xml:space="preserve">%, </w:t>
      </w:r>
      <w:r>
        <w:rPr>
          <w:rFonts w:ascii="Arial" w:hAnsi="Arial" w:cs="Arial"/>
          <w:color w:val="000000" w:themeColor="text1"/>
        </w:rPr>
        <w:t>6</w:t>
      </w:r>
      <w:r w:rsidRPr="36DAC812">
        <w:rPr>
          <w:rFonts w:ascii="Arial" w:hAnsi="Arial" w:cs="Arial"/>
          <w:color w:val="000000" w:themeColor="text1"/>
        </w:rPr>
        <w:t>,</w:t>
      </w:r>
      <w:r>
        <w:rPr>
          <w:rFonts w:ascii="Arial" w:hAnsi="Arial" w:cs="Arial"/>
          <w:color w:val="000000" w:themeColor="text1"/>
        </w:rPr>
        <w:t>1</w:t>
      </w:r>
      <w:r w:rsidRPr="36DAC812">
        <w:rPr>
          <w:rFonts w:ascii="Arial" w:hAnsi="Arial" w:cs="Arial"/>
          <w:color w:val="000000" w:themeColor="text1"/>
        </w:rPr>
        <w:t xml:space="preserve">% e </w:t>
      </w:r>
      <w:r>
        <w:rPr>
          <w:rFonts w:ascii="Arial" w:hAnsi="Arial" w:cs="Arial"/>
          <w:color w:val="000000" w:themeColor="text1"/>
        </w:rPr>
        <w:t>3,3</w:t>
      </w:r>
      <w:r w:rsidRPr="36DAC812">
        <w:rPr>
          <w:rFonts w:ascii="Arial" w:hAnsi="Arial" w:cs="Arial"/>
          <w:color w:val="000000" w:themeColor="text1"/>
        </w:rPr>
        <w:t xml:space="preserve">% das reservas. No Rio de Janeiro, o volume de reservas provadas teve </w:t>
      </w:r>
      <w:r>
        <w:rPr>
          <w:rFonts w:ascii="Arial" w:hAnsi="Arial" w:cs="Arial"/>
          <w:color w:val="000000" w:themeColor="text1"/>
        </w:rPr>
        <w:t xml:space="preserve">alta de 4%, </w:t>
      </w:r>
      <w:r w:rsidRPr="36DAC812">
        <w:rPr>
          <w:rFonts w:ascii="Arial" w:hAnsi="Arial" w:cs="Arial"/>
          <w:color w:val="000000" w:themeColor="text1"/>
        </w:rPr>
        <w:t>totalizando 1</w:t>
      </w:r>
      <w:r>
        <w:rPr>
          <w:rFonts w:ascii="Arial" w:hAnsi="Arial" w:cs="Arial"/>
          <w:color w:val="000000" w:themeColor="text1"/>
        </w:rPr>
        <w:t>5</w:t>
      </w:r>
      <w:r w:rsidRPr="36DAC812">
        <w:rPr>
          <w:rFonts w:ascii="Arial" w:hAnsi="Arial" w:cs="Arial"/>
          <w:color w:val="000000" w:themeColor="text1"/>
        </w:rPr>
        <w:t>,</w:t>
      </w:r>
      <w:r>
        <w:rPr>
          <w:rFonts w:ascii="Arial" w:hAnsi="Arial" w:cs="Arial"/>
          <w:color w:val="000000" w:themeColor="text1"/>
        </w:rPr>
        <w:t>3</w:t>
      </w:r>
      <w:r w:rsidRPr="36DAC812">
        <w:rPr>
          <w:rFonts w:ascii="Arial" w:hAnsi="Arial" w:cs="Arial"/>
          <w:color w:val="000000" w:themeColor="text1"/>
        </w:rPr>
        <w:t xml:space="preserve"> bilhões de barris. Já</w:t>
      </w:r>
      <w:r>
        <w:rPr>
          <w:rFonts w:ascii="Arial" w:hAnsi="Arial" w:cs="Arial"/>
          <w:color w:val="000000" w:themeColor="text1"/>
        </w:rPr>
        <w:t xml:space="preserve"> </w:t>
      </w:r>
      <w:r w:rsidRPr="36DAC812">
        <w:rPr>
          <w:rFonts w:ascii="Arial" w:hAnsi="Arial" w:cs="Arial"/>
          <w:color w:val="000000" w:themeColor="text1"/>
        </w:rPr>
        <w:t xml:space="preserve">São Paulo, </w:t>
      </w:r>
      <w:r>
        <w:rPr>
          <w:rFonts w:ascii="Arial" w:hAnsi="Arial" w:cs="Arial"/>
          <w:color w:val="000000" w:themeColor="text1"/>
        </w:rPr>
        <w:t>registrou</w:t>
      </w:r>
      <w:r w:rsidRPr="36DAC812">
        <w:rPr>
          <w:rFonts w:ascii="Arial" w:hAnsi="Arial" w:cs="Arial"/>
          <w:color w:val="000000" w:themeColor="text1"/>
        </w:rPr>
        <w:t xml:space="preserve"> </w:t>
      </w:r>
      <w:r>
        <w:rPr>
          <w:rFonts w:ascii="Arial" w:hAnsi="Arial" w:cs="Arial"/>
          <w:color w:val="000000" w:themeColor="text1"/>
        </w:rPr>
        <w:t>aumento de 3,3%</w:t>
      </w:r>
      <w:r w:rsidRPr="36DAC812">
        <w:rPr>
          <w:rFonts w:ascii="Arial" w:hAnsi="Arial" w:cs="Arial"/>
          <w:color w:val="000000" w:themeColor="text1"/>
        </w:rPr>
        <w:t xml:space="preserve"> no volume de reservas, que ficou em 1</w:t>
      </w:r>
      <w:r>
        <w:rPr>
          <w:rFonts w:ascii="Arial" w:hAnsi="Arial" w:cs="Arial"/>
          <w:color w:val="000000" w:themeColor="text1"/>
        </w:rPr>
        <w:t>,1</w:t>
      </w:r>
      <w:r w:rsidRPr="36DAC812">
        <w:rPr>
          <w:rFonts w:ascii="Arial" w:hAnsi="Arial" w:cs="Arial"/>
          <w:color w:val="000000" w:themeColor="text1"/>
        </w:rPr>
        <w:t xml:space="preserve"> bilhão de barris. No Espírito Santo, </w:t>
      </w:r>
      <w:r>
        <w:rPr>
          <w:rFonts w:ascii="Arial" w:hAnsi="Arial" w:cs="Arial"/>
          <w:color w:val="000000" w:themeColor="text1"/>
        </w:rPr>
        <w:t>houve</w:t>
      </w:r>
      <w:r w:rsidRPr="36DAC812">
        <w:rPr>
          <w:rFonts w:ascii="Arial" w:hAnsi="Arial" w:cs="Arial"/>
          <w:color w:val="000000" w:themeColor="text1"/>
        </w:rPr>
        <w:t xml:space="preserve"> </w:t>
      </w:r>
      <w:r>
        <w:rPr>
          <w:rFonts w:ascii="Arial" w:hAnsi="Arial" w:cs="Arial"/>
          <w:color w:val="000000" w:themeColor="text1"/>
        </w:rPr>
        <w:t>acréscimo</w:t>
      </w:r>
      <w:r w:rsidRPr="36DAC812">
        <w:rPr>
          <w:rFonts w:ascii="Arial" w:hAnsi="Arial" w:cs="Arial"/>
          <w:color w:val="000000" w:themeColor="text1"/>
        </w:rPr>
        <w:t xml:space="preserve"> de </w:t>
      </w:r>
      <w:r w:rsidR="008F4D22">
        <w:rPr>
          <w:rFonts w:ascii="Arial" w:hAnsi="Arial" w:cs="Arial"/>
          <w:color w:val="000000" w:themeColor="text1"/>
        </w:rPr>
        <w:t>8,5</w:t>
      </w:r>
      <w:r>
        <w:rPr>
          <w:rFonts w:ascii="Arial" w:hAnsi="Arial" w:cs="Arial"/>
          <w:color w:val="000000" w:themeColor="text1"/>
        </w:rPr>
        <w:t>%</w:t>
      </w:r>
      <w:r w:rsidRPr="36DAC812">
        <w:rPr>
          <w:rFonts w:ascii="Arial" w:hAnsi="Arial" w:cs="Arial"/>
          <w:color w:val="000000" w:themeColor="text1"/>
        </w:rPr>
        <w:t xml:space="preserve"> em terra e </w:t>
      </w:r>
      <w:r>
        <w:rPr>
          <w:rFonts w:ascii="Arial" w:hAnsi="Arial" w:cs="Arial"/>
          <w:color w:val="000000" w:themeColor="text1"/>
        </w:rPr>
        <w:t>queda de 4,2</w:t>
      </w:r>
      <w:r w:rsidRPr="36DAC812">
        <w:rPr>
          <w:rFonts w:ascii="Arial" w:hAnsi="Arial" w:cs="Arial"/>
          <w:color w:val="000000" w:themeColor="text1"/>
        </w:rPr>
        <w:t xml:space="preserve">% em mar, totalizando </w:t>
      </w:r>
      <w:r>
        <w:rPr>
          <w:rFonts w:ascii="Arial" w:hAnsi="Arial" w:cs="Arial"/>
          <w:color w:val="000000" w:themeColor="text1"/>
        </w:rPr>
        <w:t>4</w:t>
      </w:r>
      <w:r w:rsidR="008F4D22">
        <w:rPr>
          <w:rFonts w:ascii="Arial" w:hAnsi="Arial" w:cs="Arial"/>
          <w:color w:val="000000" w:themeColor="text1"/>
        </w:rPr>
        <w:t>6</w:t>
      </w:r>
      <w:r>
        <w:rPr>
          <w:rFonts w:ascii="Arial" w:hAnsi="Arial" w:cs="Arial"/>
          <w:color w:val="000000" w:themeColor="text1"/>
        </w:rPr>
        <w:t>,1</w:t>
      </w:r>
      <w:r w:rsidRPr="36DAC812">
        <w:rPr>
          <w:rFonts w:ascii="Arial" w:hAnsi="Arial" w:cs="Arial"/>
          <w:color w:val="000000" w:themeColor="text1"/>
        </w:rPr>
        <w:t xml:space="preserve"> milhões e</w:t>
      </w:r>
      <w:r>
        <w:rPr>
          <w:rFonts w:ascii="Arial" w:hAnsi="Arial" w:cs="Arial"/>
          <w:color w:val="000000" w:themeColor="text1"/>
        </w:rPr>
        <w:t xml:space="preserve"> 523,4</w:t>
      </w:r>
      <w:r w:rsidRPr="36DAC812">
        <w:rPr>
          <w:rFonts w:ascii="Arial" w:hAnsi="Arial" w:cs="Arial"/>
          <w:color w:val="000000" w:themeColor="text1"/>
        </w:rPr>
        <w:t xml:space="preserve"> milhões de barris, respectivamente.</w:t>
      </w:r>
    </w:p>
    <w:p w14:paraId="546C97F0" w14:textId="77777777" w:rsidR="0041466A" w:rsidRPr="00416DC2" w:rsidRDefault="0041466A" w:rsidP="0041466A">
      <w:pPr>
        <w:autoSpaceDE w:val="0"/>
        <w:autoSpaceDN w:val="0"/>
        <w:adjustRightInd w:val="0"/>
        <w:jc w:val="both"/>
        <w:rPr>
          <w:rFonts w:ascii="Arial" w:hAnsi="Arial" w:cs="Arial"/>
          <w:color w:val="000000"/>
          <w:highlight w:val="yellow"/>
        </w:rPr>
      </w:pPr>
    </w:p>
    <w:p w14:paraId="5967D063"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2.3</w:t>
      </w:r>
    </w:p>
    <w:p w14:paraId="7EB2390F" w14:textId="77777777"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2.4</w:t>
      </w:r>
    </w:p>
    <w:p w14:paraId="1643DF26" w14:textId="77777777"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5</w:t>
      </w:r>
    </w:p>
    <w:p w14:paraId="44D48175" w14:textId="77777777"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6</w:t>
      </w:r>
    </w:p>
    <w:p w14:paraId="27773860" w14:textId="77777777" w:rsidR="0041466A" w:rsidRPr="001A4B9C" w:rsidRDefault="0041466A" w:rsidP="0041466A">
      <w:pPr>
        <w:autoSpaceDE w:val="0"/>
        <w:autoSpaceDN w:val="0"/>
        <w:adjustRightInd w:val="0"/>
        <w:jc w:val="both"/>
        <w:rPr>
          <w:rFonts w:ascii="Arial" w:hAnsi="Arial" w:cs="Arial"/>
          <w:b/>
          <w:bCs/>
        </w:rPr>
      </w:pPr>
    </w:p>
    <w:p w14:paraId="23BA90AC"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2.1</w:t>
      </w:r>
    </w:p>
    <w:p w14:paraId="474CC923"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2.2</w:t>
      </w:r>
    </w:p>
    <w:p w14:paraId="67CD1576" w14:textId="77777777" w:rsidR="0041466A" w:rsidRPr="00360370" w:rsidRDefault="0041466A" w:rsidP="0041466A">
      <w:pPr>
        <w:pStyle w:val="Corpodetexto3"/>
        <w:rPr>
          <w:sz w:val="20"/>
          <w:szCs w:val="20"/>
          <w:highlight w:val="yellow"/>
        </w:rPr>
      </w:pPr>
    </w:p>
    <w:p w14:paraId="374D17B6" w14:textId="13D62EB6" w:rsidR="00297EC6" w:rsidRDefault="0041466A" w:rsidP="0041466A">
      <w:pPr>
        <w:pStyle w:val="Corpodetexto3"/>
        <w:rPr>
          <w:color w:val="auto"/>
          <w:sz w:val="20"/>
          <w:szCs w:val="20"/>
        </w:rPr>
      </w:pPr>
      <w:r w:rsidRPr="36DAC812">
        <w:rPr>
          <w:color w:val="auto"/>
          <w:sz w:val="20"/>
          <w:szCs w:val="20"/>
        </w:rPr>
        <w:t>As reservas totais de gás natural</w:t>
      </w:r>
      <w:r>
        <w:rPr>
          <w:color w:val="auto"/>
          <w:sz w:val="20"/>
          <w:szCs w:val="20"/>
        </w:rPr>
        <w:t xml:space="preserve"> tiveram alta de 1,</w:t>
      </w:r>
      <w:r w:rsidR="00F0289B">
        <w:rPr>
          <w:color w:val="auto"/>
          <w:sz w:val="20"/>
          <w:szCs w:val="20"/>
        </w:rPr>
        <w:t>5</w:t>
      </w:r>
      <w:r w:rsidRPr="36DAC812">
        <w:rPr>
          <w:color w:val="auto"/>
          <w:sz w:val="20"/>
          <w:szCs w:val="20"/>
        </w:rPr>
        <w:t>%, na comparação anual</w:t>
      </w:r>
      <w:r>
        <w:rPr>
          <w:color w:val="auto"/>
          <w:sz w:val="20"/>
          <w:szCs w:val="20"/>
        </w:rPr>
        <w:t xml:space="preserve"> </w:t>
      </w:r>
      <w:r w:rsidRPr="36DAC812">
        <w:rPr>
          <w:color w:val="auto"/>
          <w:sz w:val="20"/>
          <w:szCs w:val="20"/>
        </w:rPr>
        <w:t xml:space="preserve">e somaram </w:t>
      </w:r>
      <w:r>
        <w:rPr>
          <w:color w:val="auto"/>
          <w:sz w:val="20"/>
          <w:szCs w:val="20"/>
        </w:rPr>
        <w:t>75</w:t>
      </w:r>
      <w:r w:rsidR="00F0289B">
        <w:rPr>
          <w:color w:val="auto"/>
          <w:sz w:val="20"/>
          <w:szCs w:val="20"/>
        </w:rPr>
        <w:t>1</w:t>
      </w:r>
      <w:r>
        <w:rPr>
          <w:color w:val="auto"/>
          <w:sz w:val="20"/>
          <w:szCs w:val="20"/>
        </w:rPr>
        <w:t>,</w:t>
      </w:r>
      <w:r w:rsidR="00F0289B">
        <w:rPr>
          <w:color w:val="auto"/>
          <w:sz w:val="20"/>
          <w:szCs w:val="20"/>
        </w:rPr>
        <w:t>6</w:t>
      </w:r>
      <w:r w:rsidRPr="36DAC812">
        <w:rPr>
          <w:color w:val="auto"/>
          <w:sz w:val="20"/>
          <w:szCs w:val="20"/>
        </w:rPr>
        <w:t xml:space="preserve"> bilhões de m³ em </w:t>
      </w:r>
      <w:r>
        <w:rPr>
          <w:color w:val="auto"/>
          <w:sz w:val="20"/>
          <w:szCs w:val="20"/>
        </w:rPr>
        <w:t>2025</w:t>
      </w:r>
      <w:r w:rsidRPr="36DAC812">
        <w:rPr>
          <w:color w:val="auto"/>
          <w:sz w:val="20"/>
          <w:szCs w:val="20"/>
        </w:rPr>
        <w:t xml:space="preserve">. </w:t>
      </w:r>
      <w:r w:rsidR="00297EC6">
        <w:rPr>
          <w:color w:val="auto"/>
          <w:sz w:val="20"/>
          <w:szCs w:val="20"/>
        </w:rPr>
        <w:t>Desse total, 111,7</w:t>
      </w:r>
      <w:r w:rsidR="00297EC6" w:rsidRPr="36DAC812">
        <w:rPr>
          <w:color w:val="auto"/>
          <w:sz w:val="20"/>
          <w:szCs w:val="20"/>
        </w:rPr>
        <w:t xml:space="preserve"> bilhões de m³</w:t>
      </w:r>
      <w:r w:rsidR="00297EC6">
        <w:rPr>
          <w:color w:val="auto"/>
          <w:sz w:val="20"/>
          <w:szCs w:val="20"/>
        </w:rPr>
        <w:t xml:space="preserve"> eram </w:t>
      </w:r>
      <w:r w:rsidRPr="36DAC812">
        <w:rPr>
          <w:color w:val="auto"/>
          <w:sz w:val="20"/>
          <w:szCs w:val="20"/>
        </w:rPr>
        <w:t xml:space="preserve">em terra </w:t>
      </w:r>
      <w:r w:rsidR="00297EC6">
        <w:rPr>
          <w:color w:val="auto"/>
          <w:sz w:val="20"/>
          <w:szCs w:val="20"/>
        </w:rPr>
        <w:t>e 639,9</w:t>
      </w:r>
      <w:r w:rsidR="00297EC6" w:rsidRPr="36DAC812">
        <w:rPr>
          <w:color w:val="auto"/>
          <w:sz w:val="20"/>
          <w:szCs w:val="20"/>
        </w:rPr>
        <w:t xml:space="preserve"> bilhões de m</w:t>
      </w:r>
      <w:r w:rsidR="00C259C6" w:rsidRPr="36DAC812">
        <w:rPr>
          <w:color w:val="auto"/>
          <w:sz w:val="20"/>
          <w:szCs w:val="20"/>
        </w:rPr>
        <w:t>³</w:t>
      </w:r>
      <w:r w:rsidR="00297EC6" w:rsidRPr="36DAC812">
        <w:rPr>
          <w:color w:val="auto"/>
          <w:sz w:val="20"/>
          <w:szCs w:val="20"/>
        </w:rPr>
        <w:t xml:space="preserve"> </w:t>
      </w:r>
      <w:r w:rsidRPr="36DAC812">
        <w:rPr>
          <w:color w:val="auto"/>
          <w:sz w:val="20"/>
          <w:szCs w:val="20"/>
        </w:rPr>
        <w:t>em mar.</w:t>
      </w:r>
    </w:p>
    <w:p w14:paraId="452AFE25" w14:textId="77777777" w:rsidR="00297EC6" w:rsidRDefault="00297EC6" w:rsidP="0041466A">
      <w:pPr>
        <w:pStyle w:val="Corpodetexto3"/>
        <w:rPr>
          <w:color w:val="auto"/>
          <w:sz w:val="20"/>
          <w:szCs w:val="20"/>
        </w:rPr>
      </w:pPr>
    </w:p>
    <w:p w14:paraId="41BD303A" w14:textId="75A00768" w:rsidR="0041466A" w:rsidRDefault="0041466A" w:rsidP="0041466A">
      <w:pPr>
        <w:pStyle w:val="Corpodetexto3"/>
        <w:rPr>
          <w:sz w:val="20"/>
          <w:szCs w:val="20"/>
        </w:rPr>
      </w:pPr>
      <w:r w:rsidRPr="001F320D">
        <w:rPr>
          <w:sz w:val="20"/>
          <w:szCs w:val="20"/>
        </w:rPr>
        <w:t xml:space="preserve">Dentre os estados, </w:t>
      </w:r>
      <w:r>
        <w:rPr>
          <w:sz w:val="20"/>
          <w:szCs w:val="20"/>
        </w:rPr>
        <w:t xml:space="preserve">o </w:t>
      </w:r>
      <w:r w:rsidRPr="001F320D">
        <w:rPr>
          <w:sz w:val="20"/>
          <w:szCs w:val="20"/>
        </w:rPr>
        <w:t>Rio de Janeiro</w:t>
      </w:r>
      <w:r w:rsidR="001E71F0">
        <w:rPr>
          <w:sz w:val="20"/>
          <w:szCs w:val="20"/>
        </w:rPr>
        <w:t xml:space="preserve"> concentrou as maiores reservas:</w:t>
      </w:r>
      <w:r w:rsidRPr="001F320D">
        <w:rPr>
          <w:sz w:val="20"/>
          <w:szCs w:val="20"/>
        </w:rPr>
        <w:t xml:space="preserve"> </w:t>
      </w:r>
      <w:r>
        <w:rPr>
          <w:sz w:val="20"/>
          <w:szCs w:val="20"/>
        </w:rPr>
        <w:t>51</w:t>
      </w:r>
      <w:r w:rsidR="00C45875">
        <w:rPr>
          <w:sz w:val="20"/>
          <w:szCs w:val="20"/>
        </w:rPr>
        <w:t>3</w:t>
      </w:r>
      <w:r w:rsidRPr="001F320D">
        <w:rPr>
          <w:sz w:val="20"/>
          <w:szCs w:val="20"/>
        </w:rPr>
        <w:t xml:space="preserve"> bilhões de m³,</w:t>
      </w:r>
      <w:r w:rsidR="001E71F0">
        <w:rPr>
          <w:sz w:val="20"/>
          <w:szCs w:val="20"/>
        </w:rPr>
        <w:t xml:space="preserve"> o equivalente a</w:t>
      </w:r>
      <w:r w:rsidRPr="001F320D">
        <w:rPr>
          <w:sz w:val="20"/>
          <w:szCs w:val="20"/>
        </w:rPr>
        <w:t xml:space="preserve"> </w:t>
      </w:r>
      <w:r>
        <w:rPr>
          <w:sz w:val="20"/>
          <w:szCs w:val="20"/>
        </w:rPr>
        <w:t>68,</w:t>
      </w:r>
      <w:r w:rsidR="00C45875">
        <w:rPr>
          <w:sz w:val="20"/>
          <w:szCs w:val="20"/>
        </w:rPr>
        <w:t>2</w:t>
      </w:r>
      <w:r w:rsidRPr="001F320D">
        <w:rPr>
          <w:sz w:val="20"/>
          <w:szCs w:val="20"/>
        </w:rPr>
        <w:t>% do total das reservas nacionais.</w:t>
      </w:r>
      <w:r>
        <w:rPr>
          <w:sz w:val="20"/>
          <w:szCs w:val="20"/>
        </w:rPr>
        <w:t xml:space="preserve"> </w:t>
      </w:r>
      <w:r w:rsidR="001E71F0">
        <w:rPr>
          <w:sz w:val="20"/>
          <w:szCs w:val="20"/>
        </w:rPr>
        <w:t>Foi seguido pel</w:t>
      </w:r>
      <w:r>
        <w:rPr>
          <w:sz w:val="20"/>
          <w:szCs w:val="20"/>
        </w:rPr>
        <w:t>o estado de</w:t>
      </w:r>
      <w:r w:rsidR="00AC7CCB">
        <w:rPr>
          <w:sz w:val="20"/>
          <w:szCs w:val="20"/>
        </w:rPr>
        <w:t xml:space="preserve"> Sergipe</w:t>
      </w:r>
      <w:r>
        <w:rPr>
          <w:sz w:val="20"/>
          <w:szCs w:val="20"/>
        </w:rPr>
        <w:t xml:space="preserve">, com 54,4 bilhões de m³, </w:t>
      </w:r>
      <w:r w:rsidR="001E71F0">
        <w:rPr>
          <w:sz w:val="20"/>
          <w:szCs w:val="20"/>
        </w:rPr>
        <w:t>e</w:t>
      </w:r>
      <w:r>
        <w:rPr>
          <w:sz w:val="20"/>
          <w:szCs w:val="20"/>
        </w:rPr>
        <w:t xml:space="preserve"> </w:t>
      </w:r>
      <w:r w:rsidR="001E71F0">
        <w:rPr>
          <w:sz w:val="20"/>
          <w:szCs w:val="20"/>
        </w:rPr>
        <w:t>pelo</w:t>
      </w:r>
      <w:r>
        <w:rPr>
          <w:sz w:val="20"/>
          <w:szCs w:val="20"/>
        </w:rPr>
        <w:t xml:space="preserve"> Amazonas, com 48 bilhões de m³.</w:t>
      </w:r>
    </w:p>
    <w:p w14:paraId="11EFEB2D" w14:textId="77777777" w:rsidR="0041466A" w:rsidRDefault="0041466A" w:rsidP="0041466A">
      <w:pPr>
        <w:pStyle w:val="Corpodetexto3"/>
        <w:rPr>
          <w:sz w:val="20"/>
          <w:szCs w:val="20"/>
        </w:rPr>
      </w:pPr>
    </w:p>
    <w:p w14:paraId="3C1DE97A" w14:textId="1A698BFC" w:rsidR="0041466A" w:rsidRDefault="009A03E4" w:rsidP="0041466A">
      <w:pPr>
        <w:pStyle w:val="Corpodetexto3"/>
        <w:rPr>
          <w:sz w:val="20"/>
          <w:szCs w:val="20"/>
        </w:rPr>
      </w:pPr>
      <w:r>
        <w:rPr>
          <w:sz w:val="20"/>
          <w:szCs w:val="20"/>
        </w:rPr>
        <w:t>A bacia sedimentar com o maior volume de reservas totais de gás natural</w:t>
      </w:r>
      <w:r w:rsidR="0041466A">
        <w:rPr>
          <w:sz w:val="20"/>
          <w:szCs w:val="20"/>
        </w:rPr>
        <w:t xml:space="preserve"> foi a de Santos, com 388,2 bilhões de m³ </w:t>
      </w:r>
      <w:r>
        <w:rPr>
          <w:sz w:val="20"/>
          <w:szCs w:val="20"/>
        </w:rPr>
        <w:t>(</w:t>
      </w:r>
      <w:r w:rsidR="0041466A">
        <w:rPr>
          <w:sz w:val="20"/>
          <w:szCs w:val="20"/>
        </w:rPr>
        <w:t>51,6% do total</w:t>
      </w:r>
      <w:r>
        <w:rPr>
          <w:sz w:val="20"/>
          <w:szCs w:val="20"/>
        </w:rPr>
        <w:t>).</w:t>
      </w:r>
      <w:r w:rsidR="0041466A">
        <w:rPr>
          <w:sz w:val="20"/>
          <w:szCs w:val="20"/>
        </w:rPr>
        <w:t xml:space="preserve"> </w:t>
      </w:r>
      <w:r>
        <w:rPr>
          <w:sz w:val="20"/>
          <w:szCs w:val="20"/>
        </w:rPr>
        <w:t xml:space="preserve">Em seguida, veio a </w:t>
      </w:r>
      <w:r w:rsidR="00395931">
        <w:rPr>
          <w:sz w:val="20"/>
          <w:szCs w:val="20"/>
        </w:rPr>
        <w:t>Bacia de</w:t>
      </w:r>
      <w:r w:rsidR="0041466A">
        <w:rPr>
          <w:sz w:val="20"/>
          <w:szCs w:val="20"/>
        </w:rPr>
        <w:t xml:space="preserve"> Campos</w:t>
      </w:r>
      <w:r>
        <w:rPr>
          <w:sz w:val="20"/>
          <w:szCs w:val="20"/>
        </w:rPr>
        <w:t>, com</w:t>
      </w:r>
      <w:r w:rsidR="0041466A">
        <w:rPr>
          <w:sz w:val="20"/>
          <w:szCs w:val="20"/>
        </w:rPr>
        <w:t>191,</w:t>
      </w:r>
      <w:r w:rsidR="00C45875">
        <w:rPr>
          <w:sz w:val="20"/>
          <w:szCs w:val="20"/>
        </w:rPr>
        <w:t>9</w:t>
      </w:r>
      <w:r w:rsidR="0041466A">
        <w:rPr>
          <w:sz w:val="20"/>
          <w:szCs w:val="20"/>
        </w:rPr>
        <w:t xml:space="preserve"> bilhões de m³ </w:t>
      </w:r>
      <w:r w:rsidR="00614D8F">
        <w:rPr>
          <w:sz w:val="20"/>
          <w:szCs w:val="20"/>
        </w:rPr>
        <w:t>(</w:t>
      </w:r>
      <w:r w:rsidR="0041466A">
        <w:rPr>
          <w:sz w:val="20"/>
          <w:szCs w:val="20"/>
        </w:rPr>
        <w:t xml:space="preserve">25,5% do total. Em terceiro veio a </w:t>
      </w:r>
      <w:r w:rsidR="00395931">
        <w:rPr>
          <w:sz w:val="20"/>
          <w:szCs w:val="20"/>
        </w:rPr>
        <w:t>Bacia de</w:t>
      </w:r>
      <w:r w:rsidR="0041466A">
        <w:rPr>
          <w:sz w:val="20"/>
          <w:szCs w:val="20"/>
        </w:rPr>
        <w:t xml:space="preserve"> Sergipe, com 54,4 bilhões de m³, valor correspondente a 7,2% do total nacional.</w:t>
      </w:r>
    </w:p>
    <w:p w14:paraId="6292B5C6" w14:textId="77777777" w:rsidR="0041466A" w:rsidRPr="001F320D" w:rsidRDefault="0041466A" w:rsidP="0041466A">
      <w:pPr>
        <w:pStyle w:val="Corpodetexto3"/>
        <w:rPr>
          <w:sz w:val="20"/>
          <w:szCs w:val="20"/>
        </w:rPr>
      </w:pPr>
    </w:p>
    <w:p w14:paraId="14DDFD56" w14:textId="1749130D" w:rsidR="00614D8F" w:rsidRDefault="00614D8F" w:rsidP="0041466A">
      <w:pPr>
        <w:pStyle w:val="Corpodetexto3"/>
        <w:rPr>
          <w:color w:val="auto"/>
          <w:sz w:val="20"/>
          <w:szCs w:val="20"/>
        </w:rPr>
      </w:pPr>
      <w:r>
        <w:rPr>
          <w:color w:val="auto"/>
          <w:sz w:val="20"/>
          <w:szCs w:val="20"/>
        </w:rPr>
        <w:t>A</w:t>
      </w:r>
      <w:r w:rsidRPr="36DAC812">
        <w:rPr>
          <w:color w:val="auto"/>
          <w:sz w:val="20"/>
          <w:szCs w:val="20"/>
        </w:rPr>
        <w:t xml:space="preserve">s </w:t>
      </w:r>
      <w:r w:rsidR="0041466A" w:rsidRPr="36DAC812">
        <w:rPr>
          <w:color w:val="auto"/>
          <w:sz w:val="20"/>
          <w:szCs w:val="20"/>
        </w:rPr>
        <w:t xml:space="preserve">reservas provadas de gás natural </w:t>
      </w:r>
      <w:r>
        <w:rPr>
          <w:color w:val="auto"/>
          <w:sz w:val="20"/>
          <w:szCs w:val="20"/>
        </w:rPr>
        <w:t xml:space="preserve">também </w:t>
      </w:r>
      <w:r w:rsidR="0041466A">
        <w:rPr>
          <w:color w:val="auto"/>
          <w:sz w:val="20"/>
          <w:szCs w:val="20"/>
        </w:rPr>
        <w:t>registraram alta</w:t>
      </w:r>
      <w:r>
        <w:rPr>
          <w:color w:val="auto"/>
          <w:sz w:val="20"/>
          <w:szCs w:val="20"/>
        </w:rPr>
        <w:t>,</w:t>
      </w:r>
      <w:r w:rsidR="0041466A">
        <w:rPr>
          <w:color w:val="auto"/>
          <w:sz w:val="20"/>
          <w:szCs w:val="20"/>
        </w:rPr>
        <w:t xml:space="preserve"> de </w:t>
      </w:r>
      <w:r w:rsidR="00C45875">
        <w:rPr>
          <w:color w:val="auto"/>
          <w:sz w:val="20"/>
          <w:szCs w:val="20"/>
        </w:rPr>
        <w:t>5</w:t>
      </w:r>
      <w:r w:rsidR="0041466A" w:rsidRPr="36DAC812">
        <w:rPr>
          <w:color w:val="auto"/>
          <w:sz w:val="20"/>
          <w:szCs w:val="20"/>
        </w:rPr>
        <w:t>%</w:t>
      </w:r>
      <w:r>
        <w:rPr>
          <w:color w:val="auto"/>
          <w:sz w:val="20"/>
          <w:szCs w:val="20"/>
        </w:rPr>
        <w:t>,</w:t>
      </w:r>
      <w:r w:rsidR="0041466A" w:rsidRPr="36DAC812">
        <w:rPr>
          <w:color w:val="auto"/>
          <w:sz w:val="20"/>
          <w:szCs w:val="20"/>
        </w:rPr>
        <w:t xml:space="preserve"> em </w:t>
      </w:r>
      <w:r w:rsidR="0041466A">
        <w:rPr>
          <w:color w:val="auto"/>
          <w:sz w:val="20"/>
          <w:szCs w:val="20"/>
        </w:rPr>
        <w:t>2025</w:t>
      </w:r>
      <w:r w:rsidR="0041466A" w:rsidRPr="36DAC812">
        <w:rPr>
          <w:color w:val="auto"/>
          <w:sz w:val="20"/>
          <w:szCs w:val="20"/>
        </w:rPr>
        <w:t xml:space="preserve">, totalizando </w:t>
      </w:r>
      <w:r w:rsidR="0041466A">
        <w:rPr>
          <w:color w:val="auto"/>
          <w:sz w:val="20"/>
          <w:szCs w:val="20"/>
        </w:rPr>
        <w:t>573,3</w:t>
      </w:r>
      <w:r w:rsidR="0041466A" w:rsidRPr="36DAC812">
        <w:rPr>
          <w:color w:val="auto"/>
          <w:sz w:val="20"/>
          <w:szCs w:val="20"/>
        </w:rPr>
        <w:t xml:space="preserve"> bilhões de m³. As reservas em terra </w:t>
      </w:r>
      <w:r>
        <w:rPr>
          <w:color w:val="auto"/>
          <w:sz w:val="20"/>
          <w:szCs w:val="20"/>
        </w:rPr>
        <w:t>corresponderam a</w:t>
      </w:r>
      <w:r w:rsidR="0041466A" w:rsidRPr="36DAC812">
        <w:rPr>
          <w:color w:val="auto"/>
          <w:sz w:val="20"/>
          <w:szCs w:val="20"/>
        </w:rPr>
        <w:t xml:space="preserve"> </w:t>
      </w:r>
      <w:r w:rsidR="0041466A">
        <w:rPr>
          <w:color w:val="auto"/>
          <w:sz w:val="20"/>
          <w:szCs w:val="20"/>
        </w:rPr>
        <w:t>92,5</w:t>
      </w:r>
      <w:r w:rsidR="0041466A" w:rsidRPr="36DAC812">
        <w:rPr>
          <w:color w:val="auto"/>
          <w:sz w:val="20"/>
          <w:szCs w:val="20"/>
        </w:rPr>
        <w:t xml:space="preserve"> bilhões de m³</w:t>
      </w:r>
      <w:r>
        <w:rPr>
          <w:color w:val="auto"/>
          <w:sz w:val="20"/>
          <w:szCs w:val="20"/>
        </w:rPr>
        <w:t xml:space="preserve"> e</w:t>
      </w:r>
      <w:r w:rsidR="0041466A" w:rsidRPr="36DAC812">
        <w:rPr>
          <w:color w:val="auto"/>
          <w:sz w:val="20"/>
          <w:szCs w:val="20"/>
        </w:rPr>
        <w:t xml:space="preserve"> as reservas em mar </w:t>
      </w:r>
      <w:r w:rsidR="0041466A">
        <w:rPr>
          <w:color w:val="auto"/>
          <w:sz w:val="20"/>
          <w:szCs w:val="20"/>
        </w:rPr>
        <w:t>480,8</w:t>
      </w:r>
      <w:r w:rsidR="0041466A" w:rsidRPr="36DAC812">
        <w:rPr>
          <w:color w:val="auto"/>
          <w:sz w:val="20"/>
          <w:szCs w:val="20"/>
        </w:rPr>
        <w:t xml:space="preserve"> bilhões de m³.</w:t>
      </w:r>
    </w:p>
    <w:p w14:paraId="14142EB8" w14:textId="77777777" w:rsidR="00614D8F" w:rsidRDefault="00614D8F" w:rsidP="0041466A">
      <w:pPr>
        <w:pStyle w:val="Corpodetexto3"/>
        <w:rPr>
          <w:color w:val="auto"/>
          <w:sz w:val="20"/>
          <w:szCs w:val="20"/>
        </w:rPr>
      </w:pPr>
    </w:p>
    <w:p w14:paraId="31545F92" w14:textId="0B06DF80" w:rsidR="0041466A" w:rsidRDefault="00614D8F" w:rsidP="0041466A">
      <w:pPr>
        <w:pStyle w:val="Corpodetexto3"/>
        <w:rPr>
          <w:sz w:val="20"/>
          <w:szCs w:val="20"/>
        </w:rPr>
      </w:pPr>
      <w:r>
        <w:rPr>
          <w:sz w:val="20"/>
          <w:szCs w:val="20"/>
        </w:rPr>
        <w:lastRenderedPageBreak/>
        <w:t>O</w:t>
      </w:r>
      <w:r w:rsidR="0041466A">
        <w:rPr>
          <w:sz w:val="20"/>
          <w:szCs w:val="20"/>
        </w:rPr>
        <w:t xml:space="preserve"> </w:t>
      </w:r>
      <w:r w:rsidR="0041466A" w:rsidRPr="001F320D">
        <w:rPr>
          <w:sz w:val="20"/>
          <w:szCs w:val="20"/>
        </w:rPr>
        <w:t xml:space="preserve">Rio de Janeiro, </w:t>
      </w:r>
      <w:r>
        <w:rPr>
          <w:sz w:val="20"/>
          <w:szCs w:val="20"/>
        </w:rPr>
        <w:t>estado com o maior volume de reservas provadas, concentrou</w:t>
      </w:r>
      <w:r w:rsidR="0041466A" w:rsidRPr="001F320D">
        <w:rPr>
          <w:sz w:val="20"/>
          <w:szCs w:val="20"/>
        </w:rPr>
        <w:t xml:space="preserve"> </w:t>
      </w:r>
      <w:r>
        <w:rPr>
          <w:sz w:val="20"/>
          <w:szCs w:val="20"/>
        </w:rPr>
        <w:t>69,5</w:t>
      </w:r>
      <w:r w:rsidRPr="001F320D">
        <w:rPr>
          <w:sz w:val="20"/>
          <w:szCs w:val="20"/>
        </w:rPr>
        <w:t>% do total das reservas</w:t>
      </w:r>
      <w:r>
        <w:rPr>
          <w:sz w:val="20"/>
          <w:szCs w:val="20"/>
        </w:rPr>
        <w:t xml:space="preserve">, </w:t>
      </w:r>
      <w:r w:rsidR="0041466A">
        <w:rPr>
          <w:sz w:val="20"/>
          <w:szCs w:val="20"/>
        </w:rPr>
        <w:t>398,4</w:t>
      </w:r>
      <w:r w:rsidR="0041466A" w:rsidRPr="001F320D">
        <w:rPr>
          <w:sz w:val="20"/>
          <w:szCs w:val="20"/>
        </w:rPr>
        <w:t xml:space="preserve"> bilhões de m³</w:t>
      </w:r>
      <w:r>
        <w:rPr>
          <w:sz w:val="20"/>
          <w:szCs w:val="20"/>
        </w:rPr>
        <w:t>.</w:t>
      </w:r>
      <w:r w:rsidR="0041466A" w:rsidRPr="001F320D">
        <w:rPr>
          <w:sz w:val="20"/>
          <w:szCs w:val="20"/>
        </w:rPr>
        <w:t xml:space="preserve"> </w:t>
      </w:r>
      <w:r w:rsidR="0041466A">
        <w:rPr>
          <w:sz w:val="20"/>
          <w:szCs w:val="20"/>
        </w:rPr>
        <w:t>Em seguida vieram os estados de Amazonas e Sergipe, com 7,5%e 7,3% do total, respectivamente.</w:t>
      </w:r>
    </w:p>
    <w:p w14:paraId="0CE33A6F" w14:textId="77777777" w:rsidR="0041466A" w:rsidRDefault="0041466A" w:rsidP="0041466A">
      <w:pPr>
        <w:pStyle w:val="Corpodetexto3"/>
        <w:rPr>
          <w:sz w:val="20"/>
          <w:szCs w:val="20"/>
        </w:rPr>
      </w:pPr>
    </w:p>
    <w:p w14:paraId="0445785D" w14:textId="4CC50189" w:rsidR="0041466A" w:rsidRDefault="0041466A" w:rsidP="0041466A">
      <w:pPr>
        <w:pStyle w:val="Corpodetexto3"/>
        <w:rPr>
          <w:sz w:val="20"/>
          <w:szCs w:val="20"/>
        </w:rPr>
      </w:pPr>
      <w:r>
        <w:rPr>
          <w:sz w:val="20"/>
          <w:szCs w:val="20"/>
        </w:rPr>
        <w:t xml:space="preserve">Por bacia sedimentar, a </w:t>
      </w:r>
      <w:r w:rsidR="00395931">
        <w:rPr>
          <w:sz w:val="20"/>
          <w:szCs w:val="20"/>
        </w:rPr>
        <w:t>Bacia de</w:t>
      </w:r>
      <w:r>
        <w:rPr>
          <w:sz w:val="20"/>
          <w:szCs w:val="20"/>
        </w:rPr>
        <w:t xml:space="preserve"> Santos ocupou a primeiro lugar, com 302,1 bilhões de m³ de gás natural, ou 52,7% do total nacional de reservas provadas de gás natural, depois de registrar alta de 2,6% na comparação com o ano anterior</w:t>
      </w:r>
      <w:r w:rsidR="00614D8F">
        <w:rPr>
          <w:sz w:val="20"/>
          <w:szCs w:val="20"/>
        </w:rPr>
        <w:t>.</w:t>
      </w:r>
      <w:r>
        <w:rPr>
          <w:sz w:val="20"/>
          <w:szCs w:val="20"/>
        </w:rPr>
        <w:t xml:space="preserve"> Em seguida vieram as bacias de Campos e Sergipe, com, respectivamente, 23,2% e 7,3% do total nacional de reservas provadas em 2025.</w:t>
      </w:r>
    </w:p>
    <w:p w14:paraId="2778A791" w14:textId="77777777" w:rsidR="0041466A" w:rsidRDefault="0041466A" w:rsidP="0041466A">
      <w:pPr>
        <w:autoSpaceDE w:val="0"/>
        <w:autoSpaceDN w:val="0"/>
        <w:adjustRightInd w:val="0"/>
        <w:jc w:val="both"/>
        <w:rPr>
          <w:rFonts w:ascii="Arial" w:hAnsi="Arial" w:cs="Arial"/>
          <w:color w:val="000000"/>
          <w:highlight w:val="yellow"/>
        </w:rPr>
      </w:pPr>
    </w:p>
    <w:p w14:paraId="5AC13459"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7</w:t>
      </w:r>
    </w:p>
    <w:p w14:paraId="41022FE5" w14:textId="77777777"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8</w:t>
      </w:r>
    </w:p>
    <w:p w14:paraId="0BF43DCF"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9</w:t>
      </w:r>
    </w:p>
    <w:p w14:paraId="33F3EAF8"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10</w:t>
      </w:r>
    </w:p>
    <w:p w14:paraId="591BC126" w14:textId="77777777" w:rsidR="0041466A" w:rsidRPr="001A4B9C" w:rsidRDefault="0041466A" w:rsidP="0041466A">
      <w:pPr>
        <w:autoSpaceDE w:val="0"/>
        <w:autoSpaceDN w:val="0"/>
        <w:adjustRightInd w:val="0"/>
        <w:jc w:val="both"/>
        <w:rPr>
          <w:rFonts w:ascii="Arial" w:hAnsi="Arial" w:cs="Arial"/>
          <w:b/>
          <w:bCs/>
          <w:color w:val="FF0000"/>
        </w:rPr>
      </w:pPr>
    </w:p>
    <w:p w14:paraId="18CDA520"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2.3</w:t>
      </w:r>
    </w:p>
    <w:p w14:paraId="244479B2"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2.4</w:t>
      </w:r>
    </w:p>
    <w:p w14:paraId="2DF39A55" w14:textId="77777777" w:rsidR="008F7804" w:rsidRDefault="008F7804" w:rsidP="0041466A">
      <w:pPr>
        <w:autoSpaceDE w:val="0"/>
        <w:autoSpaceDN w:val="0"/>
        <w:adjustRightInd w:val="0"/>
        <w:jc w:val="both"/>
        <w:rPr>
          <w:rFonts w:ascii="Arial" w:hAnsi="Arial" w:cs="Arial"/>
          <w:b/>
          <w:bCs/>
        </w:rPr>
      </w:pPr>
    </w:p>
    <w:p w14:paraId="1578B163" w14:textId="77777777" w:rsidR="00C53E0E" w:rsidRDefault="00C53E0E" w:rsidP="0041466A">
      <w:pPr>
        <w:autoSpaceDE w:val="0"/>
        <w:autoSpaceDN w:val="0"/>
        <w:adjustRightInd w:val="0"/>
        <w:jc w:val="both"/>
        <w:rPr>
          <w:rFonts w:ascii="Arial" w:hAnsi="Arial" w:cs="Arial"/>
          <w:b/>
          <w:bCs/>
        </w:rPr>
      </w:pPr>
    </w:p>
    <w:p w14:paraId="46ADD623" w14:textId="39E67F6E" w:rsidR="0041466A" w:rsidRPr="001A4B9C" w:rsidRDefault="0041466A" w:rsidP="0041466A">
      <w:pPr>
        <w:autoSpaceDE w:val="0"/>
        <w:autoSpaceDN w:val="0"/>
        <w:adjustRightInd w:val="0"/>
        <w:jc w:val="both"/>
        <w:rPr>
          <w:rFonts w:ascii="Arial" w:hAnsi="Arial" w:cs="Arial"/>
          <w:b/>
          <w:bCs/>
        </w:rPr>
      </w:pPr>
      <w:r w:rsidRPr="001A4B9C">
        <w:rPr>
          <w:rFonts w:ascii="Arial" w:hAnsi="Arial" w:cs="Arial"/>
          <w:b/>
          <w:bCs/>
        </w:rPr>
        <w:t>2.</w:t>
      </w:r>
      <w:r w:rsidR="0030700A">
        <w:rPr>
          <w:rFonts w:ascii="Arial" w:hAnsi="Arial" w:cs="Arial"/>
          <w:b/>
          <w:bCs/>
        </w:rPr>
        <w:t>1.</w:t>
      </w:r>
      <w:r w:rsidRPr="001A4B9C">
        <w:rPr>
          <w:rFonts w:ascii="Arial" w:hAnsi="Arial" w:cs="Arial"/>
          <w:b/>
          <w:bCs/>
        </w:rPr>
        <w:t>4 Produção</w:t>
      </w:r>
    </w:p>
    <w:p w14:paraId="15FCD908" w14:textId="77777777" w:rsidR="0041466A" w:rsidRPr="00360370" w:rsidRDefault="0041466A" w:rsidP="0041466A">
      <w:pPr>
        <w:autoSpaceDE w:val="0"/>
        <w:autoSpaceDN w:val="0"/>
        <w:adjustRightInd w:val="0"/>
        <w:jc w:val="both"/>
        <w:rPr>
          <w:rFonts w:ascii="Arial" w:hAnsi="Arial" w:cs="Arial"/>
          <w:color w:val="000000"/>
          <w:highlight w:val="yellow"/>
        </w:rPr>
      </w:pPr>
    </w:p>
    <w:p w14:paraId="201EB2FE" w14:textId="052FB97C" w:rsidR="0041466A" w:rsidRDefault="0041466A" w:rsidP="0041466A">
      <w:pPr>
        <w:autoSpaceDE w:val="0"/>
        <w:autoSpaceDN w:val="0"/>
        <w:adjustRightInd w:val="0"/>
        <w:jc w:val="both"/>
        <w:rPr>
          <w:rFonts w:ascii="Arial" w:hAnsi="Arial" w:cs="Arial"/>
        </w:rPr>
      </w:pPr>
      <w:r w:rsidRPr="003B539C">
        <w:rPr>
          <w:rFonts w:ascii="Arial" w:hAnsi="Arial" w:cs="Arial"/>
          <w:color w:val="000000"/>
        </w:rPr>
        <w:t xml:space="preserve">Em </w:t>
      </w:r>
      <w:r>
        <w:rPr>
          <w:rFonts w:ascii="Arial" w:hAnsi="Arial" w:cs="Arial"/>
          <w:color w:val="000000"/>
        </w:rPr>
        <w:t>2025</w:t>
      </w:r>
      <w:r w:rsidRPr="003B539C">
        <w:rPr>
          <w:rFonts w:ascii="Arial" w:hAnsi="Arial" w:cs="Arial"/>
          <w:color w:val="000000"/>
        </w:rPr>
        <w:t xml:space="preserve">, a produção nacional de petróleo </w:t>
      </w:r>
      <w:r w:rsidR="00D80D40">
        <w:rPr>
          <w:rFonts w:ascii="Arial" w:hAnsi="Arial" w:cs="Arial"/>
          <w:color w:val="000000"/>
        </w:rPr>
        <w:t>registrou</w:t>
      </w:r>
      <w:r w:rsidR="00D80D40" w:rsidRPr="003B539C">
        <w:rPr>
          <w:rFonts w:ascii="Arial" w:hAnsi="Arial" w:cs="Arial"/>
          <w:color w:val="000000"/>
        </w:rPr>
        <w:t xml:space="preserve"> </w:t>
      </w:r>
      <w:r>
        <w:rPr>
          <w:rFonts w:ascii="Arial" w:hAnsi="Arial" w:cs="Arial"/>
          <w:color w:val="000000"/>
        </w:rPr>
        <w:t xml:space="preserve">alta </w:t>
      </w:r>
      <w:r w:rsidRPr="003B539C">
        <w:rPr>
          <w:rFonts w:ascii="Arial" w:hAnsi="Arial" w:cs="Arial"/>
          <w:color w:val="000000"/>
        </w:rPr>
        <w:t xml:space="preserve">de </w:t>
      </w:r>
      <w:r>
        <w:rPr>
          <w:rFonts w:ascii="Arial" w:hAnsi="Arial" w:cs="Arial"/>
          <w:color w:val="000000"/>
        </w:rPr>
        <w:t>12</w:t>
      </w:r>
      <w:r w:rsidRPr="003B539C">
        <w:rPr>
          <w:rFonts w:ascii="Arial" w:hAnsi="Arial" w:cs="Arial"/>
          <w:color w:val="000000"/>
        </w:rPr>
        <w:t>% na comparação anual, atingindo</w:t>
      </w:r>
      <w:r>
        <w:rPr>
          <w:rFonts w:ascii="Arial" w:hAnsi="Arial" w:cs="Arial"/>
          <w:color w:val="000000"/>
        </w:rPr>
        <w:t xml:space="preserve"> </w:t>
      </w:r>
      <w:r w:rsidR="00B81912">
        <w:rPr>
          <w:rFonts w:ascii="Arial" w:hAnsi="Arial" w:cs="Arial"/>
          <w:color w:val="000000"/>
        </w:rPr>
        <w:t>quase</w:t>
      </w:r>
      <w:r w:rsidRPr="003B539C">
        <w:rPr>
          <w:rFonts w:ascii="Arial" w:hAnsi="Arial" w:cs="Arial"/>
          <w:color w:val="000000"/>
        </w:rPr>
        <w:t xml:space="preserve"> </w:t>
      </w:r>
      <w:r>
        <w:rPr>
          <w:rFonts w:ascii="Arial" w:hAnsi="Arial" w:cs="Arial"/>
          <w:color w:val="000000"/>
        </w:rPr>
        <w:t>1,4 bilhão</w:t>
      </w:r>
      <w:r w:rsidRPr="003B539C">
        <w:rPr>
          <w:rFonts w:ascii="Arial" w:hAnsi="Arial" w:cs="Arial"/>
          <w:color w:val="000000"/>
        </w:rPr>
        <w:t xml:space="preserve"> de </w:t>
      </w:r>
      <w:r w:rsidRPr="00711D7E">
        <w:rPr>
          <w:rFonts w:ascii="Arial" w:hAnsi="Arial" w:cs="Arial"/>
        </w:rPr>
        <w:t xml:space="preserve">barris </w:t>
      </w:r>
      <w:r w:rsidRPr="0000334E">
        <w:rPr>
          <w:rFonts w:ascii="Arial" w:hAnsi="Arial" w:cs="Arial"/>
        </w:rPr>
        <w:t xml:space="preserve">(média de </w:t>
      </w:r>
      <w:r>
        <w:rPr>
          <w:rFonts w:ascii="Arial" w:hAnsi="Arial" w:cs="Arial"/>
        </w:rPr>
        <w:t>3,</w:t>
      </w:r>
      <w:r w:rsidR="006106FC">
        <w:rPr>
          <w:rFonts w:ascii="Arial" w:hAnsi="Arial" w:cs="Arial"/>
        </w:rPr>
        <w:t>8</w:t>
      </w:r>
      <w:r w:rsidRPr="0000334E">
        <w:rPr>
          <w:rFonts w:ascii="Arial" w:hAnsi="Arial" w:cs="Arial"/>
        </w:rPr>
        <w:t xml:space="preserve"> milhões de barris</w:t>
      </w:r>
      <w:r>
        <w:rPr>
          <w:rFonts w:ascii="Arial" w:hAnsi="Arial" w:cs="Arial"/>
        </w:rPr>
        <w:t xml:space="preserve"> por dia</w:t>
      </w:r>
      <w:r w:rsidRPr="0000334E">
        <w:rPr>
          <w:rFonts w:ascii="Arial" w:hAnsi="Arial" w:cs="Arial"/>
        </w:rPr>
        <w:t>).</w:t>
      </w:r>
    </w:p>
    <w:p w14:paraId="54C57EC2" w14:textId="77777777" w:rsidR="0041466A" w:rsidRPr="00711D7E" w:rsidRDefault="0041466A" w:rsidP="0041466A">
      <w:pPr>
        <w:autoSpaceDE w:val="0"/>
        <w:autoSpaceDN w:val="0"/>
        <w:adjustRightInd w:val="0"/>
        <w:jc w:val="both"/>
        <w:rPr>
          <w:rFonts w:ascii="Arial" w:hAnsi="Arial" w:cs="Arial"/>
          <w:color w:val="FFFFFF"/>
        </w:rPr>
      </w:pPr>
      <w:r w:rsidRPr="00711D7E">
        <w:rPr>
          <w:rFonts w:ascii="Arial" w:hAnsi="Arial" w:cs="Arial"/>
          <w:color w:val="FFFFFF"/>
        </w:rPr>
        <w:t xml:space="preserve"> </w:t>
      </w:r>
      <w:r>
        <w:rPr>
          <w:rFonts w:ascii="Arial" w:hAnsi="Arial" w:cs="Arial"/>
          <w:color w:val="FFFFFF"/>
        </w:rPr>
        <w:t>y</w:t>
      </w:r>
    </w:p>
    <w:p w14:paraId="379CB311" w14:textId="0FC80834" w:rsidR="0041466A" w:rsidRPr="00BB0FBC" w:rsidRDefault="0041466A" w:rsidP="0041466A">
      <w:pPr>
        <w:autoSpaceDE w:val="0"/>
        <w:autoSpaceDN w:val="0"/>
        <w:adjustRightInd w:val="0"/>
        <w:jc w:val="both"/>
        <w:rPr>
          <w:rFonts w:ascii="Arial" w:hAnsi="Arial" w:cs="Arial"/>
        </w:rPr>
      </w:pPr>
      <w:r w:rsidRPr="00BB0FBC">
        <w:rPr>
          <w:rFonts w:ascii="Arial" w:hAnsi="Arial" w:cs="Arial"/>
          <w:color w:val="000000"/>
        </w:rPr>
        <w:t xml:space="preserve">A produção de petróleo no pré-sal </w:t>
      </w:r>
      <w:r w:rsidR="00D80D40">
        <w:rPr>
          <w:rFonts w:ascii="Arial" w:hAnsi="Arial" w:cs="Arial"/>
          <w:color w:val="000000"/>
        </w:rPr>
        <w:t>ultrapassou</w:t>
      </w:r>
      <w:r w:rsidRPr="00BB0FBC">
        <w:rPr>
          <w:rFonts w:ascii="Arial" w:hAnsi="Arial" w:cs="Arial"/>
          <w:color w:val="000000"/>
        </w:rPr>
        <w:t xml:space="preserve"> </w:t>
      </w:r>
      <w:r>
        <w:rPr>
          <w:rFonts w:ascii="Arial" w:hAnsi="Arial" w:cs="Arial"/>
          <w:color w:val="000000"/>
        </w:rPr>
        <w:t>1</w:t>
      </w:r>
      <w:r w:rsidRPr="00BB0FBC">
        <w:rPr>
          <w:rFonts w:ascii="Arial" w:hAnsi="Arial" w:cs="Arial"/>
          <w:color w:val="000000"/>
        </w:rPr>
        <w:t xml:space="preserve"> </w:t>
      </w:r>
      <w:r>
        <w:rPr>
          <w:rFonts w:ascii="Arial" w:hAnsi="Arial" w:cs="Arial"/>
          <w:color w:val="000000"/>
        </w:rPr>
        <w:t>b</w:t>
      </w:r>
      <w:r w:rsidRPr="00BB0FBC">
        <w:rPr>
          <w:rFonts w:ascii="Arial" w:hAnsi="Arial" w:cs="Arial"/>
          <w:color w:val="000000"/>
        </w:rPr>
        <w:t>ilh</w:t>
      </w:r>
      <w:r>
        <w:rPr>
          <w:rFonts w:ascii="Arial" w:hAnsi="Arial" w:cs="Arial"/>
          <w:color w:val="000000"/>
        </w:rPr>
        <w:t>ão</w:t>
      </w:r>
      <w:r w:rsidRPr="00BB0FBC">
        <w:rPr>
          <w:rFonts w:ascii="Arial" w:hAnsi="Arial" w:cs="Arial"/>
          <w:color w:val="000000"/>
        </w:rPr>
        <w:t xml:space="preserve"> de barris </w:t>
      </w:r>
      <w:r w:rsidR="00D80D40">
        <w:rPr>
          <w:rFonts w:ascii="Arial" w:hAnsi="Arial" w:cs="Arial"/>
          <w:color w:val="000000"/>
        </w:rPr>
        <w:t>(</w:t>
      </w:r>
      <w:r>
        <w:rPr>
          <w:rFonts w:ascii="Arial" w:hAnsi="Arial" w:cs="Arial"/>
          <w:color w:val="000000"/>
        </w:rPr>
        <w:t>3 milhões</w:t>
      </w:r>
      <w:r w:rsidRPr="00BB0FBC">
        <w:rPr>
          <w:rFonts w:ascii="Arial" w:hAnsi="Arial" w:cs="Arial"/>
          <w:color w:val="000000"/>
        </w:rPr>
        <w:t xml:space="preserve"> de barris/dia</w:t>
      </w:r>
      <w:r w:rsidR="00D80D40">
        <w:rPr>
          <w:rFonts w:ascii="Arial" w:hAnsi="Arial" w:cs="Arial"/>
          <w:color w:val="000000"/>
        </w:rPr>
        <w:t>)</w:t>
      </w:r>
      <w:r w:rsidRPr="00BB0FBC">
        <w:rPr>
          <w:rFonts w:ascii="Arial" w:hAnsi="Arial" w:cs="Arial"/>
          <w:color w:val="000000"/>
        </w:rPr>
        <w:t xml:space="preserve"> </w:t>
      </w:r>
      <w:r w:rsidR="00D80D40">
        <w:rPr>
          <w:rFonts w:ascii="Arial" w:hAnsi="Arial" w:cs="Arial"/>
          <w:color w:val="000000"/>
        </w:rPr>
        <w:t>e</w:t>
      </w:r>
      <w:r w:rsidRPr="00BB0FBC">
        <w:rPr>
          <w:rFonts w:ascii="Arial" w:hAnsi="Arial" w:cs="Arial"/>
          <w:color w:val="000000"/>
        </w:rPr>
        <w:t xml:space="preserve"> </w:t>
      </w:r>
      <w:r w:rsidR="00D80D40" w:rsidRPr="00BB0FBC">
        <w:rPr>
          <w:rFonts w:ascii="Arial" w:hAnsi="Arial" w:cs="Arial"/>
          <w:color w:val="000000"/>
        </w:rPr>
        <w:t>represent</w:t>
      </w:r>
      <w:r w:rsidR="00D80D40">
        <w:rPr>
          <w:rFonts w:ascii="Arial" w:hAnsi="Arial" w:cs="Arial"/>
          <w:color w:val="000000"/>
        </w:rPr>
        <w:t>ando</w:t>
      </w:r>
      <w:r w:rsidR="00D80D40" w:rsidRPr="00BB0FBC">
        <w:rPr>
          <w:rFonts w:ascii="Arial" w:hAnsi="Arial" w:cs="Arial"/>
          <w:color w:val="000000"/>
        </w:rPr>
        <w:t xml:space="preserve"> </w:t>
      </w:r>
      <w:r>
        <w:rPr>
          <w:rFonts w:ascii="Arial" w:hAnsi="Arial" w:cs="Arial"/>
          <w:color w:val="000000"/>
        </w:rPr>
        <w:t>80</w:t>
      </w:r>
      <w:r w:rsidRPr="00BB0FBC">
        <w:rPr>
          <w:rFonts w:ascii="Arial" w:hAnsi="Arial" w:cs="Arial"/>
          <w:color w:val="000000"/>
        </w:rPr>
        <w:t>% da produção nacional.</w:t>
      </w:r>
    </w:p>
    <w:p w14:paraId="118E5DCF" w14:textId="77777777" w:rsidR="0041466A" w:rsidRPr="00360370" w:rsidRDefault="0041466A" w:rsidP="0041466A">
      <w:pPr>
        <w:autoSpaceDE w:val="0"/>
        <w:autoSpaceDN w:val="0"/>
        <w:adjustRightInd w:val="0"/>
        <w:jc w:val="both"/>
        <w:rPr>
          <w:rFonts w:ascii="Arial" w:hAnsi="Arial" w:cs="Arial"/>
          <w:color w:val="000000"/>
          <w:highlight w:val="yellow"/>
        </w:rPr>
      </w:pPr>
    </w:p>
    <w:p w14:paraId="746F6924" w14:textId="5239E799" w:rsidR="001D2260" w:rsidRDefault="0041466A" w:rsidP="0041466A">
      <w:pPr>
        <w:pStyle w:val="Corpodetexto3"/>
        <w:rPr>
          <w:sz w:val="20"/>
          <w:szCs w:val="20"/>
        </w:rPr>
      </w:pPr>
      <w:r w:rsidRPr="00262B33">
        <w:rPr>
          <w:sz w:val="20"/>
          <w:szCs w:val="20"/>
        </w:rPr>
        <w:t xml:space="preserve">A produção </w:t>
      </w:r>
      <w:r w:rsidR="008F7804">
        <w:rPr>
          <w:sz w:val="20"/>
          <w:szCs w:val="20"/>
        </w:rPr>
        <w:t>marítima foi de 1,3 bilhão de barris,</w:t>
      </w:r>
      <w:r w:rsidRPr="00262B33">
        <w:rPr>
          <w:sz w:val="20"/>
          <w:szCs w:val="20"/>
        </w:rPr>
        <w:t xml:space="preserve"> corresponde</w:t>
      </w:r>
      <w:r w:rsidR="008F7804">
        <w:rPr>
          <w:sz w:val="20"/>
          <w:szCs w:val="20"/>
        </w:rPr>
        <w:t>nte</w:t>
      </w:r>
      <w:r w:rsidRPr="00262B33">
        <w:rPr>
          <w:sz w:val="20"/>
          <w:szCs w:val="20"/>
        </w:rPr>
        <w:t xml:space="preserve"> a </w:t>
      </w:r>
      <w:r>
        <w:rPr>
          <w:sz w:val="20"/>
          <w:szCs w:val="20"/>
        </w:rPr>
        <w:t>97,6</w:t>
      </w:r>
      <w:r w:rsidRPr="00262B33">
        <w:rPr>
          <w:sz w:val="20"/>
          <w:szCs w:val="20"/>
        </w:rPr>
        <w:t xml:space="preserve">% </w:t>
      </w:r>
      <w:r w:rsidR="008F7804">
        <w:rPr>
          <w:sz w:val="20"/>
          <w:szCs w:val="20"/>
        </w:rPr>
        <w:t>da produção</w:t>
      </w:r>
      <w:r w:rsidR="008F7804" w:rsidRPr="00262B33">
        <w:rPr>
          <w:sz w:val="20"/>
          <w:szCs w:val="20"/>
        </w:rPr>
        <w:t xml:space="preserve"> </w:t>
      </w:r>
      <w:r w:rsidRPr="00262B33">
        <w:rPr>
          <w:sz w:val="20"/>
          <w:szCs w:val="20"/>
        </w:rPr>
        <w:t>total.</w:t>
      </w:r>
    </w:p>
    <w:p w14:paraId="7837D7F0" w14:textId="77777777" w:rsidR="001D2260" w:rsidRDefault="001D2260" w:rsidP="0041466A">
      <w:pPr>
        <w:pStyle w:val="Corpodetexto3"/>
        <w:rPr>
          <w:sz w:val="20"/>
          <w:szCs w:val="20"/>
        </w:rPr>
      </w:pPr>
    </w:p>
    <w:p w14:paraId="1DB17E61" w14:textId="7C24C31B" w:rsidR="0041466A" w:rsidRDefault="001D2260" w:rsidP="0041466A">
      <w:pPr>
        <w:pStyle w:val="Corpodetexto3"/>
        <w:rPr>
          <w:sz w:val="20"/>
          <w:szCs w:val="20"/>
        </w:rPr>
      </w:pPr>
      <w:r>
        <w:rPr>
          <w:sz w:val="20"/>
          <w:szCs w:val="20"/>
        </w:rPr>
        <w:t>Na produção por estados, o</w:t>
      </w:r>
      <w:r w:rsidR="0041466A" w:rsidRPr="00262B33">
        <w:rPr>
          <w:sz w:val="20"/>
          <w:szCs w:val="20"/>
        </w:rPr>
        <w:t xml:space="preserve"> Rio de Janeiro</w:t>
      </w:r>
      <w:r>
        <w:rPr>
          <w:sz w:val="20"/>
          <w:szCs w:val="20"/>
        </w:rPr>
        <w:t xml:space="preserve"> se</w:t>
      </w:r>
      <w:r w:rsidR="0041466A" w:rsidRPr="00262B33">
        <w:rPr>
          <w:sz w:val="20"/>
          <w:szCs w:val="20"/>
        </w:rPr>
        <w:t xml:space="preserve"> manteve</w:t>
      </w:r>
      <w:r>
        <w:rPr>
          <w:sz w:val="20"/>
          <w:szCs w:val="20"/>
        </w:rPr>
        <w:t xml:space="preserve"> líder</w:t>
      </w:r>
      <w:r w:rsidR="0041466A" w:rsidRPr="009C633E">
        <w:rPr>
          <w:sz w:val="20"/>
          <w:szCs w:val="20"/>
        </w:rPr>
        <w:t xml:space="preserve">, sendo responsável </w:t>
      </w:r>
      <w:r w:rsidR="0041466A">
        <w:rPr>
          <w:sz w:val="20"/>
          <w:szCs w:val="20"/>
        </w:rPr>
        <w:t>por 87,8%</w:t>
      </w:r>
      <w:r w:rsidR="0041466A" w:rsidRPr="009C633E">
        <w:rPr>
          <w:sz w:val="20"/>
          <w:szCs w:val="20"/>
        </w:rPr>
        <w:t xml:space="preserve"> da produção total</w:t>
      </w:r>
      <w:r w:rsidR="0041466A">
        <w:rPr>
          <w:sz w:val="20"/>
          <w:szCs w:val="20"/>
        </w:rPr>
        <w:t>, com 3,3</w:t>
      </w:r>
      <w:r w:rsidR="0041466A" w:rsidRPr="009C633E">
        <w:rPr>
          <w:sz w:val="20"/>
          <w:szCs w:val="20"/>
        </w:rPr>
        <w:t xml:space="preserve"> milh</w:t>
      </w:r>
      <w:r w:rsidR="0041466A">
        <w:rPr>
          <w:sz w:val="20"/>
          <w:szCs w:val="20"/>
        </w:rPr>
        <w:t>ões</w:t>
      </w:r>
      <w:r w:rsidR="0041466A" w:rsidRPr="009C633E">
        <w:rPr>
          <w:sz w:val="20"/>
          <w:szCs w:val="20"/>
        </w:rPr>
        <w:t xml:space="preserve"> de barris/dia em </w:t>
      </w:r>
      <w:r w:rsidR="0041466A">
        <w:rPr>
          <w:sz w:val="20"/>
          <w:szCs w:val="20"/>
        </w:rPr>
        <w:t>2025</w:t>
      </w:r>
      <w:r w:rsidR="0041466A" w:rsidRPr="009C633E">
        <w:rPr>
          <w:sz w:val="20"/>
          <w:szCs w:val="20"/>
        </w:rPr>
        <w:t>.</w:t>
      </w:r>
      <w:r w:rsidR="0041466A">
        <w:rPr>
          <w:sz w:val="20"/>
          <w:szCs w:val="20"/>
        </w:rPr>
        <w:t>O</w:t>
      </w:r>
      <w:r w:rsidR="0041466A" w:rsidRPr="00050079">
        <w:rPr>
          <w:sz w:val="20"/>
          <w:szCs w:val="20"/>
        </w:rPr>
        <w:t xml:space="preserve"> </w:t>
      </w:r>
      <w:r w:rsidR="0041466A">
        <w:rPr>
          <w:sz w:val="20"/>
          <w:szCs w:val="20"/>
        </w:rPr>
        <w:t>Espírito Santo</w:t>
      </w:r>
      <w:r w:rsidR="0041466A" w:rsidRPr="00050079">
        <w:rPr>
          <w:sz w:val="20"/>
          <w:szCs w:val="20"/>
        </w:rPr>
        <w:t xml:space="preserve"> </w:t>
      </w:r>
      <w:r w:rsidR="0041466A">
        <w:rPr>
          <w:sz w:val="20"/>
          <w:szCs w:val="20"/>
        </w:rPr>
        <w:t>foi</w:t>
      </w:r>
      <w:r w:rsidR="0041466A" w:rsidRPr="00050079">
        <w:rPr>
          <w:sz w:val="20"/>
          <w:szCs w:val="20"/>
        </w:rPr>
        <w:t xml:space="preserve"> o segundo maior produtor nacional, com </w:t>
      </w:r>
      <w:r w:rsidR="0041466A">
        <w:rPr>
          <w:sz w:val="20"/>
          <w:szCs w:val="20"/>
        </w:rPr>
        <w:t>192,9</w:t>
      </w:r>
      <w:r w:rsidR="0041466A" w:rsidRPr="00050079">
        <w:rPr>
          <w:sz w:val="20"/>
          <w:szCs w:val="20"/>
        </w:rPr>
        <w:t xml:space="preserve"> mil barris/dia de produção em </w:t>
      </w:r>
      <w:r w:rsidR="0041466A">
        <w:rPr>
          <w:sz w:val="20"/>
          <w:szCs w:val="20"/>
        </w:rPr>
        <w:t>2025, 5,1% do total</w:t>
      </w:r>
      <w:r w:rsidR="00F25CCC">
        <w:rPr>
          <w:sz w:val="20"/>
          <w:szCs w:val="20"/>
        </w:rPr>
        <w:t>.</w:t>
      </w:r>
      <w:r w:rsidR="0041466A">
        <w:rPr>
          <w:sz w:val="20"/>
          <w:szCs w:val="20"/>
        </w:rPr>
        <w:t xml:space="preserve"> O estado de São Paulo foi o terceiro maior produtor, com média de 184,5 mil barris/dia, o equivalente a 4,9% do total nacional.</w:t>
      </w:r>
    </w:p>
    <w:p w14:paraId="3D4A2136" w14:textId="77777777" w:rsidR="0041466A" w:rsidRDefault="0041466A" w:rsidP="0041466A">
      <w:pPr>
        <w:pStyle w:val="Corpodetexto3"/>
        <w:rPr>
          <w:sz w:val="20"/>
          <w:szCs w:val="20"/>
        </w:rPr>
      </w:pPr>
    </w:p>
    <w:p w14:paraId="5FE8E384" w14:textId="3372DF33" w:rsidR="0041466A" w:rsidRPr="002B1F21" w:rsidRDefault="00F25CCC" w:rsidP="0041466A">
      <w:pPr>
        <w:pStyle w:val="Corpodetexto3"/>
        <w:rPr>
          <w:sz w:val="20"/>
          <w:szCs w:val="20"/>
          <w:highlight w:val="yellow"/>
        </w:rPr>
      </w:pPr>
      <w:r>
        <w:rPr>
          <w:sz w:val="20"/>
          <w:szCs w:val="20"/>
        </w:rPr>
        <w:t xml:space="preserve"> Na</w:t>
      </w:r>
      <w:r w:rsidR="0041466A">
        <w:rPr>
          <w:sz w:val="20"/>
          <w:szCs w:val="20"/>
        </w:rPr>
        <w:t xml:space="preserve"> produção por bacias sedimentares, a de Santos foi </w:t>
      </w:r>
      <w:r w:rsidR="00A32EDC">
        <w:rPr>
          <w:sz w:val="20"/>
          <w:szCs w:val="20"/>
        </w:rPr>
        <w:t xml:space="preserve">a </w:t>
      </w:r>
      <w:r w:rsidR="0041466A">
        <w:rPr>
          <w:sz w:val="20"/>
          <w:szCs w:val="20"/>
        </w:rPr>
        <w:t xml:space="preserve">que registrou </w:t>
      </w:r>
      <w:r w:rsidR="00A32EDC">
        <w:rPr>
          <w:sz w:val="20"/>
          <w:szCs w:val="20"/>
        </w:rPr>
        <w:t xml:space="preserve">a </w:t>
      </w:r>
      <w:r w:rsidR="0041466A">
        <w:rPr>
          <w:sz w:val="20"/>
          <w:szCs w:val="20"/>
        </w:rPr>
        <w:t xml:space="preserve">maior produção em 2025, atingindo 1,1 bilhão de barris (2,9 milhões de barris/dia), </w:t>
      </w:r>
      <w:r w:rsidR="00A32EDC">
        <w:rPr>
          <w:sz w:val="20"/>
          <w:szCs w:val="20"/>
        </w:rPr>
        <w:t xml:space="preserve">volume </w:t>
      </w:r>
      <w:r w:rsidR="0041466A">
        <w:rPr>
          <w:sz w:val="20"/>
          <w:szCs w:val="20"/>
        </w:rPr>
        <w:t>correspondente a 77,8% do total. Em segundo lugar vieram as bacias de Campos e de Potiguar, com, respectivamente 19,7% e 0,8% do total nacional produzido.</w:t>
      </w:r>
    </w:p>
    <w:p w14:paraId="046D2310" w14:textId="77777777" w:rsidR="0041466A" w:rsidRDefault="0041466A" w:rsidP="0041466A">
      <w:pPr>
        <w:autoSpaceDE w:val="0"/>
        <w:autoSpaceDN w:val="0"/>
        <w:adjustRightInd w:val="0"/>
        <w:jc w:val="both"/>
        <w:rPr>
          <w:rFonts w:ascii="Arial" w:hAnsi="Arial" w:cs="Arial"/>
          <w:color w:val="000000"/>
        </w:rPr>
      </w:pPr>
    </w:p>
    <w:p w14:paraId="69E6C3B3" w14:textId="1F3D723E" w:rsidR="0041466A" w:rsidRPr="00147491" w:rsidRDefault="00412557" w:rsidP="0041466A">
      <w:pPr>
        <w:autoSpaceDE w:val="0"/>
        <w:autoSpaceDN w:val="0"/>
        <w:adjustRightInd w:val="0"/>
        <w:jc w:val="both"/>
        <w:rPr>
          <w:rFonts w:ascii="Arial" w:hAnsi="Arial" w:cs="Arial"/>
          <w:color w:val="000000"/>
        </w:rPr>
      </w:pPr>
      <w:r>
        <w:rPr>
          <w:rFonts w:ascii="Arial" w:hAnsi="Arial" w:cs="Arial"/>
          <w:color w:val="000000"/>
        </w:rPr>
        <w:t xml:space="preserve">No final de </w:t>
      </w:r>
      <w:r w:rsidR="0041466A">
        <w:rPr>
          <w:rFonts w:ascii="Arial" w:hAnsi="Arial" w:cs="Arial"/>
          <w:color w:val="000000"/>
        </w:rPr>
        <w:t>2025, havia 7.568</w:t>
      </w:r>
      <w:r w:rsidR="0041466A" w:rsidRPr="00147491">
        <w:rPr>
          <w:rFonts w:ascii="Arial" w:hAnsi="Arial" w:cs="Arial"/>
          <w:color w:val="000000"/>
        </w:rPr>
        <w:t xml:space="preserve"> poços</w:t>
      </w:r>
      <w:r w:rsidR="0041466A">
        <w:rPr>
          <w:rFonts w:ascii="Arial" w:hAnsi="Arial" w:cs="Arial"/>
          <w:color w:val="000000"/>
        </w:rPr>
        <w:t xml:space="preserve"> produtores de petróleo e gás natural no Brasil, 3,5%</w:t>
      </w:r>
      <w:r>
        <w:rPr>
          <w:rFonts w:ascii="Arial" w:hAnsi="Arial" w:cs="Arial"/>
          <w:color w:val="000000"/>
        </w:rPr>
        <w:t xml:space="preserve"> a menos que em 2024</w:t>
      </w:r>
      <w:r w:rsidR="0041466A">
        <w:rPr>
          <w:rFonts w:ascii="Arial" w:hAnsi="Arial" w:cs="Arial"/>
          <w:color w:val="000000"/>
        </w:rPr>
        <w:t xml:space="preserve">. Desse total, 6.955 </w:t>
      </w:r>
      <w:r>
        <w:rPr>
          <w:rFonts w:ascii="Arial" w:hAnsi="Arial" w:cs="Arial"/>
          <w:color w:val="000000"/>
        </w:rPr>
        <w:t xml:space="preserve">eram </w:t>
      </w:r>
      <w:r w:rsidR="0041466A">
        <w:rPr>
          <w:rFonts w:ascii="Arial" w:hAnsi="Arial" w:cs="Arial"/>
          <w:color w:val="000000"/>
        </w:rPr>
        <w:t>poços em terra e 613 no</w:t>
      </w:r>
      <w:r w:rsidR="0041466A" w:rsidRPr="00147491">
        <w:rPr>
          <w:rFonts w:ascii="Arial" w:hAnsi="Arial" w:cs="Arial"/>
          <w:color w:val="000000"/>
        </w:rPr>
        <w:t xml:space="preserve"> mar</w:t>
      </w:r>
      <w:r>
        <w:rPr>
          <w:rFonts w:ascii="Arial" w:hAnsi="Arial" w:cs="Arial"/>
          <w:color w:val="000000"/>
        </w:rPr>
        <w:t>.</w:t>
      </w:r>
      <w:r w:rsidR="0041466A">
        <w:rPr>
          <w:rFonts w:ascii="Arial" w:hAnsi="Arial" w:cs="Arial"/>
          <w:color w:val="000000"/>
        </w:rPr>
        <w:t xml:space="preserve"> </w:t>
      </w:r>
      <w:r>
        <w:rPr>
          <w:rFonts w:ascii="Arial" w:hAnsi="Arial" w:cs="Arial"/>
          <w:color w:val="000000"/>
        </w:rPr>
        <w:t>O</w:t>
      </w:r>
      <w:r w:rsidR="0041466A">
        <w:rPr>
          <w:rFonts w:ascii="Arial" w:hAnsi="Arial" w:cs="Arial"/>
          <w:color w:val="000000"/>
        </w:rPr>
        <w:t xml:space="preserve"> Rio Grande do Norte </w:t>
      </w:r>
      <w:r>
        <w:rPr>
          <w:rFonts w:ascii="Arial" w:hAnsi="Arial" w:cs="Arial"/>
          <w:color w:val="000000"/>
        </w:rPr>
        <w:t>foi o estado com</w:t>
      </w:r>
      <w:r w:rsidR="0041466A">
        <w:rPr>
          <w:rFonts w:ascii="Arial" w:hAnsi="Arial" w:cs="Arial"/>
          <w:color w:val="000000"/>
        </w:rPr>
        <w:t xml:space="preserve"> a maior quantidade de poços produtores</w:t>
      </w:r>
      <w:r>
        <w:rPr>
          <w:rFonts w:ascii="Arial" w:hAnsi="Arial" w:cs="Arial"/>
          <w:color w:val="000000"/>
        </w:rPr>
        <w:t>:</w:t>
      </w:r>
      <w:r w:rsidR="0041466A">
        <w:rPr>
          <w:rFonts w:ascii="Arial" w:hAnsi="Arial" w:cs="Arial"/>
          <w:color w:val="000000"/>
        </w:rPr>
        <w:t xml:space="preserve"> 3.271 poços</w:t>
      </w:r>
      <w:r>
        <w:rPr>
          <w:rFonts w:ascii="Arial" w:hAnsi="Arial" w:cs="Arial"/>
          <w:color w:val="000000"/>
        </w:rPr>
        <w:t xml:space="preserve"> ou</w:t>
      </w:r>
      <w:r w:rsidR="0041466A">
        <w:rPr>
          <w:rFonts w:ascii="Arial" w:hAnsi="Arial" w:cs="Arial"/>
          <w:color w:val="000000"/>
        </w:rPr>
        <w:t xml:space="preserve">43,2% do total. </w:t>
      </w:r>
      <w:r>
        <w:rPr>
          <w:rFonts w:ascii="Arial" w:hAnsi="Arial" w:cs="Arial"/>
          <w:color w:val="000000"/>
        </w:rPr>
        <w:t xml:space="preserve">Depois, </w:t>
      </w:r>
      <w:r w:rsidR="0041466A">
        <w:rPr>
          <w:rFonts w:ascii="Arial" w:hAnsi="Arial" w:cs="Arial"/>
          <w:color w:val="000000"/>
        </w:rPr>
        <w:t xml:space="preserve">foi a Bahia, com 1.475 poços, ou 19,5% do total, </w:t>
      </w:r>
      <w:r>
        <w:rPr>
          <w:rFonts w:ascii="Arial" w:hAnsi="Arial" w:cs="Arial"/>
          <w:color w:val="000000"/>
        </w:rPr>
        <w:t>e o</w:t>
      </w:r>
      <w:r w:rsidR="0041466A">
        <w:rPr>
          <w:rFonts w:ascii="Arial" w:hAnsi="Arial" w:cs="Arial"/>
          <w:color w:val="000000"/>
        </w:rPr>
        <w:t xml:space="preserve"> Sergipe</w:t>
      </w:r>
      <w:r>
        <w:rPr>
          <w:rFonts w:ascii="Arial" w:hAnsi="Arial" w:cs="Arial"/>
          <w:color w:val="000000"/>
        </w:rPr>
        <w:t>,</w:t>
      </w:r>
      <w:r w:rsidR="00C53E0E">
        <w:rPr>
          <w:rFonts w:ascii="Arial" w:hAnsi="Arial" w:cs="Arial"/>
          <w:color w:val="000000"/>
        </w:rPr>
        <w:t xml:space="preserve"> </w:t>
      </w:r>
      <w:r w:rsidR="0041466A">
        <w:rPr>
          <w:rFonts w:ascii="Arial" w:hAnsi="Arial" w:cs="Arial"/>
          <w:color w:val="000000"/>
        </w:rPr>
        <w:t>com 1.277 poços ou 16,9%</w:t>
      </w:r>
      <w:r>
        <w:rPr>
          <w:rFonts w:ascii="Arial" w:hAnsi="Arial" w:cs="Arial"/>
          <w:color w:val="000000"/>
        </w:rPr>
        <w:t xml:space="preserve"> do total</w:t>
      </w:r>
    </w:p>
    <w:p w14:paraId="54EE8E48" w14:textId="77777777" w:rsidR="0041466A" w:rsidRPr="00E23240" w:rsidRDefault="0041466A" w:rsidP="0041466A">
      <w:pPr>
        <w:pStyle w:val="Corpodetexto3"/>
        <w:rPr>
          <w:sz w:val="20"/>
          <w:szCs w:val="20"/>
        </w:rPr>
      </w:pPr>
    </w:p>
    <w:p w14:paraId="5ED53B58" w14:textId="2EB0A947" w:rsidR="0041466A" w:rsidRPr="00E23240" w:rsidRDefault="0041466A" w:rsidP="0041466A">
      <w:pPr>
        <w:pStyle w:val="Corpodetexto3"/>
        <w:rPr>
          <w:sz w:val="20"/>
          <w:szCs w:val="20"/>
        </w:rPr>
      </w:pPr>
      <w:r w:rsidRPr="00E23240">
        <w:rPr>
          <w:sz w:val="20"/>
          <w:szCs w:val="20"/>
        </w:rPr>
        <w:t xml:space="preserve">Em </w:t>
      </w:r>
      <w:r>
        <w:rPr>
          <w:sz w:val="20"/>
          <w:szCs w:val="20"/>
        </w:rPr>
        <w:t>2025</w:t>
      </w:r>
      <w:r w:rsidRPr="00E23240">
        <w:rPr>
          <w:sz w:val="20"/>
          <w:szCs w:val="20"/>
        </w:rPr>
        <w:t xml:space="preserve">, </w:t>
      </w:r>
      <w:r w:rsidR="00DC4FDA">
        <w:rPr>
          <w:sz w:val="20"/>
          <w:szCs w:val="20"/>
        </w:rPr>
        <w:t>havia,</w:t>
      </w:r>
      <w:r w:rsidRPr="00E23240">
        <w:rPr>
          <w:sz w:val="20"/>
          <w:szCs w:val="20"/>
        </w:rPr>
        <w:t xml:space="preserve"> no Brasil</w:t>
      </w:r>
      <w:r w:rsidR="00DC4FDA">
        <w:rPr>
          <w:sz w:val="20"/>
          <w:szCs w:val="20"/>
        </w:rPr>
        <w:t>,</w:t>
      </w:r>
      <w:r w:rsidRPr="00E23240">
        <w:rPr>
          <w:sz w:val="20"/>
          <w:szCs w:val="20"/>
        </w:rPr>
        <w:t xml:space="preserve"> 7</w:t>
      </w:r>
      <w:r>
        <w:rPr>
          <w:sz w:val="20"/>
          <w:szCs w:val="20"/>
        </w:rPr>
        <w:t>7</w:t>
      </w:r>
      <w:r w:rsidRPr="00E23240">
        <w:rPr>
          <w:sz w:val="20"/>
          <w:szCs w:val="20"/>
        </w:rPr>
        <w:t xml:space="preserve"> correntes </w:t>
      </w:r>
      <w:r w:rsidR="00DC4FDA">
        <w:rPr>
          <w:sz w:val="20"/>
          <w:szCs w:val="20"/>
        </w:rPr>
        <w:t xml:space="preserve">produtoras </w:t>
      </w:r>
      <w:r w:rsidRPr="00E23240">
        <w:rPr>
          <w:sz w:val="20"/>
          <w:szCs w:val="20"/>
        </w:rPr>
        <w:t>de petróleo</w:t>
      </w:r>
      <w:r w:rsidR="00DC4FDA">
        <w:rPr>
          <w:sz w:val="20"/>
          <w:szCs w:val="20"/>
        </w:rPr>
        <w:t>,</w:t>
      </w:r>
      <w:r w:rsidRPr="00E23240">
        <w:rPr>
          <w:sz w:val="20"/>
          <w:szCs w:val="20"/>
        </w:rPr>
        <w:t xml:space="preserve"> com </w:t>
      </w:r>
      <w:r w:rsidR="0000131E">
        <w:rPr>
          <w:sz w:val="20"/>
          <w:szCs w:val="20"/>
        </w:rPr>
        <w:t xml:space="preserve">grau API </w:t>
      </w:r>
      <w:r w:rsidRPr="00E23240">
        <w:rPr>
          <w:sz w:val="20"/>
          <w:szCs w:val="20"/>
        </w:rPr>
        <w:t>médi</w:t>
      </w:r>
      <w:r w:rsidR="0000131E">
        <w:rPr>
          <w:sz w:val="20"/>
          <w:szCs w:val="20"/>
        </w:rPr>
        <w:t>o</w:t>
      </w:r>
      <w:r w:rsidRPr="00E23240">
        <w:rPr>
          <w:sz w:val="20"/>
          <w:szCs w:val="20"/>
        </w:rPr>
        <w:t xml:space="preserve"> de </w:t>
      </w:r>
      <w:r>
        <w:rPr>
          <w:sz w:val="20"/>
          <w:szCs w:val="20"/>
        </w:rPr>
        <w:t>37,5</w:t>
      </w:r>
      <w:r w:rsidRPr="00E23240">
        <w:rPr>
          <w:sz w:val="20"/>
          <w:szCs w:val="20"/>
        </w:rPr>
        <w:t xml:space="preserve"> graus e teor de enxofre de 0,</w:t>
      </w:r>
      <w:r w:rsidR="0000131E">
        <w:rPr>
          <w:sz w:val="20"/>
          <w:szCs w:val="20"/>
        </w:rPr>
        <w:t>383</w:t>
      </w:r>
      <w:r w:rsidRPr="00E23240">
        <w:rPr>
          <w:sz w:val="20"/>
          <w:szCs w:val="20"/>
        </w:rPr>
        <w:t>.</w:t>
      </w:r>
      <w:r w:rsidR="00DC4FDA">
        <w:rPr>
          <w:sz w:val="20"/>
          <w:szCs w:val="20"/>
        </w:rPr>
        <w:t xml:space="preserve"> As correntes podem ser visualizadas na Tabela 2.12.</w:t>
      </w:r>
    </w:p>
    <w:p w14:paraId="35527AFB" w14:textId="77777777" w:rsidR="0041466A" w:rsidRPr="008A6ED7" w:rsidRDefault="0041466A" w:rsidP="0041466A">
      <w:pPr>
        <w:pStyle w:val="Corpodetexto3"/>
        <w:rPr>
          <w:sz w:val="20"/>
          <w:szCs w:val="20"/>
        </w:rPr>
      </w:pPr>
    </w:p>
    <w:p w14:paraId="3844CB1F" w14:textId="391B2A59" w:rsidR="0041466A" w:rsidRDefault="0041466A" w:rsidP="0041466A">
      <w:pPr>
        <w:pStyle w:val="Corpodetexto3"/>
        <w:rPr>
          <w:sz w:val="20"/>
          <w:szCs w:val="20"/>
        </w:rPr>
      </w:pPr>
      <w:r w:rsidRPr="007C39DE">
        <w:rPr>
          <w:sz w:val="20"/>
          <w:szCs w:val="20"/>
        </w:rPr>
        <w:t xml:space="preserve">A relação reserva/produção (R/P) de petróleo </w:t>
      </w:r>
      <w:r w:rsidR="002F33E2">
        <w:rPr>
          <w:sz w:val="20"/>
          <w:szCs w:val="20"/>
        </w:rPr>
        <w:t>diminuiu</w:t>
      </w:r>
      <w:r w:rsidRPr="007C39DE">
        <w:rPr>
          <w:sz w:val="20"/>
          <w:szCs w:val="20"/>
        </w:rPr>
        <w:t xml:space="preserve"> de 1</w:t>
      </w:r>
      <w:r>
        <w:rPr>
          <w:sz w:val="20"/>
          <w:szCs w:val="20"/>
        </w:rPr>
        <w:t>3</w:t>
      </w:r>
      <w:r w:rsidRPr="007C39DE">
        <w:rPr>
          <w:sz w:val="20"/>
          <w:szCs w:val="20"/>
        </w:rPr>
        <w:t>,</w:t>
      </w:r>
      <w:r>
        <w:rPr>
          <w:sz w:val="20"/>
          <w:szCs w:val="20"/>
        </w:rPr>
        <w:t>7</w:t>
      </w:r>
      <w:r w:rsidRPr="007C39DE">
        <w:rPr>
          <w:sz w:val="20"/>
          <w:szCs w:val="20"/>
        </w:rPr>
        <w:t xml:space="preserve"> anos, em </w:t>
      </w:r>
      <w:r>
        <w:rPr>
          <w:sz w:val="20"/>
          <w:szCs w:val="20"/>
        </w:rPr>
        <w:t>2024</w:t>
      </w:r>
      <w:r w:rsidRPr="007C39DE">
        <w:rPr>
          <w:sz w:val="20"/>
          <w:szCs w:val="20"/>
        </w:rPr>
        <w:t>, para 1</w:t>
      </w:r>
      <w:r>
        <w:rPr>
          <w:sz w:val="20"/>
          <w:szCs w:val="20"/>
        </w:rPr>
        <w:t>2</w:t>
      </w:r>
      <w:r w:rsidRPr="007C39DE">
        <w:rPr>
          <w:sz w:val="20"/>
          <w:szCs w:val="20"/>
        </w:rPr>
        <w:t xml:space="preserve">,7 anos, em </w:t>
      </w:r>
      <w:r>
        <w:rPr>
          <w:sz w:val="20"/>
          <w:szCs w:val="20"/>
        </w:rPr>
        <w:t>2025</w:t>
      </w:r>
      <w:r w:rsidRPr="007C39DE">
        <w:rPr>
          <w:sz w:val="20"/>
          <w:szCs w:val="20"/>
        </w:rPr>
        <w:t>, em função do crescimento d</w:t>
      </w:r>
      <w:r>
        <w:rPr>
          <w:sz w:val="20"/>
          <w:szCs w:val="20"/>
        </w:rPr>
        <w:t>a produção de petróleo</w:t>
      </w:r>
      <w:r w:rsidRPr="007C39DE">
        <w:rPr>
          <w:sz w:val="20"/>
          <w:szCs w:val="20"/>
        </w:rPr>
        <w:t>.</w:t>
      </w:r>
    </w:p>
    <w:p w14:paraId="4231393B" w14:textId="77777777" w:rsidR="0041466A" w:rsidRDefault="0041466A" w:rsidP="0041466A">
      <w:pPr>
        <w:pStyle w:val="Corpodetexto3"/>
        <w:rPr>
          <w:sz w:val="20"/>
          <w:szCs w:val="20"/>
        </w:rPr>
      </w:pPr>
    </w:p>
    <w:p w14:paraId="2AB564EE" w14:textId="2F94515F" w:rsidR="0041466A" w:rsidRPr="00360370" w:rsidRDefault="0041466A" w:rsidP="0041466A">
      <w:pPr>
        <w:pStyle w:val="Corpodetexto3"/>
        <w:rPr>
          <w:sz w:val="20"/>
          <w:szCs w:val="20"/>
          <w:highlight w:val="yellow"/>
        </w:rPr>
      </w:pPr>
      <w:r w:rsidRPr="003E49BA">
        <w:rPr>
          <w:sz w:val="20"/>
          <w:szCs w:val="20"/>
        </w:rPr>
        <w:t xml:space="preserve">A produção de </w:t>
      </w:r>
      <w:r>
        <w:rPr>
          <w:sz w:val="20"/>
          <w:szCs w:val="20"/>
        </w:rPr>
        <w:t>l</w:t>
      </w:r>
      <w:r w:rsidRPr="003E49BA">
        <w:rPr>
          <w:sz w:val="20"/>
          <w:szCs w:val="20"/>
        </w:rPr>
        <w:t xml:space="preserve">íquido de </w:t>
      </w:r>
      <w:r>
        <w:rPr>
          <w:sz w:val="20"/>
          <w:szCs w:val="20"/>
        </w:rPr>
        <w:t>g</w:t>
      </w:r>
      <w:r w:rsidRPr="003E49BA">
        <w:rPr>
          <w:sz w:val="20"/>
          <w:szCs w:val="20"/>
        </w:rPr>
        <w:t xml:space="preserve">ás </w:t>
      </w:r>
      <w:r>
        <w:rPr>
          <w:sz w:val="20"/>
          <w:szCs w:val="20"/>
        </w:rPr>
        <w:t>n</w:t>
      </w:r>
      <w:r w:rsidRPr="003E49BA">
        <w:rPr>
          <w:sz w:val="20"/>
          <w:szCs w:val="20"/>
        </w:rPr>
        <w:t xml:space="preserve">atural (LGN) foi de </w:t>
      </w:r>
      <w:r>
        <w:rPr>
          <w:sz w:val="20"/>
          <w:szCs w:val="20"/>
        </w:rPr>
        <w:t>30,2</w:t>
      </w:r>
      <w:r w:rsidRPr="003E49BA">
        <w:rPr>
          <w:sz w:val="20"/>
          <w:szCs w:val="20"/>
        </w:rPr>
        <w:t xml:space="preserve"> milhões de barris, </w:t>
      </w:r>
      <w:r w:rsidR="00077FBA">
        <w:rPr>
          <w:sz w:val="20"/>
          <w:szCs w:val="20"/>
        </w:rPr>
        <w:t xml:space="preserve">volume </w:t>
      </w:r>
      <w:r>
        <w:rPr>
          <w:sz w:val="20"/>
          <w:szCs w:val="20"/>
        </w:rPr>
        <w:t>9,3</w:t>
      </w:r>
      <w:r w:rsidRPr="003E49BA">
        <w:rPr>
          <w:sz w:val="20"/>
          <w:szCs w:val="20"/>
        </w:rPr>
        <w:t>%</w:t>
      </w:r>
      <w:r>
        <w:rPr>
          <w:sz w:val="20"/>
          <w:szCs w:val="20"/>
        </w:rPr>
        <w:t xml:space="preserve"> superior</w:t>
      </w:r>
      <w:r w:rsidRPr="003E49BA">
        <w:rPr>
          <w:sz w:val="20"/>
          <w:szCs w:val="20"/>
        </w:rPr>
        <w:t xml:space="preserve"> </w:t>
      </w:r>
      <w:r w:rsidR="00077FBA">
        <w:rPr>
          <w:sz w:val="20"/>
          <w:szCs w:val="20"/>
        </w:rPr>
        <w:t>ao</w:t>
      </w:r>
      <w:r w:rsidRPr="003E49BA">
        <w:rPr>
          <w:sz w:val="20"/>
          <w:szCs w:val="20"/>
        </w:rPr>
        <w:t xml:space="preserve"> </w:t>
      </w:r>
      <w:r w:rsidR="00077FBA">
        <w:rPr>
          <w:sz w:val="20"/>
          <w:szCs w:val="20"/>
        </w:rPr>
        <w:t xml:space="preserve">registrado </w:t>
      </w:r>
      <w:r>
        <w:rPr>
          <w:sz w:val="20"/>
          <w:szCs w:val="20"/>
        </w:rPr>
        <w:t>em</w:t>
      </w:r>
      <w:r w:rsidRPr="003E49BA">
        <w:rPr>
          <w:sz w:val="20"/>
          <w:szCs w:val="20"/>
        </w:rPr>
        <w:t xml:space="preserve"> </w:t>
      </w:r>
      <w:r>
        <w:rPr>
          <w:sz w:val="20"/>
          <w:szCs w:val="20"/>
        </w:rPr>
        <w:t>2024</w:t>
      </w:r>
      <w:r w:rsidRPr="003E49BA">
        <w:rPr>
          <w:sz w:val="20"/>
          <w:szCs w:val="20"/>
        </w:rPr>
        <w:t xml:space="preserve">. </w:t>
      </w:r>
      <w:r>
        <w:rPr>
          <w:sz w:val="20"/>
          <w:szCs w:val="20"/>
        </w:rPr>
        <w:t xml:space="preserve">O estado de São Paulo </w:t>
      </w:r>
      <w:r w:rsidRPr="00924774">
        <w:rPr>
          <w:sz w:val="20"/>
          <w:szCs w:val="20"/>
        </w:rPr>
        <w:t>se manteve</w:t>
      </w:r>
      <w:r>
        <w:rPr>
          <w:sz w:val="20"/>
          <w:szCs w:val="20"/>
        </w:rPr>
        <w:t xml:space="preserve"> </w:t>
      </w:r>
      <w:r w:rsidRPr="00924774">
        <w:rPr>
          <w:sz w:val="20"/>
          <w:szCs w:val="20"/>
        </w:rPr>
        <w:t xml:space="preserve">como o maior produtor nacional, com </w:t>
      </w:r>
      <w:r>
        <w:rPr>
          <w:sz w:val="20"/>
          <w:szCs w:val="20"/>
        </w:rPr>
        <w:t>14,3</w:t>
      </w:r>
      <w:r w:rsidRPr="00924774">
        <w:rPr>
          <w:sz w:val="20"/>
          <w:szCs w:val="20"/>
        </w:rPr>
        <w:t xml:space="preserve"> milhões de barris</w:t>
      </w:r>
      <w:r>
        <w:rPr>
          <w:sz w:val="20"/>
          <w:szCs w:val="20"/>
        </w:rPr>
        <w:t xml:space="preserve">, após alta de 2,4%. O Rio de Janeiro foi o segundo maior estado produtor, com aproximadamente 6 </w:t>
      </w:r>
      <w:r w:rsidRPr="00924774">
        <w:rPr>
          <w:sz w:val="20"/>
          <w:szCs w:val="20"/>
        </w:rPr>
        <w:t>milhões de barris</w:t>
      </w:r>
      <w:r>
        <w:rPr>
          <w:sz w:val="20"/>
          <w:szCs w:val="20"/>
        </w:rPr>
        <w:t xml:space="preserve">, </w:t>
      </w:r>
      <w:r w:rsidR="00DA48C4">
        <w:rPr>
          <w:sz w:val="20"/>
          <w:szCs w:val="20"/>
        </w:rPr>
        <w:t xml:space="preserve">um aumento </w:t>
      </w:r>
      <w:r>
        <w:rPr>
          <w:sz w:val="20"/>
          <w:szCs w:val="20"/>
        </w:rPr>
        <w:t>de 8,5% em relação ao ano anterior.</w:t>
      </w:r>
      <w:r w:rsidRPr="00924774">
        <w:rPr>
          <w:sz w:val="20"/>
          <w:szCs w:val="20"/>
        </w:rPr>
        <w:t xml:space="preserve"> Os dois maiores estados produtores</w:t>
      </w:r>
      <w:r>
        <w:rPr>
          <w:sz w:val="20"/>
          <w:szCs w:val="20"/>
        </w:rPr>
        <w:t xml:space="preserve"> </w:t>
      </w:r>
      <w:r w:rsidR="00C80D30">
        <w:rPr>
          <w:sz w:val="20"/>
          <w:szCs w:val="20"/>
        </w:rPr>
        <w:t>concentra</w:t>
      </w:r>
      <w:r w:rsidR="00C80D30" w:rsidRPr="00924774">
        <w:rPr>
          <w:sz w:val="20"/>
          <w:szCs w:val="20"/>
        </w:rPr>
        <w:t xml:space="preserve">ram </w:t>
      </w:r>
      <w:r>
        <w:rPr>
          <w:sz w:val="20"/>
          <w:szCs w:val="20"/>
        </w:rPr>
        <w:t>67,1</w:t>
      </w:r>
      <w:r w:rsidRPr="00924774">
        <w:rPr>
          <w:sz w:val="20"/>
          <w:szCs w:val="20"/>
        </w:rPr>
        <w:t xml:space="preserve">% da produção nacional em </w:t>
      </w:r>
      <w:r>
        <w:rPr>
          <w:sz w:val="20"/>
          <w:szCs w:val="20"/>
        </w:rPr>
        <w:t>2025</w:t>
      </w:r>
      <w:r w:rsidRPr="00924774">
        <w:rPr>
          <w:sz w:val="20"/>
          <w:szCs w:val="20"/>
        </w:rPr>
        <w:t xml:space="preserve">. Os </w:t>
      </w:r>
      <w:r w:rsidR="00C80D30">
        <w:rPr>
          <w:sz w:val="20"/>
          <w:szCs w:val="20"/>
        </w:rPr>
        <w:t>e</w:t>
      </w:r>
      <w:r w:rsidR="00C80D30" w:rsidRPr="00924774">
        <w:rPr>
          <w:sz w:val="20"/>
          <w:szCs w:val="20"/>
        </w:rPr>
        <w:t xml:space="preserve">stados </w:t>
      </w:r>
      <w:r w:rsidRPr="00924774">
        <w:rPr>
          <w:sz w:val="20"/>
          <w:szCs w:val="20"/>
        </w:rPr>
        <w:t xml:space="preserve">do </w:t>
      </w:r>
      <w:r>
        <w:rPr>
          <w:sz w:val="20"/>
          <w:szCs w:val="20"/>
        </w:rPr>
        <w:t>Amazonas e do</w:t>
      </w:r>
      <w:r w:rsidRPr="00924774">
        <w:rPr>
          <w:sz w:val="20"/>
          <w:szCs w:val="20"/>
        </w:rPr>
        <w:t xml:space="preserve"> </w:t>
      </w:r>
      <w:r>
        <w:rPr>
          <w:sz w:val="20"/>
          <w:szCs w:val="20"/>
        </w:rPr>
        <w:t>Espírito Santo</w:t>
      </w:r>
      <w:r w:rsidRPr="00924774">
        <w:rPr>
          <w:sz w:val="20"/>
          <w:szCs w:val="20"/>
        </w:rPr>
        <w:t xml:space="preserve">, com </w:t>
      </w:r>
      <w:r>
        <w:rPr>
          <w:sz w:val="20"/>
          <w:szCs w:val="20"/>
        </w:rPr>
        <w:t xml:space="preserve">5,2 </w:t>
      </w:r>
      <w:r w:rsidRPr="00924774">
        <w:rPr>
          <w:sz w:val="20"/>
          <w:szCs w:val="20"/>
        </w:rPr>
        <w:t xml:space="preserve">e </w:t>
      </w:r>
      <w:r>
        <w:rPr>
          <w:sz w:val="20"/>
          <w:szCs w:val="20"/>
        </w:rPr>
        <w:t>3,4</w:t>
      </w:r>
      <w:r w:rsidRPr="00924774">
        <w:rPr>
          <w:sz w:val="20"/>
          <w:szCs w:val="20"/>
        </w:rPr>
        <w:t xml:space="preserve"> milhões de barris, respectivamente, também apresentaram </w:t>
      </w:r>
      <w:r w:rsidRPr="00E24FED">
        <w:rPr>
          <w:sz w:val="20"/>
          <w:szCs w:val="20"/>
        </w:rPr>
        <w:t>produção</w:t>
      </w:r>
      <w:r w:rsidRPr="00924774">
        <w:rPr>
          <w:sz w:val="20"/>
          <w:szCs w:val="20"/>
        </w:rPr>
        <w:t xml:space="preserve"> relevante de LGN no ano.</w:t>
      </w:r>
    </w:p>
    <w:p w14:paraId="0BEDC8F2" w14:textId="77777777" w:rsidR="0041466A" w:rsidRPr="00360370" w:rsidRDefault="0041466A" w:rsidP="0041466A">
      <w:pPr>
        <w:pStyle w:val="Corpodetexto3"/>
        <w:rPr>
          <w:sz w:val="20"/>
          <w:szCs w:val="20"/>
          <w:highlight w:val="yellow"/>
        </w:rPr>
      </w:pPr>
    </w:p>
    <w:p w14:paraId="3C4299A9" w14:textId="1B8A122E" w:rsidR="0041466A" w:rsidRDefault="0041466A" w:rsidP="0041466A">
      <w:pPr>
        <w:pStyle w:val="Corpodetexto3"/>
        <w:rPr>
          <w:sz w:val="20"/>
          <w:szCs w:val="20"/>
        </w:rPr>
      </w:pPr>
      <w:r w:rsidRPr="00E3264D">
        <w:rPr>
          <w:sz w:val="20"/>
          <w:szCs w:val="20"/>
        </w:rPr>
        <w:t xml:space="preserve">Em </w:t>
      </w:r>
      <w:r>
        <w:rPr>
          <w:sz w:val="20"/>
          <w:szCs w:val="20"/>
        </w:rPr>
        <w:t>2025</w:t>
      </w:r>
      <w:r w:rsidRPr="00E3264D">
        <w:rPr>
          <w:sz w:val="20"/>
          <w:szCs w:val="20"/>
        </w:rPr>
        <w:t xml:space="preserve">, a Petrobras manteve-se como a concessionária </w:t>
      </w:r>
      <w:r w:rsidR="00D454AB">
        <w:rPr>
          <w:sz w:val="20"/>
          <w:szCs w:val="20"/>
        </w:rPr>
        <w:t xml:space="preserve">e a operadora </w:t>
      </w:r>
      <w:r w:rsidRPr="00E3264D">
        <w:rPr>
          <w:sz w:val="20"/>
          <w:szCs w:val="20"/>
        </w:rPr>
        <w:t>que mais produziu petróleo e gás natural</w:t>
      </w:r>
      <w:r w:rsidR="00D454AB">
        <w:rPr>
          <w:sz w:val="20"/>
          <w:szCs w:val="20"/>
        </w:rPr>
        <w:t xml:space="preserve"> no Brasil. Veja o desempenho das concessionárias e operadoras nas tabelas 2.16 e 2.17.</w:t>
      </w:r>
    </w:p>
    <w:p w14:paraId="620DAAE4" w14:textId="77777777" w:rsidR="0041466A" w:rsidRPr="00E3264D" w:rsidRDefault="0041466A" w:rsidP="0041466A">
      <w:pPr>
        <w:pStyle w:val="Corpodetexto3"/>
        <w:rPr>
          <w:sz w:val="20"/>
          <w:szCs w:val="20"/>
        </w:rPr>
      </w:pPr>
    </w:p>
    <w:p w14:paraId="4161E1B7"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11</w:t>
      </w:r>
    </w:p>
    <w:p w14:paraId="631D111B"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12</w:t>
      </w:r>
    </w:p>
    <w:p w14:paraId="6D261AAA"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13</w:t>
      </w:r>
    </w:p>
    <w:p w14:paraId="69D9CE23"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2.1</w:t>
      </w:r>
      <w:r>
        <w:rPr>
          <w:rFonts w:ascii="Arial" w:hAnsi="Arial" w:cs="Arial"/>
          <w:b/>
          <w:bCs/>
          <w:color w:val="FF0000"/>
        </w:rPr>
        <w:t>4</w:t>
      </w:r>
    </w:p>
    <w:p w14:paraId="63C60195"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lastRenderedPageBreak/>
        <w:t>Tabela 2.1</w:t>
      </w:r>
      <w:r>
        <w:rPr>
          <w:rFonts w:ascii="Arial" w:hAnsi="Arial" w:cs="Arial"/>
          <w:b/>
          <w:bCs/>
          <w:color w:val="FF0000"/>
        </w:rPr>
        <w:t>5</w:t>
      </w:r>
    </w:p>
    <w:p w14:paraId="3E37AE69" w14:textId="77777777"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2.1</w:t>
      </w:r>
      <w:r>
        <w:rPr>
          <w:rFonts w:ascii="Arial" w:hAnsi="Arial" w:cs="Arial"/>
          <w:b/>
          <w:bCs/>
          <w:color w:val="FF0000"/>
        </w:rPr>
        <w:t>6</w:t>
      </w:r>
    </w:p>
    <w:p w14:paraId="792AC097"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2.1</w:t>
      </w:r>
      <w:r>
        <w:rPr>
          <w:rFonts w:ascii="Arial" w:hAnsi="Arial" w:cs="Arial"/>
          <w:b/>
          <w:bCs/>
          <w:color w:val="FF0000"/>
        </w:rPr>
        <w:t>7</w:t>
      </w:r>
    </w:p>
    <w:p w14:paraId="782B67E0" w14:textId="77777777" w:rsidR="0041466A" w:rsidRPr="001A4B9C" w:rsidRDefault="0041466A" w:rsidP="0041466A">
      <w:pPr>
        <w:pStyle w:val="Corpodetexto3"/>
        <w:rPr>
          <w:color w:val="auto"/>
          <w:sz w:val="20"/>
          <w:szCs w:val="20"/>
        </w:rPr>
      </w:pPr>
    </w:p>
    <w:p w14:paraId="343CE281" w14:textId="77777777" w:rsidR="0041466A" w:rsidRPr="001A4B9C" w:rsidRDefault="0041466A" w:rsidP="0041466A">
      <w:pPr>
        <w:pStyle w:val="Corpodetexto3"/>
        <w:rPr>
          <w:b/>
          <w:bCs/>
          <w:color w:val="FF0000"/>
          <w:sz w:val="20"/>
          <w:szCs w:val="20"/>
        </w:rPr>
      </w:pPr>
      <w:r w:rsidRPr="001A4B9C">
        <w:rPr>
          <w:b/>
          <w:bCs/>
          <w:color w:val="FF0000"/>
          <w:sz w:val="20"/>
          <w:szCs w:val="20"/>
        </w:rPr>
        <w:t>Gráfico 2.5</w:t>
      </w:r>
    </w:p>
    <w:p w14:paraId="1ECA3885" w14:textId="77777777" w:rsidR="0041466A" w:rsidRPr="001A4B9C" w:rsidRDefault="0041466A" w:rsidP="0041466A">
      <w:pPr>
        <w:pStyle w:val="Corpodetexto3"/>
        <w:rPr>
          <w:b/>
          <w:bCs/>
          <w:color w:val="FF0000"/>
          <w:sz w:val="20"/>
          <w:szCs w:val="20"/>
        </w:rPr>
      </w:pPr>
      <w:r w:rsidRPr="001A4B9C">
        <w:rPr>
          <w:b/>
          <w:bCs/>
          <w:color w:val="FF0000"/>
          <w:sz w:val="20"/>
          <w:szCs w:val="20"/>
        </w:rPr>
        <w:t>Gráfico 2.6</w:t>
      </w:r>
    </w:p>
    <w:p w14:paraId="4EE70EFF" w14:textId="77777777" w:rsidR="0041466A" w:rsidRPr="001A4B9C" w:rsidRDefault="0041466A" w:rsidP="0041466A">
      <w:pPr>
        <w:pStyle w:val="Corpodetexto3"/>
        <w:rPr>
          <w:b/>
          <w:bCs/>
          <w:color w:val="FF0000"/>
          <w:sz w:val="20"/>
          <w:szCs w:val="20"/>
        </w:rPr>
      </w:pPr>
      <w:r w:rsidRPr="001A4B9C">
        <w:rPr>
          <w:b/>
          <w:bCs/>
          <w:color w:val="FF0000"/>
          <w:sz w:val="20"/>
          <w:szCs w:val="20"/>
        </w:rPr>
        <w:t>Gráfico 2.7</w:t>
      </w:r>
    </w:p>
    <w:p w14:paraId="11372DD2" w14:textId="77777777" w:rsidR="0041466A" w:rsidRPr="00360370" w:rsidRDefault="0041466A" w:rsidP="0041466A">
      <w:pPr>
        <w:autoSpaceDE w:val="0"/>
        <w:autoSpaceDN w:val="0"/>
        <w:adjustRightInd w:val="0"/>
        <w:jc w:val="both"/>
        <w:rPr>
          <w:rFonts w:ascii="Arial" w:hAnsi="Arial" w:cs="Arial"/>
          <w:highlight w:val="yellow"/>
        </w:rPr>
      </w:pPr>
    </w:p>
    <w:p w14:paraId="0CE59B52" w14:textId="6E8F863C" w:rsidR="0041466A" w:rsidRPr="006E6EA2" w:rsidRDefault="0041466A" w:rsidP="0041466A">
      <w:pPr>
        <w:autoSpaceDE w:val="0"/>
        <w:autoSpaceDN w:val="0"/>
        <w:adjustRightInd w:val="0"/>
        <w:jc w:val="both"/>
        <w:rPr>
          <w:rFonts w:ascii="Arial" w:hAnsi="Arial" w:cs="Arial"/>
        </w:rPr>
      </w:pPr>
      <w:r w:rsidRPr="001C3B42">
        <w:rPr>
          <w:rFonts w:ascii="Arial" w:hAnsi="Arial" w:cs="Arial"/>
        </w:rPr>
        <w:t xml:space="preserve">A produção de gás natural </w:t>
      </w:r>
      <w:r w:rsidR="004949BE">
        <w:rPr>
          <w:rFonts w:ascii="Arial" w:hAnsi="Arial" w:cs="Arial"/>
        </w:rPr>
        <w:t>aumentou</w:t>
      </w:r>
      <w:r w:rsidRPr="001C3B42">
        <w:rPr>
          <w:rFonts w:ascii="Arial" w:hAnsi="Arial" w:cs="Arial"/>
        </w:rPr>
        <w:t xml:space="preserve"> pelo 1</w:t>
      </w:r>
      <w:r w:rsidR="00AC7CCB">
        <w:rPr>
          <w:rFonts w:ascii="Arial" w:hAnsi="Arial" w:cs="Arial"/>
        </w:rPr>
        <w:t>6</w:t>
      </w:r>
      <w:r w:rsidRPr="001C3B42">
        <w:rPr>
          <w:rFonts w:ascii="Arial" w:hAnsi="Arial" w:cs="Arial"/>
        </w:rPr>
        <w:t>º ano consecutivo, com</w:t>
      </w:r>
      <w:r w:rsidR="004949BE">
        <w:rPr>
          <w:rFonts w:ascii="Arial" w:hAnsi="Arial" w:cs="Arial"/>
        </w:rPr>
        <w:t xml:space="preserve"> alta </w:t>
      </w:r>
      <w:r w:rsidRPr="001C3B42">
        <w:rPr>
          <w:rFonts w:ascii="Arial" w:hAnsi="Arial" w:cs="Arial"/>
        </w:rPr>
        <w:t>de 16,7%, totalizando 65,4 bilhões de m³ em 2025. Na década 2016-2025, a produção nacional de gás natural apresentou crescimento médio de 6,3% ao ano e acumulado de 72,7%.</w:t>
      </w:r>
    </w:p>
    <w:p w14:paraId="5F845DF2" w14:textId="77777777" w:rsidR="0041466A" w:rsidRPr="00076C3D" w:rsidRDefault="0041466A" w:rsidP="0041466A">
      <w:pPr>
        <w:autoSpaceDE w:val="0"/>
        <w:autoSpaceDN w:val="0"/>
        <w:adjustRightInd w:val="0"/>
        <w:jc w:val="both"/>
        <w:rPr>
          <w:rFonts w:ascii="Arial" w:hAnsi="Arial" w:cs="Arial"/>
        </w:rPr>
      </w:pPr>
    </w:p>
    <w:p w14:paraId="7414FFDA" w14:textId="295DEABB" w:rsidR="0041466A" w:rsidRPr="00076C3D" w:rsidRDefault="00F811A2" w:rsidP="0041466A">
      <w:pPr>
        <w:autoSpaceDE w:val="0"/>
        <w:autoSpaceDN w:val="0"/>
        <w:adjustRightInd w:val="0"/>
        <w:jc w:val="both"/>
        <w:rPr>
          <w:rFonts w:ascii="Arial" w:hAnsi="Arial" w:cs="Arial"/>
        </w:rPr>
      </w:pPr>
      <w:r>
        <w:rPr>
          <w:rFonts w:ascii="Arial" w:hAnsi="Arial" w:cs="Arial"/>
          <w:color w:val="000000"/>
        </w:rPr>
        <w:t>A produção em mar correspondeu a</w:t>
      </w:r>
      <w:r w:rsidR="0041466A">
        <w:rPr>
          <w:rFonts w:ascii="Arial" w:hAnsi="Arial" w:cs="Arial"/>
          <w:color w:val="000000"/>
        </w:rPr>
        <w:t xml:space="preserve"> 86,4</w:t>
      </w:r>
      <w:r w:rsidR="0041466A" w:rsidRPr="00076C3D">
        <w:rPr>
          <w:rFonts w:ascii="Arial" w:hAnsi="Arial" w:cs="Arial"/>
          <w:color w:val="000000"/>
        </w:rPr>
        <w:t>% do</w:t>
      </w:r>
      <w:r>
        <w:rPr>
          <w:rFonts w:ascii="Arial" w:hAnsi="Arial" w:cs="Arial"/>
          <w:color w:val="000000"/>
        </w:rPr>
        <w:t xml:space="preserve"> total</w:t>
      </w:r>
      <w:r w:rsidR="0041466A" w:rsidRPr="00076C3D">
        <w:rPr>
          <w:rFonts w:ascii="Arial" w:hAnsi="Arial" w:cs="Arial"/>
          <w:color w:val="000000"/>
        </w:rPr>
        <w:t xml:space="preserve">, </w:t>
      </w:r>
      <w:r>
        <w:rPr>
          <w:rFonts w:ascii="Arial" w:hAnsi="Arial" w:cs="Arial"/>
          <w:color w:val="000000"/>
        </w:rPr>
        <w:t>som</w:t>
      </w:r>
      <w:r w:rsidR="0041466A" w:rsidRPr="00076C3D">
        <w:rPr>
          <w:rFonts w:ascii="Arial" w:hAnsi="Arial" w:cs="Arial"/>
          <w:color w:val="000000"/>
        </w:rPr>
        <w:t xml:space="preserve">ando </w:t>
      </w:r>
      <w:r w:rsidR="0041466A">
        <w:rPr>
          <w:rFonts w:ascii="Arial" w:hAnsi="Arial" w:cs="Arial"/>
          <w:color w:val="000000"/>
        </w:rPr>
        <w:t>56,5</w:t>
      </w:r>
      <w:r w:rsidR="0041466A" w:rsidRPr="00076C3D">
        <w:rPr>
          <w:rFonts w:ascii="Arial" w:hAnsi="Arial" w:cs="Arial"/>
          <w:color w:val="000000"/>
        </w:rPr>
        <w:t xml:space="preserve"> b</w:t>
      </w:r>
      <w:r w:rsidR="0041466A" w:rsidRPr="00076C3D">
        <w:rPr>
          <w:rFonts w:ascii="Arial" w:hAnsi="Arial" w:cs="Arial"/>
        </w:rPr>
        <w:t xml:space="preserve">ilhões de m³, </w:t>
      </w:r>
      <w:r>
        <w:rPr>
          <w:rFonts w:ascii="Arial" w:hAnsi="Arial" w:cs="Arial"/>
        </w:rPr>
        <w:t>após alta</w:t>
      </w:r>
      <w:r w:rsidR="0041466A" w:rsidRPr="00076C3D">
        <w:rPr>
          <w:rFonts w:ascii="Arial" w:hAnsi="Arial" w:cs="Arial"/>
        </w:rPr>
        <w:t xml:space="preserve"> de </w:t>
      </w:r>
      <w:r w:rsidR="0041466A">
        <w:rPr>
          <w:rFonts w:ascii="Arial" w:hAnsi="Arial" w:cs="Arial"/>
        </w:rPr>
        <w:t>18,9</w:t>
      </w:r>
      <w:r w:rsidR="0041466A" w:rsidRPr="00076C3D">
        <w:rPr>
          <w:rFonts w:ascii="Arial" w:hAnsi="Arial" w:cs="Arial"/>
        </w:rPr>
        <w:t>%</w:t>
      </w:r>
      <w:r>
        <w:rPr>
          <w:rFonts w:ascii="Arial" w:hAnsi="Arial" w:cs="Arial"/>
        </w:rPr>
        <w:t xml:space="preserve"> em relação a 2024</w:t>
      </w:r>
      <w:r w:rsidR="0041466A" w:rsidRPr="00076C3D">
        <w:rPr>
          <w:rFonts w:ascii="Arial" w:hAnsi="Arial" w:cs="Arial"/>
          <w:color w:val="000000"/>
        </w:rPr>
        <w:t xml:space="preserve">. </w:t>
      </w:r>
      <w:r>
        <w:rPr>
          <w:rFonts w:ascii="Arial" w:hAnsi="Arial" w:cs="Arial"/>
          <w:color w:val="000000"/>
        </w:rPr>
        <w:t>A</w:t>
      </w:r>
      <w:r w:rsidR="0041466A" w:rsidRPr="00076C3D">
        <w:rPr>
          <w:rFonts w:ascii="Arial" w:hAnsi="Arial" w:cs="Arial"/>
          <w:color w:val="000000"/>
        </w:rPr>
        <w:t xml:space="preserve"> produção em terra </w:t>
      </w:r>
      <w:r>
        <w:rPr>
          <w:rFonts w:ascii="Arial" w:hAnsi="Arial" w:cs="Arial"/>
          <w:color w:val="000000"/>
        </w:rPr>
        <w:t>foi de</w:t>
      </w:r>
      <w:r w:rsidR="0041466A" w:rsidRPr="00076C3D">
        <w:rPr>
          <w:rFonts w:ascii="Arial" w:hAnsi="Arial" w:cs="Arial"/>
          <w:color w:val="000000"/>
        </w:rPr>
        <w:t xml:space="preserve"> </w:t>
      </w:r>
      <w:r w:rsidR="0041466A">
        <w:rPr>
          <w:rFonts w:ascii="Arial" w:hAnsi="Arial" w:cs="Arial"/>
          <w:color w:val="000000"/>
        </w:rPr>
        <w:t>8,9</w:t>
      </w:r>
      <w:r w:rsidR="0041466A" w:rsidRPr="00076C3D">
        <w:rPr>
          <w:rFonts w:ascii="Arial" w:hAnsi="Arial" w:cs="Arial"/>
          <w:color w:val="000000"/>
        </w:rPr>
        <w:t xml:space="preserve"> b</w:t>
      </w:r>
      <w:r w:rsidR="0041466A" w:rsidRPr="00076C3D">
        <w:rPr>
          <w:rFonts w:ascii="Arial" w:hAnsi="Arial" w:cs="Arial"/>
        </w:rPr>
        <w:t>ilhões de m³</w:t>
      </w:r>
      <w:r w:rsidR="0041466A">
        <w:rPr>
          <w:rFonts w:ascii="Arial" w:hAnsi="Arial" w:cs="Arial"/>
        </w:rPr>
        <w:t xml:space="preserve">, </w:t>
      </w:r>
      <w:r>
        <w:rPr>
          <w:rFonts w:ascii="Arial" w:hAnsi="Arial" w:cs="Arial"/>
        </w:rPr>
        <w:t>com aumento</w:t>
      </w:r>
      <w:r w:rsidR="0041466A">
        <w:rPr>
          <w:rFonts w:ascii="Arial" w:hAnsi="Arial" w:cs="Arial"/>
        </w:rPr>
        <w:t xml:space="preserve"> de 4,5%.</w:t>
      </w:r>
    </w:p>
    <w:p w14:paraId="64A84076" w14:textId="77777777" w:rsidR="0041466A" w:rsidRPr="00360370" w:rsidRDefault="0041466A" w:rsidP="0041466A">
      <w:pPr>
        <w:autoSpaceDE w:val="0"/>
        <w:autoSpaceDN w:val="0"/>
        <w:adjustRightInd w:val="0"/>
        <w:jc w:val="both"/>
        <w:rPr>
          <w:rFonts w:ascii="Arial" w:hAnsi="Arial" w:cs="Arial"/>
          <w:highlight w:val="yellow"/>
        </w:rPr>
      </w:pPr>
    </w:p>
    <w:p w14:paraId="25BDC8DC" w14:textId="390ACE0C" w:rsidR="0041466A" w:rsidRDefault="00F811A2" w:rsidP="0041466A">
      <w:pPr>
        <w:autoSpaceDE w:val="0"/>
        <w:autoSpaceDN w:val="0"/>
        <w:adjustRightInd w:val="0"/>
        <w:jc w:val="both"/>
        <w:rPr>
          <w:rFonts w:ascii="Arial" w:hAnsi="Arial" w:cs="Arial"/>
        </w:rPr>
      </w:pPr>
      <w:r>
        <w:rPr>
          <w:rFonts w:ascii="Arial" w:hAnsi="Arial" w:cs="Arial"/>
        </w:rPr>
        <w:t>O</w:t>
      </w:r>
      <w:r w:rsidR="0041466A">
        <w:rPr>
          <w:rFonts w:ascii="Arial" w:hAnsi="Arial" w:cs="Arial"/>
        </w:rPr>
        <w:t xml:space="preserve"> estado do Rio de Janeiro foi o que mais produziu </w:t>
      </w:r>
      <w:r>
        <w:rPr>
          <w:rFonts w:ascii="Arial" w:hAnsi="Arial" w:cs="Arial"/>
        </w:rPr>
        <w:t xml:space="preserve">gás natural </w:t>
      </w:r>
      <w:r w:rsidR="0041466A">
        <w:rPr>
          <w:rFonts w:ascii="Arial" w:hAnsi="Arial" w:cs="Arial"/>
        </w:rPr>
        <w:t>em 2025: 50,3 bilhões, o equivalente a 76,9% da produção nacional</w:t>
      </w:r>
      <w:r w:rsidR="0041466A" w:rsidRPr="009237C3">
        <w:rPr>
          <w:rFonts w:ascii="Arial" w:hAnsi="Arial" w:cs="Arial"/>
        </w:rPr>
        <w:t>.</w:t>
      </w:r>
    </w:p>
    <w:p w14:paraId="7CCF592A" w14:textId="77777777" w:rsidR="0041466A" w:rsidRDefault="0041466A" w:rsidP="0041466A">
      <w:pPr>
        <w:autoSpaceDE w:val="0"/>
        <w:autoSpaceDN w:val="0"/>
        <w:adjustRightInd w:val="0"/>
        <w:jc w:val="both"/>
        <w:rPr>
          <w:rFonts w:ascii="Arial" w:hAnsi="Arial" w:cs="Arial"/>
        </w:rPr>
      </w:pPr>
    </w:p>
    <w:p w14:paraId="399C97C5" w14:textId="493EC0ED" w:rsidR="0041466A" w:rsidRDefault="0041466A" w:rsidP="0041466A">
      <w:pPr>
        <w:autoSpaceDE w:val="0"/>
        <w:autoSpaceDN w:val="0"/>
        <w:adjustRightInd w:val="0"/>
        <w:jc w:val="both"/>
        <w:rPr>
          <w:rFonts w:ascii="Arial" w:hAnsi="Arial" w:cs="Arial"/>
          <w:color w:val="000000"/>
        </w:rPr>
      </w:pPr>
      <w:r w:rsidRPr="005C1646">
        <w:rPr>
          <w:rFonts w:ascii="Arial" w:hAnsi="Arial" w:cs="Arial"/>
          <w:color w:val="000000"/>
        </w:rPr>
        <w:t xml:space="preserve">A produção no pré-sal teve crescimento de </w:t>
      </w:r>
      <w:r>
        <w:rPr>
          <w:rFonts w:ascii="Arial" w:hAnsi="Arial" w:cs="Arial"/>
          <w:color w:val="000000"/>
        </w:rPr>
        <w:t>19</w:t>
      </w:r>
      <w:r w:rsidRPr="005C1646">
        <w:rPr>
          <w:rFonts w:ascii="Arial" w:hAnsi="Arial" w:cs="Arial"/>
          <w:color w:val="000000"/>
        </w:rPr>
        <w:t xml:space="preserve">% em </w:t>
      </w:r>
      <w:r>
        <w:rPr>
          <w:rFonts w:ascii="Arial" w:hAnsi="Arial" w:cs="Arial"/>
          <w:color w:val="000000"/>
        </w:rPr>
        <w:t>2025</w:t>
      </w:r>
      <w:r w:rsidRPr="005C1646">
        <w:rPr>
          <w:rFonts w:ascii="Arial" w:hAnsi="Arial" w:cs="Arial"/>
          <w:color w:val="000000"/>
        </w:rPr>
        <w:t>, atingindo</w:t>
      </w:r>
      <w:r>
        <w:rPr>
          <w:rFonts w:ascii="Arial" w:hAnsi="Arial" w:cs="Arial"/>
          <w:color w:val="000000"/>
        </w:rPr>
        <w:t xml:space="preserve"> 51,2</w:t>
      </w:r>
      <w:r w:rsidRPr="005C1646">
        <w:rPr>
          <w:rFonts w:ascii="Arial" w:hAnsi="Arial" w:cs="Arial"/>
          <w:color w:val="000000"/>
        </w:rPr>
        <w:t xml:space="preserve"> bilhões</w:t>
      </w:r>
      <w:r>
        <w:rPr>
          <w:rFonts w:ascii="Arial" w:hAnsi="Arial" w:cs="Arial"/>
          <w:color w:val="000000"/>
        </w:rPr>
        <w:t xml:space="preserve"> </w:t>
      </w:r>
      <w:r w:rsidRPr="005C1646">
        <w:rPr>
          <w:rFonts w:ascii="Arial" w:hAnsi="Arial" w:cs="Arial"/>
        </w:rPr>
        <w:t>de m</w:t>
      </w:r>
      <w:r w:rsidR="006A56DA" w:rsidRPr="005C1646">
        <w:rPr>
          <w:rFonts w:ascii="Arial" w:hAnsi="Arial" w:cs="Arial"/>
        </w:rPr>
        <w:t>³</w:t>
      </w:r>
      <w:r w:rsidR="006A56DA">
        <w:rPr>
          <w:rFonts w:ascii="Arial" w:hAnsi="Arial" w:cs="Arial"/>
          <w:color w:val="000000"/>
        </w:rPr>
        <w:t xml:space="preserve"> e</w:t>
      </w:r>
      <w:r w:rsidR="006A56DA" w:rsidRPr="005C1646">
        <w:rPr>
          <w:rFonts w:ascii="Arial" w:hAnsi="Arial" w:cs="Arial"/>
          <w:color w:val="000000"/>
        </w:rPr>
        <w:t xml:space="preserve"> </w:t>
      </w:r>
      <w:r w:rsidRPr="005C1646">
        <w:rPr>
          <w:rFonts w:ascii="Arial" w:hAnsi="Arial" w:cs="Arial"/>
          <w:color w:val="000000"/>
        </w:rPr>
        <w:t xml:space="preserve">representando </w:t>
      </w:r>
      <w:r>
        <w:rPr>
          <w:rFonts w:ascii="Arial" w:hAnsi="Arial" w:cs="Arial"/>
          <w:color w:val="000000"/>
        </w:rPr>
        <w:t>78,2</w:t>
      </w:r>
      <w:r w:rsidRPr="005C1646">
        <w:rPr>
          <w:rFonts w:ascii="Arial" w:hAnsi="Arial" w:cs="Arial"/>
          <w:color w:val="000000"/>
        </w:rPr>
        <w:t>% da produção total</w:t>
      </w:r>
      <w:r w:rsidR="006A56DA">
        <w:rPr>
          <w:rFonts w:ascii="Arial" w:hAnsi="Arial" w:cs="Arial"/>
          <w:color w:val="000000"/>
        </w:rPr>
        <w:t xml:space="preserve"> de gás natural</w:t>
      </w:r>
      <w:r w:rsidRPr="005C1646">
        <w:rPr>
          <w:rFonts w:ascii="Arial" w:hAnsi="Arial" w:cs="Arial"/>
          <w:color w:val="000000"/>
        </w:rPr>
        <w:t>.</w:t>
      </w:r>
    </w:p>
    <w:p w14:paraId="47772F9E" w14:textId="77777777" w:rsidR="0041466A" w:rsidRDefault="0041466A" w:rsidP="0041466A">
      <w:pPr>
        <w:autoSpaceDE w:val="0"/>
        <w:autoSpaceDN w:val="0"/>
        <w:adjustRightInd w:val="0"/>
        <w:jc w:val="both"/>
        <w:rPr>
          <w:rFonts w:ascii="Arial" w:hAnsi="Arial" w:cs="Arial"/>
          <w:color w:val="000000"/>
        </w:rPr>
      </w:pPr>
    </w:p>
    <w:p w14:paraId="426A8C14" w14:textId="50D4BDEC" w:rsidR="0041466A" w:rsidRDefault="0041466A" w:rsidP="0041466A">
      <w:pPr>
        <w:autoSpaceDE w:val="0"/>
        <w:autoSpaceDN w:val="0"/>
        <w:adjustRightInd w:val="0"/>
        <w:jc w:val="both"/>
        <w:rPr>
          <w:rFonts w:ascii="Arial" w:hAnsi="Arial" w:cs="Arial"/>
          <w:color w:val="000000"/>
        </w:rPr>
      </w:pPr>
      <w:r>
        <w:rPr>
          <w:rFonts w:ascii="Arial" w:hAnsi="Arial" w:cs="Arial"/>
          <w:color w:val="000000"/>
        </w:rPr>
        <w:t xml:space="preserve">A </w:t>
      </w:r>
      <w:r w:rsidR="006A56DA">
        <w:rPr>
          <w:rFonts w:ascii="Arial" w:hAnsi="Arial" w:cs="Arial"/>
          <w:color w:val="000000"/>
        </w:rPr>
        <w:t>Bacia</w:t>
      </w:r>
      <w:r>
        <w:rPr>
          <w:rFonts w:ascii="Arial" w:hAnsi="Arial" w:cs="Arial"/>
          <w:color w:val="000000"/>
        </w:rPr>
        <w:t xml:space="preserve"> de Santos foi a </w:t>
      </w:r>
      <w:r w:rsidR="006A56DA">
        <w:rPr>
          <w:rFonts w:ascii="Arial" w:hAnsi="Arial" w:cs="Arial"/>
          <w:color w:val="000000"/>
        </w:rPr>
        <w:t>maior produtora de</w:t>
      </w:r>
      <w:r>
        <w:rPr>
          <w:rFonts w:ascii="Arial" w:hAnsi="Arial" w:cs="Arial"/>
          <w:color w:val="000000"/>
        </w:rPr>
        <w:t xml:space="preserve"> gás natural, </w:t>
      </w:r>
      <w:r w:rsidR="006A56DA">
        <w:rPr>
          <w:rFonts w:ascii="Arial" w:hAnsi="Arial" w:cs="Arial"/>
          <w:color w:val="000000"/>
        </w:rPr>
        <w:t>com</w:t>
      </w:r>
      <w:r>
        <w:rPr>
          <w:rFonts w:ascii="Arial" w:hAnsi="Arial" w:cs="Arial"/>
          <w:color w:val="000000"/>
        </w:rPr>
        <w:t xml:space="preserve"> 50,9 bilhões de m³, o equivalente a 77,7% do total produzido. </w:t>
      </w:r>
    </w:p>
    <w:p w14:paraId="0C8CA047" w14:textId="77777777" w:rsidR="0041466A" w:rsidRPr="005B7B0D" w:rsidRDefault="0041466A" w:rsidP="0041466A">
      <w:pPr>
        <w:autoSpaceDE w:val="0"/>
        <w:autoSpaceDN w:val="0"/>
        <w:adjustRightInd w:val="0"/>
        <w:jc w:val="both"/>
        <w:rPr>
          <w:rFonts w:ascii="Arial" w:hAnsi="Arial" w:cs="Arial"/>
          <w:color w:val="000000"/>
          <w:highlight w:val="yellow"/>
        </w:rPr>
      </w:pPr>
    </w:p>
    <w:p w14:paraId="09ED8270" w14:textId="190FDF9A" w:rsidR="0041466A" w:rsidRPr="00E50B75" w:rsidRDefault="0041466A" w:rsidP="0041466A">
      <w:pPr>
        <w:autoSpaceDE w:val="0"/>
        <w:autoSpaceDN w:val="0"/>
        <w:adjustRightInd w:val="0"/>
        <w:jc w:val="both"/>
        <w:rPr>
          <w:rFonts w:ascii="Arial" w:hAnsi="Arial" w:cs="Arial"/>
          <w:color w:val="000000"/>
        </w:rPr>
      </w:pPr>
      <w:r w:rsidRPr="00AE63C9">
        <w:rPr>
          <w:rFonts w:ascii="Arial" w:hAnsi="Arial" w:cs="Arial"/>
          <w:color w:val="000000"/>
        </w:rPr>
        <w:t xml:space="preserve">A relação reserva/produção (R/P) de gás natural </w:t>
      </w:r>
      <w:r w:rsidR="00CF6CA8">
        <w:rPr>
          <w:rFonts w:ascii="Arial" w:hAnsi="Arial" w:cs="Arial"/>
          <w:color w:val="000000"/>
        </w:rPr>
        <w:t>caiu</w:t>
      </w:r>
      <w:r w:rsidRPr="00AE63C9">
        <w:rPr>
          <w:rFonts w:ascii="Arial" w:hAnsi="Arial" w:cs="Arial"/>
          <w:color w:val="000000"/>
        </w:rPr>
        <w:t xml:space="preserve"> de 9,</w:t>
      </w:r>
      <w:r>
        <w:rPr>
          <w:rFonts w:ascii="Arial" w:hAnsi="Arial" w:cs="Arial"/>
          <w:color w:val="000000"/>
        </w:rPr>
        <w:t>7</w:t>
      </w:r>
      <w:r w:rsidRPr="00AE63C9">
        <w:rPr>
          <w:rFonts w:ascii="Arial" w:hAnsi="Arial" w:cs="Arial"/>
          <w:color w:val="000000"/>
        </w:rPr>
        <w:t xml:space="preserve"> anos, em </w:t>
      </w:r>
      <w:r>
        <w:rPr>
          <w:rFonts w:ascii="Arial" w:hAnsi="Arial" w:cs="Arial"/>
          <w:color w:val="000000"/>
        </w:rPr>
        <w:t>2024</w:t>
      </w:r>
      <w:r w:rsidRPr="00AE63C9">
        <w:rPr>
          <w:rFonts w:ascii="Arial" w:hAnsi="Arial" w:cs="Arial"/>
          <w:color w:val="000000"/>
        </w:rPr>
        <w:t xml:space="preserve">, para </w:t>
      </w:r>
      <w:r>
        <w:rPr>
          <w:rFonts w:ascii="Arial" w:hAnsi="Arial" w:cs="Arial"/>
          <w:color w:val="000000"/>
        </w:rPr>
        <w:t>8</w:t>
      </w:r>
      <w:r w:rsidRPr="00AE63C9">
        <w:rPr>
          <w:rFonts w:ascii="Arial" w:hAnsi="Arial" w:cs="Arial"/>
          <w:color w:val="000000"/>
        </w:rPr>
        <w:t>,</w:t>
      </w:r>
      <w:r>
        <w:rPr>
          <w:rFonts w:ascii="Arial" w:hAnsi="Arial" w:cs="Arial"/>
          <w:color w:val="000000"/>
        </w:rPr>
        <w:t>8</w:t>
      </w:r>
      <w:r w:rsidRPr="00AE63C9">
        <w:rPr>
          <w:rFonts w:ascii="Arial" w:hAnsi="Arial" w:cs="Arial"/>
          <w:color w:val="000000"/>
        </w:rPr>
        <w:t xml:space="preserve"> anos, em </w:t>
      </w:r>
      <w:r>
        <w:rPr>
          <w:rFonts w:ascii="Arial" w:hAnsi="Arial" w:cs="Arial"/>
          <w:color w:val="000000"/>
        </w:rPr>
        <w:t>2025</w:t>
      </w:r>
      <w:r w:rsidRPr="00AE63C9">
        <w:rPr>
          <w:rFonts w:ascii="Arial" w:hAnsi="Arial" w:cs="Arial"/>
          <w:color w:val="000000"/>
        </w:rPr>
        <w:t>.</w:t>
      </w:r>
    </w:p>
    <w:p w14:paraId="77B1B077" w14:textId="77777777" w:rsidR="0041466A" w:rsidRPr="00236AC1" w:rsidRDefault="0041466A" w:rsidP="0041466A">
      <w:pPr>
        <w:autoSpaceDE w:val="0"/>
        <w:autoSpaceDN w:val="0"/>
        <w:adjustRightInd w:val="0"/>
        <w:jc w:val="both"/>
        <w:rPr>
          <w:rFonts w:ascii="Arial" w:hAnsi="Arial" w:cs="Arial"/>
          <w:color w:val="000000"/>
          <w:u w:val="single"/>
        </w:rPr>
      </w:pPr>
    </w:p>
    <w:p w14:paraId="07C4B09A" w14:textId="54192178"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2.1</w:t>
      </w:r>
      <w:r>
        <w:rPr>
          <w:rFonts w:ascii="Arial" w:hAnsi="Arial" w:cs="Arial"/>
          <w:b/>
          <w:bCs/>
          <w:color w:val="FF0000"/>
        </w:rPr>
        <w:t>8</w:t>
      </w:r>
    </w:p>
    <w:p w14:paraId="1FB7B64D"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2.1</w:t>
      </w:r>
      <w:r>
        <w:rPr>
          <w:rFonts w:ascii="Arial" w:hAnsi="Arial" w:cs="Arial"/>
          <w:b/>
          <w:bCs/>
          <w:color w:val="FF0000"/>
        </w:rPr>
        <w:t>9</w:t>
      </w:r>
    </w:p>
    <w:p w14:paraId="65D95DD8" w14:textId="77777777" w:rsidR="0041466A" w:rsidRPr="001A4B9C" w:rsidRDefault="0041466A" w:rsidP="0041466A">
      <w:pPr>
        <w:autoSpaceDE w:val="0"/>
        <w:autoSpaceDN w:val="0"/>
        <w:adjustRightInd w:val="0"/>
        <w:jc w:val="both"/>
        <w:rPr>
          <w:rFonts w:ascii="Arial" w:hAnsi="Arial" w:cs="Arial"/>
          <w:b/>
          <w:bCs/>
          <w:color w:val="FF0000"/>
        </w:rPr>
      </w:pPr>
    </w:p>
    <w:p w14:paraId="089B7DAC" w14:textId="77777777" w:rsidR="0041466A" w:rsidRDefault="0041466A" w:rsidP="0041466A">
      <w:pPr>
        <w:pStyle w:val="Corpodetexto3"/>
        <w:rPr>
          <w:b/>
          <w:bCs/>
          <w:color w:val="FF0000"/>
          <w:sz w:val="20"/>
          <w:szCs w:val="20"/>
        </w:rPr>
      </w:pPr>
      <w:r w:rsidRPr="36DAC812">
        <w:rPr>
          <w:b/>
          <w:bCs/>
          <w:color w:val="FF0000"/>
          <w:sz w:val="20"/>
          <w:szCs w:val="20"/>
        </w:rPr>
        <w:t>Gráfico 2.7</w:t>
      </w:r>
    </w:p>
    <w:p w14:paraId="7E8E2864" w14:textId="77777777" w:rsidR="0041466A" w:rsidRPr="001A4B9C" w:rsidRDefault="0041466A" w:rsidP="0041466A">
      <w:pPr>
        <w:pStyle w:val="Corpodetexto3"/>
        <w:rPr>
          <w:color w:val="FF0000"/>
          <w:sz w:val="20"/>
          <w:szCs w:val="20"/>
        </w:rPr>
      </w:pPr>
      <w:r w:rsidRPr="001A4B9C">
        <w:rPr>
          <w:b/>
          <w:bCs/>
          <w:color w:val="FF0000"/>
          <w:sz w:val="20"/>
          <w:szCs w:val="20"/>
        </w:rPr>
        <w:t>Gráfico 2.8</w:t>
      </w:r>
    </w:p>
    <w:p w14:paraId="2EB06F7A" w14:textId="77777777" w:rsidR="0041466A" w:rsidRPr="00360370" w:rsidRDefault="0041466A" w:rsidP="0041466A">
      <w:pPr>
        <w:pStyle w:val="Corpodetexto3"/>
        <w:rPr>
          <w:sz w:val="20"/>
          <w:szCs w:val="20"/>
          <w:highlight w:val="yellow"/>
        </w:rPr>
      </w:pPr>
    </w:p>
    <w:p w14:paraId="41B16B92" w14:textId="1BCE5712" w:rsidR="0041466A" w:rsidRPr="00286919" w:rsidRDefault="0041466A" w:rsidP="0041466A">
      <w:pPr>
        <w:pStyle w:val="Corpodetexto3"/>
        <w:rPr>
          <w:sz w:val="20"/>
          <w:szCs w:val="20"/>
        </w:rPr>
      </w:pPr>
      <w:r w:rsidRPr="00217156">
        <w:rPr>
          <w:sz w:val="20"/>
          <w:szCs w:val="20"/>
        </w:rPr>
        <w:t xml:space="preserve">Do total de gás natural produzido em </w:t>
      </w:r>
      <w:r>
        <w:rPr>
          <w:sz w:val="20"/>
          <w:szCs w:val="20"/>
        </w:rPr>
        <w:t>2025</w:t>
      </w:r>
      <w:r w:rsidRPr="00217156">
        <w:rPr>
          <w:sz w:val="20"/>
          <w:szCs w:val="20"/>
        </w:rPr>
        <w:t xml:space="preserve">, o gás associado </w:t>
      </w:r>
      <w:r>
        <w:rPr>
          <w:sz w:val="20"/>
          <w:szCs w:val="20"/>
        </w:rPr>
        <w:t>chegou ao patamar de 65,4</w:t>
      </w:r>
      <w:r w:rsidRPr="00217156">
        <w:rPr>
          <w:sz w:val="20"/>
          <w:szCs w:val="20"/>
        </w:rPr>
        <w:t xml:space="preserve"> bilhões de m³</w:t>
      </w:r>
      <w:r>
        <w:rPr>
          <w:sz w:val="20"/>
          <w:szCs w:val="20"/>
        </w:rPr>
        <w:t xml:space="preserve">, o equivalente a 90,8% do </w:t>
      </w:r>
      <w:r w:rsidRPr="00217156">
        <w:rPr>
          <w:sz w:val="20"/>
          <w:szCs w:val="20"/>
        </w:rPr>
        <w:t xml:space="preserve">volume </w:t>
      </w:r>
      <w:r>
        <w:rPr>
          <w:sz w:val="20"/>
          <w:szCs w:val="20"/>
        </w:rPr>
        <w:t>produzido, 17,7</w:t>
      </w:r>
      <w:r w:rsidRPr="00217156">
        <w:rPr>
          <w:sz w:val="20"/>
          <w:szCs w:val="20"/>
        </w:rPr>
        <w:t>%</w:t>
      </w:r>
      <w:r>
        <w:rPr>
          <w:sz w:val="20"/>
          <w:szCs w:val="20"/>
        </w:rPr>
        <w:t xml:space="preserve"> maior </w:t>
      </w:r>
      <w:r w:rsidRPr="00217156">
        <w:rPr>
          <w:sz w:val="20"/>
          <w:szCs w:val="20"/>
        </w:rPr>
        <w:t xml:space="preserve">em relação a </w:t>
      </w:r>
      <w:r>
        <w:rPr>
          <w:sz w:val="20"/>
          <w:szCs w:val="20"/>
        </w:rPr>
        <w:t>2024</w:t>
      </w:r>
      <w:r w:rsidRPr="00217156">
        <w:rPr>
          <w:sz w:val="20"/>
          <w:szCs w:val="20"/>
        </w:rPr>
        <w:t xml:space="preserve">. O Rio de Janeiro continuou liderando a produção, com </w:t>
      </w:r>
      <w:r>
        <w:rPr>
          <w:sz w:val="20"/>
          <w:szCs w:val="20"/>
        </w:rPr>
        <w:t>41,8</w:t>
      </w:r>
      <w:r w:rsidRPr="00217156">
        <w:rPr>
          <w:sz w:val="20"/>
          <w:szCs w:val="20"/>
        </w:rPr>
        <w:t xml:space="preserve"> </w:t>
      </w:r>
      <w:r w:rsidRPr="00286919">
        <w:rPr>
          <w:sz w:val="20"/>
          <w:szCs w:val="20"/>
        </w:rPr>
        <w:t>bilhões de m³ (</w:t>
      </w:r>
      <w:r>
        <w:rPr>
          <w:sz w:val="20"/>
          <w:szCs w:val="20"/>
        </w:rPr>
        <w:t>84,7</w:t>
      </w:r>
      <w:r w:rsidRPr="00286919">
        <w:rPr>
          <w:sz w:val="20"/>
          <w:szCs w:val="20"/>
        </w:rPr>
        <w:t>% do total de gás associado p</w:t>
      </w:r>
      <w:r>
        <w:rPr>
          <w:sz w:val="20"/>
          <w:szCs w:val="20"/>
        </w:rPr>
        <w:t>roduzido, registrando alta de 20,5%</w:t>
      </w:r>
      <w:r w:rsidRPr="00286919">
        <w:rPr>
          <w:sz w:val="20"/>
          <w:szCs w:val="20"/>
        </w:rPr>
        <w:t>).</w:t>
      </w:r>
    </w:p>
    <w:p w14:paraId="4E78881F" w14:textId="55EF0B34" w:rsidR="0041466A" w:rsidRPr="00286919" w:rsidRDefault="0041466A" w:rsidP="0041466A">
      <w:pPr>
        <w:pStyle w:val="Corpodetexto3"/>
        <w:rPr>
          <w:sz w:val="20"/>
          <w:szCs w:val="20"/>
        </w:rPr>
      </w:pPr>
    </w:p>
    <w:p w14:paraId="010ADD11" w14:textId="0E842B3A" w:rsidR="0041466A" w:rsidRDefault="0041466A" w:rsidP="0041466A">
      <w:pPr>
        <w:pStyle w:val="Corpodetexto3"/>
        <w:rPr>
          <w:sz w:val="20"/>
          <w:szCs w:val="20"/>
        </w:rPr>
      </w:pPr>
      <w:r w:rsidRPr="36DAC812">
        <w:rPr>
          <w:sz w:val="20"/>
          <w:szCs w:val="20"/>
        </w:rPr>
        <w:t xml:space="preserve">A produção de gás não associado alcançou </w:t>
      </w:r>
      <w:r>
        <w:rPr>
          <w:sz w:val="20"/>
          <w:szCs w:val="20"/>
        </w:rPr>
        <w:t>pouco mais de 6</w:t>
      </w:r>
      <w:r w:rsidRPr="36DAC812">
        <w:rPr>
          <w:sz w:val="20"/>
          <w:szCs w:val="20"/>
        </w:rPr>
        <w:t xml:space="preserve"> bilhões de m³ em </w:t>
      </w:r>
      <w:r>
        <w:rPr>
          <w:sz w:val="20"/>
          <w:szCs w:val="20"/>
        </w:rPr>
        <w:t>2025</w:t>
      </w:r>
      <w:r w:rsidRPr="36DAC812">
        <w:rPr>
          <w:sz w:val="20"/>
          <w:szCs w:val="20"/>
        </w:rPr>
        <w:t xml:space="preserve">, representando </w:t>
      </w:r>
      <w:r>
        <w:rPr>
          <w:sz w:val="20"/>
          <w:szCs w:val="20"/>
        </w:rPr>
        <w:t>aumento</w:t>
      </w:r>
      <w:r w:rsidRPr="36DAC812">
        <w:rPr>
          <w:sz w:val="20"/>
          <w:szCs w:val="20"/>
        </w:rPr>
        <w:t xml:space="preserve"> anual de </w:t>
      </w:r>
      <w:r>
        <w:rPr>
          <w:sz w:val="20"/>
          <w:szCs w:val="20"/>
        </w:rPr>
        <w:t>7,8</w:t>
      </w:r>
      <w:r w:rsidRPr="36DAC812">
        <w:rPr>
          <w:sz w:val="20"/>
          <w:szCs w:val="20"/>
        </w:rPr>
        <w:t xml:space="preserve">%. </w:t>
      </w:r>
      <w:r>
        <w:rPr>
          <w:sz w:val="20"/>
          <w:szCs w:val="20"/>
        </w:rPr>
        <w:t>Amazonas, Maranhão e</w:t>
      </w:r>
      <w:r w:rsidRPr="36DAC812">
        <w:rPr>
          <w:sz w:val="20"/>
          <w:szCs w:val="20"/>
        </w:rPr>
        <w:t xml:space="preserve"> </w:t>
      </w:r>
      <w:r>
        <w:rPr>
          <w:sz w:val="20"/>
          <w:szCs w:val="20"/>
        </w:rPr>
        <w:t>São Paulo</w:t>
      </w:r>
      <w:r w:rsidRPr="36DAC812">
        <w:rPr>
          <w:sz w:val="20"/>
          <w:szCs w:val="20"/>
        </w:rPr>
        <w:t xml:space="preserve"> foram os estados com maior produção deste tipo de gás:</w:t>
      </w:r>
      <w:r>
        <w:rPr>
          <w:sz w:val="20"/>
          <w:szCs w:val="20"/>
        </w:rPr>
        <w:t xml:space="preserve"> respectivamente</w:t>
      </w:r>
      <w:r w:rsidRPr="36DAC812">
        <w:rPr>
          <w:sz w:val="20"/>
          <w:szCs w:val="20"/>
        </w:rPr>
        <w:t xml:space="preserve"> 1,</w:t>
      </w:r>
      <w:r>
        <w:rPr>
          <w:sz w:val="20"/>
          <w:szCs w:val="20"/>
        </w:rPr>
        <w:t>7</w:t>
      </w:r>
      <w:r w:rsidRPr="36DAC812">
        <w:rPr>
          <w:sz w:val="20"/>
          <w:szCs w:val="20"/>
        </w:rPr>
        <w:t xml:space="preserve"> bilhão de m³ </w:t>
      </w:r>
      <w:r>
        <w:rPr>
          <w:sz w:val="20"/>
          <w:szCs w:val="20"/>
        </w:rPr>
        <w:t>(28,8</w:t>
      </w:r>
      <w:r w:rsidRPr="36DAC812">
        <w:rPr>
          <w:sz w:val="20"/>
          <w:szCs w:val="20"/>
        </w:rPr>
        <w:t>% do total de gás não associado</w:t>
      </w:r>
      <w:r>
        <w:rPr>
          <w:sz w:val="20"/>
          <w:szCs w:val="20"/>
        </w:rPr>
        <w:t>;</w:t>
      </w:r>
      <w:r w:rsidRPr="36DAC812">
        <w:rPr>
          <w:sz w:val="20"/>
          <w:szCs w:val="20"/>
        </w:rPr>
        <w:t xml:space="preserve"> </w:t>
      </w:r>
      <w:r>
        <w:rPr>
          <w:sz w:val="20"/>
          <w:szCs w:val="20"/>
        </w:rPr>
        <w:t>diminuição</w:t>
      </w:r>
      <w:r w:rsidRPr="36DAC812">
        <w:rPr>
          <w:sz w:val="20"/>
          <w:szCs w:val="20"/>
        </w:rPr>
        <w:t xml:space="preserve"> de </w:t>
      </w:r>
      <w:r>
        <w:rPr>
          <w:sz w:val="20"/>
          <w:szCs w:val="20"/>
        </w:rPr>
        <w:t>3</w:t>
      </w:r>
      <w:r w:rsidRPr="36DAC812">
        <w:rPr>
          <w:sz w:val="20"/>
          <w:szCs w:val="20"/>
        </w:rPr>
        <w:t>,</w:t>
      </w:r>
      <w:r>
        <w:rPr>
          <w:sz w:val="20"/>
          <w:szCs w:val="20"/>
        </w:rPr>
        <w:t>6</w:t>
      </w:r>
      <w:r w:rsidRPr="36DAC812">
        <w:rPr>
          <w:sz w:val="20"/>
          <w:szCs w:val="20"/>
        </w:rPr>
        <w:t>%), 1,</w:t>
      </w:r>
      <w:r>
        <w:rPr>
          <w:sz w:val="20"/>
          <w:szCs w:val="20"/>
        </w:rPr>
        <w:t>7</w:t>
      </w:r>
      <w:r w:rsidRPr="36DAC812">
        <w:rPr>
          <w:sz w:val="20"/>
          <w:szCs w:val="20"/>
        </w:rPr>
        <w:t xml:space="preserve"> bilhão (</w:t>
      </w:r>
      <w:r>
        <w:rPr>
          <w:sz w:val="20"/>
          <w:szCs w:val="20"/>
        </w:rPr>
        <w:t>28,7</w:t>
      </w:r>
      <w:r w:rsidRPr="36DAC812">
        <w:rPr>
          <w:sz w:val="20"/>
          <w:szCs w:val="20"/>
        </w:rPr>
        <w:t>% do total de gás não associado</w:t>
      </w:r>
      <w:r>
        <w:rPr>
          <w:sz w:val="20"/>
          <w:szCs w:val="20"/>
        </w:rPr>
        <w:t>;</w:t>
      </w:r>
      <w:r w:rsidRPr="36DAC812">
        <w:rPr>
          <w:sz w:val="20"/>
          <w:szCs w:val="20"/>
        </w:rPr>
        <w:t xml:space="preserve"> </w:t>
      </w:r>
      <w:r>
        <w:rPr>
          <w:sz w:val="20"/>
          <w:szCs w:val="20"/>
        </w:rPr>
        <w:t>aumento</w:t>
      </w:r>
      <w:r w:rsidRPr="36DAC812">
        <w:rPr>
          <w:sz w:val="20"/>
          <w:szCs w:val="20"/>
        </w:rPr>
        <w:t xml:space="preserve"> de </w:t>
      </w:r>
      <w:r>
        <w:rPr>
          <w:sz w:val="20"/>
          <w:szCs w:val="20"/>
        </w:rPr>
        <w:t>22,8</w:t>
      </w:r>
      <w:r w:rsidRPr="36DAC812">
        <w:rPr>
          <w:sz w:val="20"/>
          <w:szCs w:val="20"/>
        </w:rPr>
        <w:t>%) e 1,</w:t>
      </w:r>
      <w:r>
        <w:rPr>
          <w:sz w:val="20"/>
          <w:szCs w:val="20"/>
        </w:rPr>
        <w:t>1</w:t>
      </w:r>
      <w:r w:rsidRPr="36DAC812">
        <w:rPr>
          <w:sz w:val="20"/>
          <w:szCs w:val="20"/>
        </w:rPr>
        <w:t xml:space="preserve"> bilhão de m³ (</w:t>
      </w:r>
      <w:r>
        <w:rPr>
          <w:sz w:val="20"/>
          <w:szCs w:val="20"/>
        </w:rPr>
        <w:t>18,8</w:t>
      </w:r>
      <w:r w:rsidRPr="36DAC812">
        <w:rPr>
          <w:sz w:val="20"/>
          <w:szCs w:val="20"/>
        </w:rPr>
        <w:t>% do total de gás não associado</w:t>
      </w:r>
      <w:r>
        <w:rPr>
          <w:sz w:val="20"/>
          <w:szCs w:val="20"/>
        </w:rPr>
        <w:t>;</w:t>
      </w:r>
      <w:r w:rsidRPr="36DAC812">
        <w:rPr>
          <w:sz w:val="20"/>
          <w:szCs w:val="20"/>
        </w:rPr>
        <w:t xml:space="preserve"> </w:t>
      </w:r>
      <w:r>
        <w:rPr>
          <w:sz w:val="20"/>
          <w:szCs w:val="20"/>
        </w:rPr>
        <w:t>decréscimo</w:t>
      </w:r>
      <w:r w:rsidRPr="36DAC812">
        <w:rPr>
          <w:sz w:val="20"/>
          <w:szCs w:val="20"/>
        </w:rPr>
        <w:t xml:space="preserve"> de </w:t>
      </w:r>
      <w:r>
        <w:rPr>
          <w:sz w:val="20"/>
          <w:szCs w:val="20"/>
        </w:rPr>
        <w:t>5</w:t>
      </w:r>
      <w:r w:rsidRPr="36DAC812">
        <w:rPr>
          <w:sz w:val="20"/>
          <w:szCs w:val="20"/>
        </w:rPr>
        <w:t>,</w:t>
      </w:r>
      <w:r>
        <w:rPr>
          <w:sz w:val="20"/>
          <w:szCs w:val="20"/>
        </w:rPr>
        <w:t>3</w:t>
      </w:r>
      <w:r w:rsidRPr="36DAC812">
        <w:rPr>
          <w:sz w:val="20"/>
          <w:szCs w:val="20"/>
        </w:rPr>
        <w:t>%).</w:t>
      </w:r>
    </w:p>
    <w:p w14:paraId="7F1739A1" w14:textId="77777777" w:rsidR="00A95E16" w:rsidRPr="00286919" w:rsidRDefault="00A95E16" w:rsidP="0041466A">
      <w:pPr>
        <w:pStyle w:val="Corpodetexto3"/>
        <w:rPr>
          <w:sz w:val="20"/>
          <w:szCs w:val="20"/>
        </w:rPr>
      </w:pPr>
    </w:p>
    <w:p w14:paraId="698CC4F0" w14:textId="2DFD7218" w:rsidR="0041466A" w:rsidRPr="00861C78" w:rsidRDefault="0041466A" w:rsidP="0041466A">
      <w:pPr>
        <w:pStyle w:val="Corpodetexto3"/>
        <w:rPr>
          <w:sz w:val="20"/>
          <w:szCs w:val="20"/>
        </w:rPr>
      </w:pPr>
      <w:r w:rsidRPr="006C1630">
        <w:rPr>
          <w:sz w:val="20"/>
          <w:szCs w:val="20"/>
        </w:rPr>
        <w:t xml:space="preserve">Em </w:t>
      </w:r>
      <w:r>
        <w:rPr>
          <w:sz w:val="20"/>
          <w:szCs w:val="20"/>
        </w:rPr>
        <w:t>2025</w:t>
      </w:r>
      <w:r w:rsidRPr="006C1630">
        <w:rPr>
          <w:sz w:val="20"/>
          <w:szCs w:val="20"/>
        </w:rPr>
        <w:t xml:space="preserve">, </w:t>
      </w:r>
      <w:r>
        <w:rPr>
          <w:sz w:val="20"/>
          <w:szCs w:val="20"/>
        </w:rPr>
        <w:t>2,8</w:t>
      </w:r>
      <w:r w:rsidRPr="006C1630">
        <w:rPr>
          <w:sz w:val="20"/>
          <w:szCs w:val="20"/>
        </w:rPr>
        <w:t>% da produção total fo</w:t>
      </w:r>
      <w:r>
        <w:rPr>
          <w:sz w:val="20"/>
          <w:szCs w:val="20"/>
        </w:rPr>
        <w:t xml:space="preserve">i </w:t>
      </w:r>
      <w:r w:rsidRPr="006C1630">
        <w:rPr>
          <w:sz w:val="20"/>
          <w:szCs w:val="20"/>
        </w:rPr>
        <w:t xml:space="preserve">queimada ou perdida, e </w:t>
      </w:r>
      <w:r>
        <w:rPr>
          <w:sz w:val="20"/>
          <w:szCs w:val="20"/>
        </w:rPr>
        <w:t>54,4</w:t>
      </w:r>
      <w:r w:rsidRPr="006C1630">
        <w:rPr>
          <w:sz w:val="20"/>
          <w:szCs w:val="20"/>
        </w:rPr>
        <w:t xml:space="preserve">%, reinjetada. Em comparação a </w:t>
      </w:r>
      <w:r>
        <w:rPr>
          <w:sz w:val="20"/>
          <w:szCs w:val="20"/>
        </w:rPr>
        <w:t>2024</w:t>
      </w:r>
      <w:r w:rsidRPr="006C1630">
        <w:rPr>
          <w:sz w:val="20"/>
          <w:szCs w:val="20"/>
        </w:rPr>
        <w:t xml:space="preserve">, o volume de </w:t>
      </w:r>
      <w:r>
        <w:rPr>
          <w:sz w:val="20"/>
          <w:szCs w:val="20"/>
        </w:rPr>
        <w:t>queimas e perdas teve aumento de 16,7</w:t>
      </w:r>
      <w:r w:rsidRPr="006C1630">
        <w:rPr>
          <w:sz w:val="20"/>
          <w:szCs w:val="20"/>
        </w:rPr>
        <w:t xml:space="preserve">% e </w:t>
      </w:r>
      <w:r>
        <w:rPr>
          <w:sz w:val="20"/>
          <w:szCs w:val="20"/>
        </w:rPr>
        <w:t>o</w:t>
      </w:r>
      <w:r w:rsidRPr="006C1630">
        <w:rPr>
          <w:sz w:val="20"/>
          <w:szCs w:val="20"/>
        </w:rPr>
        <w:t xml:space="preserve"> de reinjeção </w:t>
      </w:r>
      <w:r>
        <w:rPr>
          <w:sz w:val="20"/>
          <w:szCs w:val="20"/>
        </w:rPr>
        <w:t>cresceu 16,9</w:t>
      </w:r>
      <w:r w:rsidRPr="006C1630">
        <w:rPr>
          <w:sz w:val="20"/>
          <w:szCs w:val="20"/>
        </w:rPr>
        <w:t xml:space="preserve">%. </w:t>
      </w:r>
      <w:r w:rsidRPr="00861C78">
        <w:rPr>
          <w:sz w:val="20"/>
          <w:szCs w:val="20"/>
        </w:rPr>
        <w:t xml:space="preserve">O aproveitamento do gás natural produzido alcançou </w:t>
      </w:r>
      <w:r>
        <w:rPr>
          <w:sz w:val="20"/>
          <w:szCs w:val="20"/>
        </w:rPr>
        <w:t>42,8</w:t>
      </w:r>
      <w:r w:rsidRPr="00861C78">
        <w:rPr>
          <w:sz w:val="20"/>
          <w:szCs w:val="20"/>
        </w:rPr>
        <w:t xml:space="preserve">% em </w:t>
      </w:r>
      <w:r>
        <w:rPr>
          <w:sz w:val="20"/>
          <w:szCs w:val="20"/>
        </w:rPr>
        <w:t>2025</w:t>
      </w:r>
      <w:r w:rsidRPr="00861C78">
        <w:rPr>
          <w:sz w:val="20"/>
          <w:szCs w:val="20"/>
        </w:rPr>
        <w:t>.</w:t>
      </w:r>
    </w:p>
    <w:p w14:paraId="586C1F70" w14:textId="77777777" w:rsidR="0041466A" w:rsidRPr="00360370" w:rsidRDefault="0041466A" w:rsidP="0041466A">
      <w:pPr>
        <w:pStyle w:val="Corpodetexto3"/>
        <w:rPr>
          <w:sz w:val="20"/>
          <w:szCs w:val="20"/>
          <w:highlight w:val="yellow"/>
        </w:rPr>
      </w:pPr>
    </w:p>
    <w:p w14:paraId="46FEF197"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20</w:t>
      </w:r>
    </w:p>
    <w:p w14:paraId="3D8708E5"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21</w:t>
      </w:r>
    </w:p>
    <w:p w14:paraId="006D0745"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22</w:t>
      </w:r>
    </w:p>
    <w:p w14:paraId="71BC9FE1" w14:textId="77777777" w:rsidR="0041466A" w:rsidRDefault="0041466A" w:rsidP="0041466A">
      <w:pPr>
        <w:autoSpaceDE w:val="0"/>
        <w:autoSpaceDN w:val="0"/>
        <w:adjustRightInd w:val="0"/>
        <w:jc w:val="both"/>
        <w:rPr>
          <w:rFonts w:ascii="Arial" w:hAnsi="Arial" w:cs="Arial"/>
          <w:b/>
          <w:bCs/>
        </w:rPr>
      </w:pPr>
    </w:p>
    <w:p w14:paraId="6C4E7552" w14:textId="77777777" w:rsidR="0041466A" w:rsidRDefault="0041466A" w:rsidP="0041466A">
      <w:pPr>
        <w:autoSpaceDE w:val="0"/>
        <w:autoSpaceDN w:val="0"/>
        <w:adjustRightInd w:val="0"/>
        <w:jc w:val="both"/>
        <w:rPr>
          <w:rFonts w:ascii="Arial" w:hAnsi="Arial" w:cs="Arial"/>
          <w:b/>
          <w:bCs/>
        </w:rPr>
      </w:pPr>
    </w:p>
    <w:p w14:paraId="18F7B677" w14:textId="2B38B78E" w:rsidR="0041466A" w:rsidRDefault="0041466A" w:rsidP="0041466A">
      <w:pPr>
        <w:autoSpaceDE w:val="0"/>
        <w:autoSpaceDN w:val="0"/>
        <w:adjustRightInd w:val="0"/>
        <w:jc w:val="both"/>
        <w:rPr>
          <w:rFonts w:ascii="Arial" w:hAnsi="Arial" w:cs="Arial"/>
          <w:b/>
          <w:bCs/>
        </w:rPr>
      </w:pPr>
      <w:r>
        <w:rPr>
          <w:rFonts w:ascii="Arial" w:hAnsi="Arial" w:cs="Arial"/>
          <w:b/>
          <w:bCs/>
        </w:rPr>
        <w:t>2.</w:t>
      </w:r>
      <w:r w:rsidR="0030700A">
        <w:rPr>
          <w:rFonts w:ascii="Arial" w:hAnsi="Arial" w:cs="Arial"/>
          <w:b/>
          <w:bCs/>
        </w:rPr>
        <w:t>1.</w:t>
      </w:r>
      <w:r>
        <w:rPr>
          <w:rFonts w:ascii="Arial" w:hAnsi="Arial" w:cs="Arial"/>
          <w:b/>
          <w:bCs/>
        </w:rPr>
        <w:t>5 A</w:t>
      </w:r>
      <w:r w:rsidR="0030700A">
        <w:rPr>
          <w:rFonts w:ascii="Arial" w:hAnsi="Arial" w:cs="Arial"/>
          <w:b/>
          <w:bCs/>
        </w:rPr>
        <w:t>ções de fiscalização e comunicação de incidentes nas atividades de exploração e produção</w:t>
      </w:r>
    </w:p>
    <w:p w14:paraId="721FA774" w14:textId="77777777" w:rsidR="0041466A" w:rsidRDefault="0041466A" w:rsidP="0041466A">
      <w:pPr>
        <w:autoSpaceDE w:val="0"/>
        <w:autoSpaceDN w:val="0"/>
        <w:adjustRightInd w:val="0"/>
        <w:jc w:val="both"/>
        <w:rPr>
          <w:rFonts w:ascii="Arial" w:hAnsi="Arial" w:cs="Arial"/>
          <w:b/>
          <w:bCs/>
        </w:rPr>
      </w:pPr>
    </w:p>
    <w:p w14:paraId="078D34E6" w14:textId="41D8EEB4" w:rsidR="0041466A" w:rsidRPr="005E19E0" w:rsidRDefault="0041466A" w:rsidP="00C37F28">
      <w:pPr>
        <w:autoSpaceDE w:val="0"/>
        <w:autoSpaceDN w:val="0"/>
        <w:adjustRightInd w:val="0"/>
        <w:jc w:val="both"/>
        <w:rPr>
          <w:rFonts w:ascii="Arial" w:eastAsia="Arial" w:hAnsi="Arial" w:cs="Arial"/>
        </w:rPr>
      </w:pPr>
      <w:r w:rsidRPr="00AF28F7">
        <w:rPr>
          <w:rFonts w:ascii="Arial" w:eastAsia="Arial" w:hAnsi="Arial" w:cs="Arial"/>
        </w:rPr>
        <w:t>A fiscalização de segurança operacional das</w:t>
      </w:r>
      <w:r>
        <w:rPr>
          <w:rFonts w:ascii="Arial" w:eastAsia="Arial" w:hAnsi="Arial" w:cs="Arial"/>
        </w:rPr>
        <w:t xml:space="preserve"> </w:t>
      </w:r>
      <w:r w:rsidRPr="00AF28F7">
        <w:rPr>
          <w:rFonts w:ascii="Arial" w:eastAsia="Arial" w:hAnsi="Arial" w:cs="Arial"/>
        </w:rPr>
        <w:t>atividades de exploração e produção (E&amp;P) no</w:t>
      </w:r>
      <w:r>
        <w:rPr>
          <w:rFonts w:ascii="Arial" w:eastAsia="Arial" w:hAnsi="Arial" w:cs="Arial"/>
        </w:rPr>
        <w:t xml:space="preserve"> </w:t>
      </w:r>
      <w:r w:rsidRPr="00AF28F7">
        <w:rPr>
          <w:rFonts w:ascii="Arial" w:eastAsia="Arial" w:hAnsi="Arial" w:cs="Arial"/>
        </w:rPr>
        <w:t>Brasil possui caráter preventivo e é executada</w:t>
      </w:r>
      <w:r>
        <w:rPr>
          <w:rFonts w:ascii="Arial" w:eastAsia="Arial" w:hAnsi="Arial" w:cs="Arial"/>
        </w:rPr>
        <w:t xml:space="preserve"> </w:t>
      </w:r>
      <w:r w:rsidRPr="00AF28F7">
        <w:rPr>
          <w:rFonts w:ascii="Arial" w:eastAsia="Arial" w:hAnsi="Arial" w:cs="Arial"/>
        </w:rPr>
        <w:t>por meio de auditorias que avaliam – de acordo</w:t>
      </w:r>
      <w:r>
        <w:rPr>
          <w:rFonts w:ascii="Arial" w:eastAsia="Arial" w:hAnsi="Arial" w:cs="Arial"/>
        </w:rPr>
        <w:t xml:space="preserve"> </w:t>
      </w:r>
      <w:r w:rsidRPr="00AF28F7">
        <w:rPr>
          <w:rFonts w:ascii="Arial" w:eastAsia="Arial" w:hAnsi="Arial" w:cs="Arial"/>
        </w:rPr>
        <w:t>com o procedimento da Resolução ANP</w:t>
      </w:r>
      <w:r>
        <w:rPr>
          <w:rFonts w:ascii="Arial" w:eastAsia="Arial" w:hAnsi="Arial" w:cs="Arial"/>
        </w:rPr>
        <w:t xml:space="preserve"> </w:t>
      </w:r>
      <w:r w:rsidRPr="00AF28F7">
        <w:rPr>
          <w:rFonts w:ascii="Arial" w:eastAsia="Arial" w:hAnsi="Arial" w:cs="Arial"/>
        </w:rPr>
        <w:t>nº 851/</w:t>
      </w:r>
      <w:r w:rsidR="00D92465">
        <w:rPr>
          <w:rFonts w:ascii="Arial" w:eastAsia="Arial" w:hAnsi="Arial" w:cs="Arial"/>
        </w:rPr>
        <w:t>2021</w:t>
      </w:r>
      <w:r w:rsidR="00D92465" w:rsidRPr="00AF28F7">
        <w:rPr>
          <w:rFonts w:ascii="Arial" w:eastAsia="Arial" w:hAnsi="Arial" w:cs="Arial"/>
        </w:rPr>
        <w:t xml:space="preserve"> </w:t>
      </w:r>
      <w:r w:rsidRPr="00AF28F7">
        <w:rPr>
          <w:rFonts w:ascii="Arial" w:eastAsia="Arial" w:hAnsi="Arial" w:cs="Arial"/>
        </w:rPr>
        <w:t>– a eficácia do sistema de gestão</w:t>
      </w:r>
      <w:r>
        <w:rPr>
          <w:rFonts w:ascii="Arial" w:eastAsia="Arial" w:hAnsi="Arial" w:cs="Arial"/>
        </w:rPr>
        <w:t xml:space="preserve"> </w:t>
      </w:r>
      <w:r w:rsidRPr="00AF28F7">
        <w:rPr>
          <w:rFonts w:ascii="Arial" w:eastAsia="Arial" w:hAnsi="Arial" w:cs="Arial"/>
        </w:rPr>
        <w:t>da segurança operacional</w:t>
      </w:r>
      <w:r w:rsidR="00C37F28">
        <w:rPr>
          <w:rFonts w:ascii="Arial" w:eastAsia="Arial" w:hAnsi="Arial" w:cs="Arial"/>
        </w:rPr>
        <w:t>.</w:t>
      </w:r>
    </w:p>
    <w:p w14:paraId="4F33072A" w14:textId="77777777" w:rsidR="0041466A" w:rsidRPr="005E19E0" w:rsidRDefault="0041466A" w:rsidP="0041466A">
      <w:pPr>
        <w:autoSpaceDE w:val="0"/>
        <w:autoSpaceDN w:val="0"/>
        <w:adjustRightInd w:val="0"/>
        <w:jc w:val="both"/>
        <w:rPr>
          <w:rFonts w:ascii="Arial" w:eastAsia="Arial" w:hAnsi="Arial" w:cs="Arial"/>
        </w:rPr>
      </w:pPr>
      <w:r>
        <w:rPr>
          <w:rFonts w:ascii="Arial" w:eastAsia="Arial" w:hAnsi="Arial" w:cs="Arial"/>
        </w:rPr>
        <w:t xml:space="preserve"> </w:t>
      </w:r>
    </w:p>
    <w:p w14:paraId="027298CD" w14:textId="2CD819B7" w:rsidR="00C37F28" w:rsidRDefault="00C37F28" w:rsidP="00C37F28">
      <w:pPr>
        <w:autoSpaceDE w:val="0"/>
        <w:autoSpaceDN w:val="0"/>
        <w:adjustRightInd w:val="0"/>
        <w:jc w:val="both"/>
        <w:rPr>
          <w:rFonts w:ascii="Arial" w:eastAsia="Arial" w:hAnsi="Arial" w:cs="Arial"/>
        </w:rPr>
      </w:pPr>
      <w:r w:rsidRPr="00C37F28">
        <w:rPr>
          <w:rFonts w:ascii="Arial" w:eastAsia="Arial" w:hAnsi="Arial" w:cs="Arial"/>
        </w:rPr>
        <w:t xml:space="preserve">O </w:t>
      </w:r>
      <w:r>
        <w:rPr>
          <w:rFonts w:ascii="Arial" w:eastAsia="Arial" w:hAnsi="Arial" w:cs="Arial"/>
        </w:rPr>
        <w:t>r</w:t>
      </w:r>
      <w:r w:rsidRPr="00C37F28">
        <w:rPr>
          <w:rFonts w:ascii="Arial" w:eastAsia="Arial" w:hAnsi="Arial" w:cs="Arial"/>
        </w:rPr>
        <w:t xml:space="preserve">egime de </w:t>
      </w:r>
      <w:r>
        <w:rPr>
          <w:rFonts w:ascii="Arial" w:eastAsia="Arial" w:hAnsi="Arial" w:cs="Arial"/>
        </w:rPr>
        <w:t>s</w:t>
      </w:r>
      <w:r w:rsidRPr="00C37F28">
        <w:rPr>
          <w:rFonts w:ascii="Arial" w:eastAsia="Arial" w:hAnsi="Arial" w:cs="Arial"/>
        </w:rPr>
        <w:t xml:space="preserve">egurança </w:t>
      </w:r>
      <w:r>
        <w:rPr>
          <w:rFonts w:ascii="Arial" w:eastAsia="Arial" w:hAnsi="Arial" w:cs="Arial"/>
        </w:rPr>
        <w:t>o</w:t>
      </w:r>
      <w:r w:rsidRPr="00C37F28">
        <w:rPr>
          <w:rFonts w:ascii="Arial" w:eastAsia="Arial" w:hAnsi="Arial" w:cs="Arial"/>
        </w:rPr>
        <w:t>peracional visa incentivar o uso das melhores práticas de engenharia e de segurança operacional para reduzir acidentes operacionais, promovendo a proteção da vida humana, do meio ambiente e dos ativos.</w:t>
      </w:r>
    </w:p>
    <w:p w14:paraId="25C5CD8E" w14:textId="77777777" w:rsidR="00C37F28" w:rsidRPr="00C37F28" w:rsidRDefault="00C37F28" w:rsidP="00C37F28">
      <w:pPr>
        <w:autoSpaceDE w:val="0"/>
        <w:autoSpaceDN w:val="0"/>
        <w:adjustRightInd w:val="0"/>
        <w:jc w:val="both"/>
        <w:rPr>
          <w:rFonts w:ascii="Arial" w:eastAsia="Arial" w:hAnsi="Arial" w:cs="Arial"/>
        </w:rPr>
      </w:pPr>
    </w:p>
    <w:p w14:paraId="015C9245" w14:textId="2E0E305B" w:rsidR="00C37F28" w:rsidRDefault="00C37F28" w:rsidP="00C37F28">
      <w:pPr>
        <w:autoSpaceDE w:val="0"/>
        <w:autoSpaceDN w:val="0"/>
        <w:adjustRightInd w:val="0"/>
        <w:jc w:val="both"/>
        <w:rPr>
          <w:rFonts w:ascii="Arial" w:eastAsia="Arial" w:hAnsi="Arial" w:cs="Arial"/>
        </w:rPr>
      </w:pPr>
      <w:r w:rsidRPr="00C37F28">
        <w:rPr>
          <w:rFonts w:ascii="Arial" w:eastAsia="Arial" w:hAnsi="Arial" w:cs="Arial"/>
        </w:rPr>
        <w:lastRenderedPageBreak/>
        <w:t>Os operadores de contrato devem evidenciar que os riscos das operações estão controlados, assumindo inteira responsabilidade quanto à plena conformidade das condições de segurança operacional de seus ativos, com os requisitos contidos nas regulações e respectivos regulamentos técnicos de segurança das operações de E&amp;P estabelecidos pela ANP.</w:t>
      </w:r>
    </w:p>
    <w:p w14:paraId="48F9CBE9" w14:textId="77777777" w:rsidR="00C37F28" w:rsidRPr="00C37F28" w:rsidRDefault="00C37F28" w:rsidP="00C37F28">
      <w:pPr>
        <w:autoSpaceDE w:val="0"/>
        <w:autoSpaceDN w:val="0"/>
        <w:adjustRightInd w:val="0"/>
        <w:jc w:val="both"/>
        <w:rPr>
          <w:rFonts w:ascii="Arial" w:eastAsia="Arial" w:hAnsi="Arial" w:cs="Arial"/>
        </w:rPr>
      </w:pPr>
    </w:p>
    <w:p w14:paraId="57641179" w14:textId="131DB0DF" w:rsidR="00C37F28" w:rsidRPr="00C37F28" w:rsidRDefault="00C37F28" w:rsidP="00C37F28">
      <w:pPr>
        <w:autoSpaceDE w:val="0"/>
        <w:autoSpaceDN w:val="0"/>
        <w:adjustRightInd w:val="0"/>
        <w:jc w:val="both"/>
        <w:rPr>
          <w:rFonts w:ascii="Arial" w:eastAsia="Arial" w:hAnsi="Arial" w:cs="Arial"/>
        </w:rPr>
      </w:pPr>
      <w:r w:rsidRPr="00C37F28">
        <w:rPr>
          <w:rFonts w:ascii="Arial" w:eastAsia="Arial" w:hAnsi="Arial" w:cs="Arial"/>
        </w:rPr>
        <w:t>Para isso, são feitas auditorias em instalações de produção, armazenamento e transferência, como plataformas, sondas, bombas, tanques, entre outros.</w:t>
      </w:r>
    </w:p>
    <w:p w14:paraId="21534826" w14:textId="77777777" w:rsidR="00C37F28" w:rsidRDefault="00C37F28" w:rsidP="0041466A">
      <w:pPr>
        <w:autoSpaceDE w:val="0"/>
        <w:autoSpaceDN w:val="0"/>
        <w:adjustRightInd w:val="0"/>
        <w:jc w:val="both"/>
        <w:rPr>
          <w:rFonts w:ascii="Arial" w:eastAsia="Arial" w:hAnsi="Arial" w:cs="Arial"/>
        </w:rPr>
      </w:pPr>
    </w:p>
    <w:p w14:paraId="7FE08444" w14:textId="75172543" w:rsidR="00C2013D" w:rsidRDefault="0041466A" w:rsidP="0041466A">
      <w:pPr>
        <w:autoSpaceDE w:val="0"/>
        <w:autoSpaceDN w:val="0"/>
        <w:adjustRightInd w:val="0"/>
        <w:jc w:val="both"/>
        <w:rPr>
          <w:rFonts w:ascii="Arial" w:eastAsia="Arial" w:hAnsi="Arial" w:cs="Arial"/>
        </w:rPr>
      </w:pPr>
      <w:r w:rsidRPr="00AF28F7">
        <w:rPr>
          <w:rFonts w:ascii="Arial" w:eastAsia="Arial" w:hAnsi="Arial" w:cs="Arial"/>
        </w:rPr>
        <w:t xml:space="preserve">Em </w:t>
      </w:r>
      <w:r>
        <w:rPr>
          <w:rFonts w:ascii="Arial" w:eastAsia="Arial" w:hAnsi="Arial" w:cs="Arial"/>
        </w:rPr>
        <w:t>2025</w:t>
      </w:r>
      <w:r w:rsidRPr="00AF28F7">
        <w:rPr>
          <w:rFonts w:ascii="Arial" w:eastAsia="Arial" w:hAnsi="Arial" w:cs="Arial"/>
        </w:rPr>
        <w:t xml:space="preserve">, foram realizadas </w:t>
      </w:r>
      <w:r>
        <w:rPr>
          <w:rFonts w:ascii="Arial" w:eastAsia="Arial" w:hAnsi="Arial" w:cs="Arial"/>
        </w:rPr>
        <w:t>47</w:t>
      </w:r>
      <w:r w:rsidRPr="00AF28F7">
        <w:rPr>
          <w:rFonts w:ascii="Arial" w:eastAsia="Arial" w:hAnsi="Arial" w:cs="Arial"/>
        </w:rPr>
        <w:t xml:space="preserve"> ações de fiscalização</w:t>
      </w:r>
      <w:r>
        <w:rPr>
          <w:rFonts w:ascii="Arial" w:eastAsia="Arial" w:hAnsi="Arial" w:cs="Arial"/>
        </w:rPr>
        <w:t xml:space="preserve"> </w:t>
      </w:r>
      <w:r w:rsidRPr="00AF28F7">
        <w:rPr>
          <w:rFonts w:ascii="Arial" w:eastAsia="Arial" w:hAnsi="Arial" w:cs="Arial"/>
        </w:rPr>
        <w:t xml:space="preserve">de segurança operacional </w:t>
      </w:r>
      <w:r w:rsidR="00C2013D">
        <w:rPr>
          <w:rFonts w:ascii="Arial" w:eastAsia="Arial" w:hAnsi="Arial" w:cs="Arial"/>
        </w:rPr>
        <w:t>em</w:t>
      </w:r>
      <w:r w:rsidR="00C2013D" w:rsidRPr="00AF28F7">
        <w:rPr>
          <w:rFonts w:ascii="Arial" w:eastAsia="Arial" w:hAnsi="Arial" w:cs="Arial"/>
        </w:rPr>
        <w:t xml:space="preserve"> </w:t>
      </w:r>
      <w:r w:rsidRPr="00AF28F7">
        <w:rPr>
          <w:rFonts w:ascii="Arial" w:eastAsia="Arial" w:hAnsi="Arial" w:cs="Arial"/>
        </w:rPr>
        <w:t>atividades</w:t>
      </w:r>
      <w:r>
        <w:rPr>
          <w:rFonts w:ascii="Arial" w:eastAsia="Arial" w:hAnsi="Arial" w:cs="Arial"/>
        </w:rPr>
        <w:t xml:space="preserve"> </w:t>
      </w:r>
      <w:r w:rsidRPr="00AF28F7">
        <w:rPr>
          <w:rFonts w:ascii="Arial" w:eastAsia="Arial" w:hAnsi="Arial" w:cs="Arial"/>
        </w:rPr>
        <w:t>de E&amp;P</w:t>
      </w:r>
      <w:r>
        <w:rPr>
          <w:rFonts w:ascii="Arial" w:eastAsia="Arial" w:hAnsi="Arial" w:cs="Arial"/>
        </w:rPr>
        <w:t xml:space="preserve">, sendo 38 </w:t>
      </w:r>
      <w:r>
        <w:rPr>
          <w:rFonts w:ascii="Arial" w:eastAsia="Arial" w:hAnsi="Arial" w:cs="Arial"/>
          <w:i/>
          <w:iCs/>
        </w:rPr>
        <w:t xml:space="preserve">offshore </w:t>
      </w:r>
      <w:r>
        <w:rPr>
          <w:rFonts w:ascii="Arial" w:eastAsia="Arial" w:hAnsi="Arial" w:cs="Arial"/>
        </w:rPr>
        <w:t xml:space="preserve">e 9 </w:t>
      </w:r>
      <w:r>
        <w:rPr>
          <w:rFonts w:ascii="Arial" w:eastAsia="Arial" w:hAnsi="Arial" w:cs="Arial"/>
          <w:i/>
          <w:iCs/>
        </w:rPr>
        <w:t>onshore</w:t>
      </w:r>
      <w:r>
        <w:rPr>
          <w:rFonts w:ascii="Arial" w:eastAsia="Arial" w:hAnsi="Arial" w:cs="Arial"/>
        </w:rPr>
        <w:t>. Como resultado dessas ações, houve 197 autuações e 21 interdições.</w:t>
      </w:r>
    </w:p>
    <w:p w14:paraId="13AF8058" w14:textId="77777777" w:rsidR="00C2013D" w:rsidRDefault="00C2013D" w:rsidP="0041466A">
      <w:pPr>
        <w:autoSpaceDE w:val="0"/>
        <w:autoSpaceDN w:val="0"/>
        <w:adjustRightInd w:val="0"/>
        <w:jc w:val="both"/>
        <w:rPr>
          <w:rFonts w:ascii="Arial" w:eastAsia="Arial" w:hAnsi="Arial" w:cs="Arial"/>
        </w:rPr>
      </w:pPr>
    </w:p>
    <w:p w14:paraId="73A6A528" w14:textId="2F776D79" w:rsidR="0041466A" w:rsidRPr="005E19E0" w:rsidRDefault="0041466A" w:rsidP="0041466A">
      <w:pPr>
        <w:autoSpaceDE w:val="0"/>
        <w:autoSpaceDN w:val="0"/>
        <w:adjustRightInd w:val="0"/>
        <w:jc w:val="both"/>
        <w:rPr>
          <w:rFonts w:ascii="Arial" w:eastAsia="Arial" w:hAnsi="Arial" w:cs="Arial"/>
        </w:rPr>
      </w:pPr>
      <w:r w:rsidRPr="00AF28F7">
        <w:rPr>
          <w:rFonts w:ascii="Arial" w:eastAsia="Arial" w:hAnsi="Arial" w:cs="Arial"/>
        </w:rPr>
        <w:t>Os desvios em relação</w:t>
      </w:r>
      <w:r>
        <w:rPr>
          <w:rFonts w:ascii="Arial" w:eastAsia="Arial" w:hAnsi="Arial" w:cs="Arial"/>
        </w:rPr>
        <w:t xml:space="preserve"> </w:t>
      </w:r>
      <w:r w:rsidRPr="00AF28F7">
        <w:rPr>
          <w:rFonts w:ascii="Arial" w:eastAsia="Arial" w:hAnsi="Arial" w:cs="Arial"/>
        </w:rPr>
        <w:t>aos requisitos dos regulamentos técnicos</w:t>
      </w:r>
      <w:r>
        <w:rPr>
          <w:rFonts w:ascii="Arial" w:eastAsia="Arial" w:hAnsi="Arial" w:cs="Arial"/>
        </w:rPr>
        <w:t xml:space="preserve"> </w:t>
      </w:r>
      <w:r w:rsidRPr="00AF28F7">
        <w:rPr>
          <w:rFonts w:ascii="Arial" w:eastAsia="Arial" w:hAnsi="Arial" w:cs="Arial"/>
        </w:rPr>
        <w:t xml:space="preserve">são registrados </w:t>
      </w:r>
      <w:r>
        <w:rPr>
          <w:rFonts w:ascii="Arial" w:eastAsia="Arial" w:hAnsi="Arial" w:cs="Arial"/>
        </w:rPr>
        <w:t>como</w:t>
      </w:r>
      <w:r w:rsidRPr="00AF28F7">
        <w:rPr>
          <w:rFonts w:ascii="Arial" w:eastAsia="Arial" w:hAnsi="Arial" w:cs="Arial"/>
        </w:rPr>
        <w:t xml:space="preserve"> não conformidades, podendo</w:t>
      </w:r>
      <w:r>
        <w:rPr>
          <w:rFonts w:ascii="Arial" w:eastAsia="Arial" w:hAnsi="Arial" w:cs="Arial"/>
        </w:rPr>
        <w:t xml:space="preserve"> </w:t>
      </w:r>
      <w:r w:rsidRPr="00AF28F7">
        <w:rPr>
          <w:rFonts w:ascii="Arial" w:eastAsia="Arial" w:hAnsi="Arial" w:cs="Arial"/>
        </w:rPr>
        <w:t>resultar em autuações ou interdições.</w:t>
      </w:r>
      <w:r>
        <w:rPr>
          <w:rFonts w:ascii="Arial" w:eastAsia="Arial" w:hAnsi="Arial" w:cs="Arial"/>
        </w:rPr>
        <w:t xml:space="preserve"> </w:t>
      </w:r>
      <w:r w:rsidRPr="00AF28F7">
        <w:rPr>
          <w:rFonts w:ascii="Arial" w:eastAsia="Arial" w:hAnsi="Arial" w:cs="Arial"/>
        </w:rPr>
        <w:t>Não conformidades críticas são lavradas devido</w:t>
      </w:r>
      <w:r>
        <w:rPr>
          <w:rFonts w:ascii="Arial" w:eastAsia="Arial" w:hAnsi="Arial" w:cs="Arial"/>
        </w:rPr>
        <w:t xml:space="preserve"> </w:t>
      </w:r>
      <w:r w:rsidRPr="00AF28F7">
        <w:rPr>
          <w:rFonts w:ascii="Arial" w:eastAsia="Arial" w:hAnsi="Arial" w:cs="Arial"/>
        </w:rPr>
        <w:t>a situações de risco grave e iminente</w:t>
      </w:r>
      <w:r>
        <w:rPr>
          <w:rFonts w:ascii="Arial" w:eastAsia="Arial" w:hAnsi="Arial" w:cs="Arial"/>
        </w:rPr>
        <w:t xml:space="preserve"> </w:t>
      </w:r>
      <w:r w:rsidRPr="00AF28F7">
        <w:rPr>
          <w:rFonts w:ascii="Arial" w:eastAsia="Arial" w:hAnsi="Arial" w:cs="Arial"/>
        </w:rPr>
        <w:t>e resultam na interdição total ou parcial da</w:t>
      </w:r>
      <w:r>
        <w:rPr>
          <w:rFonts w:ascii="Arial" w:eastAsia="Arial" w:hAnsi="Arial" w:cs="Arial"/>
        </w:rPr>
        <w:t xml:space="preserve"> </w:t>
      </w:r>
      <w:r w:rsidRPr="00AF28F7">
        <w:rPr>
          <w:rFonts w:ascii="Arial" w:eastAsia="Arial" w:hAnsi="Arial" w:cs="Arial"/>
        </w:rPr>
        <w:t>instalação ou unidade operacional auditada</w:t>
      </w:r>
      <w:r w:rsidRPr="36DAC812">
        <w:rPr>
          <w:rFonts w:ascii="Arial" w:hAnsi="Arial" w:cs="Arial"/>
        </w:rPr>
        <w:t>.</w:t>
      </w:r>
    </w:p>
    <w:p w14:paraId="5B1AD3A2" w14:textId="77777777" w:rsidR="0041466A" w:rsidRPr="005E19E0" w:rsidRDefault="0041466A" w:rsidP="0041466A">
      <w:pPr>
        <w:autoSpaceDE w:val="0"/>
        <w:autoSpaceDN w:val="0"/>
        <w:adjustRightInd w:val="0"/>
        <w:jc w:val="both"/>
        <w:rPr>
          <w:rFonts w:ascii="Arial" w:hAnsi="Arial" w:cs="Arial"/>
        </w:rPr>
      </w:pPr>
    </w:p>
    <w:p w14:paraId="2F35E178" w14:textId="6F42BAC4" w:rsidR="0041466A" w:rsidRPr="005E19E0" w:rsidRDefault="0041466A" w:rsidP="0041466A">
      <w:pPr>
        <w:autoSpaceDE w:val="0"/>
        <w:autoSpaceDN w:val="0"/>
        <w:adjustRightInd w:val="0"/>
        <w:jc w:val="both"/>
        <w:rPr>
          <w:rFonts w:ascii="Arial" w:hAnsi="Arial" w:cs="Arial"/>
        </w:rPr>
      </w:pPr>
      <w:r w:rsidRPr="36DAC812">
        <w:rPr>
          <w:rFonts w:ascii="Arial" w:hAnsi="Arial" w:cs="Arial"/>
        </w:rPr>
        <w:t>A comunicação à ANP de incidentes ocorridos em instalações de operadores de contrato de exploração e produção de petróleo e gás natural deve ser feita de acordo com a Resolução ANP nº 882/</w:t>
      </w:r>
      <w:r w:rsidR="00D92465">
        <w:rPr>
          <w:rFonts w:ascii="Arial" w:hAnsi="Arial" w:cs="Arial"/>
        </w:rPr>
        <w:t>2022</w:t>
      </w:r>
      <w:r w:rsidRPr="36DAC812">
        <w:rPr>
          <w:rFonts w:ascii="Arial" w:hAnsi="Arial" w:cs="Arial"/>
        </w:rPr>
        <w:t xml:space="preserve">. Em </w:t>
      </w:r>
      <w:r>
        <w:rPr>
          <w:rFonts w:ascii="Arial" w:hAnsi="Arial" w:cs="Arial"/>
        </w:rPr>
        <w:t>2025</w:t>
      </w:r>
      <w:r w:rsidRPr="36DAC812">
        <w:rPr>
          <w:rFonts w:ascii="Arial" w:hAnsi="Arial" w:cs="Arial"/>
        </w:rPr>
        <w:t>, foram comunicados 2.</w:t>
      </w:r>
      <w:r>
        <w:rPr>
          <w:rFonts w:ascii="Arial" w:hAnsi="Arial" w:cs="Arial"/>
        </w:rPr>
        <w:t>706</w:t>
      </w:r>
      <w:r w:rsidRPr="36DAC812">
        <w:rPr>
          <w:rFonts w:ascii="Arial" w:hAnsi="Arial" w:cs="Arial"/>
        </w:rPr>
        <w:t xml:space="preserve"> incidentes, sendo </w:t>
      </w:r>
      <w:r>
        <w:rPr>
          <w:rFonts w:ascii="Arial" w:hAnsi="Arial" w:cs="Arial"/>
        </w:rPr>
        <w:t>122</w:t>
      </w:r>
      <w:r w:rsidRPr="36DAC812">
        <w:rPr>
          <w:rFonts w:ascii="Arial" w:hAnsi="Arial" w:cs="Arial"/>
        </w:rPr>
        <w:t xml:space="preserve"> graves, </w:t>
      </w:r>
      <w:r>
        <w:rPr>
          <w:rFonts w:ascii="Arial" w:hAnsi="Arial" w:cs="Arial"/>
        </w:rPr>
        <w:t>429</w:t>
      </w:r>
      <w:r w:rsidRPr="36DAC812">
        <w:rPr>
          <w:rFonts w:ascii="Arial" w:hAnsi="Arial" w:cs="Arial"/>
        </w:rPr>
        <w:t xml:space="preserve"> moderados e </w:t>
      </w:r>
      <w:r>
        <w:rPr>
          <w:rFonts w:ascii="Arial" w:hAnsi="Arial" w:cs="Arial"/>
        </w:rPr>
        <w:t>2.155</w:t>
      </w:r>
      <w:r w:rsidRPr="36DAC812">
        <w:rPr>
          <w:rFonts w:ascii="Arial" w:hAnsi="Arial" w:cs="Arial"/>
        </w:rPr>
        <w:t xml:space="preserve"> leves.</w:t>
      </w:r>
    </w:p>
    <w:p w14:paraId="4117767C" w14:textId="77777777" w:rsidR="0041466A" w:rsidRDefault="0041466A" w:rsidP="0041466A">
      <w:pPr>
        <w:jc w:val="both"/>
        <w:rPr>
          <w:rFonts w:ascii="Arial" w:hAnsi="Arial" w:cs="Arial"/>
        </w:rPr>
      </w:pPr>
    </w:p>
    <w:p w14:paraId="3C294E3C" w14:textId="77777777" w:rsidR="0041466A" w:rsidRDefault="0041466A" w:rsidP="0041466A">
      <w:pPr>
        <w:jc w:val="both"/>
        <w:rPr>
          <w:rFonts w:ascii="Arial" w:hAnsi="Arial" w:cs="Arial"/>
        </w:rPr>
      </w:pPr>
      <w:r w:rsidRPr="00AF28F7">
        <w:rPr>
          <w:rFonts w:ascii="Arial" w:hAnsi="Arial" w:cs="Arial"/>
        </w:rPr>
        <w:t>A investigação de incidentes realizada pela</w:t>
      </w:r>
      <w:r>
        <w:rPr>
          <w:rFonts w:ascii="Arial" w:hAnsi="Arial" w:cs="Arial"/>
        </w:rPr>
        <w:t xml:space="preserve"> </w:t>
      </w:r>
      <w:r w:rsidRPr="00AF28F7">
        <w:rPr>
          <w:rFonts w:ascii="Arial" w:hAnsi="Arial" w:cs="Arial"/>
        </w:rPr>
        <w:t>ANP tem o intuito de esclarecer o(s) fator(es)</w:t>
      </w:r>
      <w:r>
        <w:rPr>
          <w:rFonts w:ascii="Arial" w:hAnsi="Arial" w:cs="Arial"/>
        </w:rPr>
        <w:t xml:space="preserve"> </w:t>
      </w:r>
      <w:r w:rsidRPr="00AF28F7">
        <w:rPr>
          <w:rFonts w:ascii="Arial" w:hAnsi="Arial" w:cs="Arial"/>
        </w:rPr>
        <w:t>causal(is) e a(s) causa(s) raiz(es) do incidente;</w:t>
      </w:r>
      <w:r>
        <w:rPr>
          <w:rFonts w:ascii="Arial" w:hAnsi="Arial" w:cs="Arial"/>
        </w:rPr>
        <w:t xml:space="preserve"> </w:t>
      </w:r>
      <w:r w:rsidRPr="00AF28F7">
        <w:rPr>
          <w:rFonts w:ascii="Arial" w:hAnsi="Arial" w:cs="Arial"/>
        </w:rPr>
        <w:t>avaliar as medidas mitigadoras adotadas</w:t>
      </w:r>
      <w:r>
        <w:rPr>
          <w:rFonts w:ascii="Arial" w:hAnsi="Arial" w:cs="Arial"/>
        </w:rPr>
        <w:t xml:space="preserve"> </w:t>
      </w:r>
      <w:r w:rsidRPr="00AF28F7">
        <w:rPr>
          <w:rFonts w:ascii="Arial" w:hAnsi="Arial" w:cs="Arial"/>
        </w:rPr>
        <w:t>pelo agente regulado e apresentar recomendações,</w:t>
      </w:r>
      <w:r>
        <w:rPr>
          <w:rFonts w:ascii="Arial" w:hAnsi="Arial" w:cs="Arial"/>
        </w:rPr>
        <w:t xml:space="preserve"> </w:t>
      </w:r>
      <w:r w:rsidRPr="00AF28F7">
        <w:rPr>
          <w:rFonts w:ascii="Arial" w:hAnsi="Arial" w:cs="Arial"/>
        </w:rPr>
        <w:t>quando necessário; apresentar ações</w:t>
      </w:r>
      <w:r>
        <w:rPr>
          <w:rFonts w:ascii="Arial" w:hAnsi="Arial" w:cs="Arial"/>
        </w:rPr>
        <w:t xml:space="preserve"> </w:t>
      </w:r>
      <w:r w:rsidRPr="00AF28F7">
        <w:rPr>
          <w:rFonts w:ascii="Arial" w:hAnsi="Arial" w:cs="Arial"/>
        </w:rPr>
        <w:t>complementares a serem tomadas tanto pelo</w:t>
      </w:r>
      <w:r>
        <w:rPr>
          <w:rFonts w:ascii="Arial" w:hAnsi="Arial" w:cs="Arial"/>
        </w:rPr>
        <w:t xml:space="preserve"> </w:t>
      </w:r>
      <w:r w:rsidRPr="00AF28F7">
        <w:rPr>
          <w:rFonts w:ascii="Arial" w:hAnsi="Arial" w:cs="Arial"/>
        </w:rPr>
        <w:t>agente regulado quanto pela ANP para evitar</w:t>
      </w:r>
      <w:r>
        <w:rPr>
          <w:rFonts w:ascii="Arial" w:hAnsi="Arial" w:cs="Arial"/>
        </w:rPr>
        <w:t xml:space="preserve"> </w:t>
      </w:r>
      <w:r w:rsidRPr="00AF28F7">
        <w:rPr>
          <w:rFonts w:ascii="Arial" w:hAnsi="Arial" w:cs="Arial"/>
        </w:rPr>
        <w:t>a recorrência do incidente e/ou aprimorar</w:t>
      </w:r>
      <w:r>
        <w:rPr>
          <w:rFonts w:ascii="Arial" w:hAnsi="Arial" w:cs="Arial"/>
        </w:rPr>
        <w:t xml:space="preserve"> </w:t>
      </w:r>
      <w:r w:rsidRPr="00AF28F7">
        <w:rPr>
          <w:rFonts w:ascii="Arial" w:hAnsi="Arial" w:cs="Arial"/>
        </w:rPr>
        <w:t>a segurança operacional; verificar a aderência</w:t>
      </w:r>
      <w:r>
        <w:rPr>
          <w:rFonts w:ascii="Arial" w:hAnsi="Arial" w:cs="Arial"/>
        </w:rPr>
        <w:t xml:space="preserve"> </w:t>
      </w:r>
      <w:r w:rsidRPr="00AF28F7">
        <w:rPr>
          <w:rFonts w:ascii="Arial" w:hAnsi="Arial" w:cs="Arial"/>
        </w:rPr>
        <w:t>das operações à regulamentação aplicável;</w:t>
      </w:r>
      <w:r>
        <w:rPr>
          <w:rFonts w:ascii="Arial" w:hAnsi="Arial" w:cs="Arial"/>
        </w:rPr>
        <w:t xml:space="preserve"> </w:t>
      </w:r>
      <w:r w:rsidRPr="00AF28F7">
        <w:rPr>
          <w:rFonts w:ascii="Arial" w:hAnsi="Arial" w:cs="Arial"/>
        </w:rPr>
        <w:t>tornar públicas as informações relacionadas</w:t>
      </w:r>
      <w:r>
        <w:rPr>
          <w:rFonts w:ascii="Arial" w:hAnsi="Arial" w:cs="Arial"/>
        </w:rPr>
        <w:t xml:space="preserve"> </w:t>
      </w:r>
      <w:r w:rsidRPr="00AF28F7">
        <w:rPr>
          <w:rFonts w:ascii="Arial" w:hAnsi="Arial" w:cs="Arial"/>
        </w:rPr>
        <w:t>ao incidente e os resultados da investigação</w:t>
      </w:r>
      <w:r>
        <w:rPr>
          <w:rFonts w:ascii="Arial" w:hAnsi="Arial" w:cs="Arial"/>
        </w:rPr>
        <w:t xml:space="preserve"> </w:t>
      </w:r>
      <w:r w:rsidRPr="00AF28F7">
        <w:rPr>
          <w:rFonts w:ascii="Arial" w:hAnsi="Arial" w:cs="Arial"/>
        </w:rPr>
        <w:t>realizada pela Agência, quando esta julgar</w:t>
      </w:r>
      <w:r>
        <w:rPr>
          <w:rFonts w:ascii="Arial" w:hAnsi="Arial" w:cs="Arial"/>
        </w:rPr>
        <w:t xml:space="preserve"> </w:t>
      </w:r>
      <w:r w:rsidRPr="00AF28F7">
        <w:rPr>
          <w:rFonts w:ascii="Arial" w:hAnsi="Arial" w:cs="Arial"/>
        </w:rPr>
        <w:t>que tal informação possa contribuir para o</w:t>
      </w:r>
      <w:r>
        <w:rPr>
          <w:rFonts w:ascii="Arial" w:hAnsi="Arial" w:cs="Arial"/>
        </w:rPr>
        <w:t xml:space="preserve"> </w:t>
      </w:r>
      <w:r w:rsidRPr="00AF28F7">
        <w:rPr>
          <w:rFonts w:ascii="Arial" w:hAnsi="Arial" w:cs="Arial"/>
        </w:rPr>
        <w:t>incremento da segurança operacional de</w:t>
      </w:r>
      <w:r>
        <w:rPr>
          <w:rFonts w:ascii="Arial" w:hAnsi="Arial" w:cs="Arial"/>
        </w:rPr>
        <w:t xml:space="preserve"> </w:t>
      </w:r>
      <w:r w:rsidRPr="00AF28F7">
        <w:rPr>
          <w:rFonts w:ascii="Arial" w:hAnsi="Arial" w:cs="Arial"/>
        </w:rPr>
        <w:t>outros agentes regulados, ressalvadas as informações</w:t>
      </w:r>
      <w:r>
        <w:rPr>
          <w:rFonts w:ascii="Arial" w:hAnsi="Arial" w:cs="Arial"/>
        </w:rPr>
        <w:t xml:space="preserve"> </w:t>
      </w:r>
      <w:r w:rsidRPr="00AF28F7">
        <w:rPr>
          <w:rFonts w:ascii="Arial" w:hAnsi="Arial" w:cs="Arial"/>
        </w:rPr>
        <w:t>classificadas como reservadas, de</w:t>
      </w:r>
      <w:r>
        <w:rPr>
          <w:rFonts w:ascii="Arial" w:hAnsi="Arial" w:cs="Arial"/>
        </w:rPr>
        <w:t xml:space="preserve"> </w:t>
      </w:r>
      <w:r w:rsidRPr="00AF28F7">
        <w:rPr>
          <w:rFonts w:ascii="Arial" w:hAnsi="Arial" w:cs="Arial"/>
        </w:rPr>
        <w:t>acordo com a legislação aplicável</w:t>
      </w:r>
      <w:r w:rsidRPr="36DAC812">
        <w:rPr>
          <w:rFonts w:ascii="Arial" w:hAnsi="Arial" w:cs="Arial"/>
        </w:rPr>
        <w:t>.</w:t>
      </w:r>
    </w:p>
    <w:p w14:paraId="17AB2FD0" w14:textId="77777777" w:rsidR="0041466A" w:rsidRDefault="0041466A" w:rsidP="0041466A">
      <w:pPr>
        <w:jc w:val="both"/>
        <w:rPr>
          <w:rFonts w:ascii="Arial" w:hAnsi="Arial" w:cs="Arial"/>
        </w:rPr>
      </w:pPr>
    </w:p>
    <w:p w14:paraId="0583B7B0"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23</w:t>
      </w:r>
    </w:p>
    <w:p w14:paraId="292A8DAA"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24</w:t>
      </w:r>
    </w:p>
    <w:p w14:paraId="60898B79" w14:textId="77777777" w:rsidR="0041466A" w:rsidRDefault="0041466A" w:rsidP="0041466A">
      <w:pPr>
        <w:autoSpaceDE w:val="0"/>
        <w:autoSpaceDN w:val="0"/>
        <w:adjustRightInd w:val="0"/>
        <w:jc w:val="both"/>
        <w:rPr>
          <w:rFonts w:ascii="Arial" w:hAnsi="Arial" w:cs="Arial"/>
          <w:b/>
          <w:bCs/>
        </w:rPr>
      </w:pPr>
    </w:p>
    <w:p w14:paraId="17B87D32" w14:textId="77777777" w:rsidR="0041466A" w:rsidRPr="001A4B9C" w:rsidRDefault="0041466A" w:rsidP="0041466A">
      <w:pPr>
        <w:autoSpaceDE w:val="0"/>
        <w:autoSpaceDN w:val="0"/>
        <w:adjustRightInd w:val="0"/>
        <w:jc w:val="both"/>
        <w:rPr>
          <w:rFonts w:ascii="Arial" w:hAnsi="Arial" w:cs="Arial"/>
          <w:b/>
          <w:bCs/>
        </w:rPr>
      </w:pPr>
    </w:p>
    <w:p w14:paraId="1BA7B1A5" w14:textId="5BAD879F" w:rsidR="0041466A" w:rsidRPr="001A4B9C" w:rsidRDefault="0041466A" w:rsidP="0041466A">
      <w:pPr>
        <w:autoSpaceDE w:val="0"/>
        <w:autoSpaceDN w:val="0"/>
        <w:adjustRightInd w:val="0"/>
        <w:jc w:val="both"/>
        <w:rPr>
          <w:rFonts w:ascii="Arial" w:hAnsi="Arial" w:cs="Arial"/>
          <w:b/>
          <w:bCs/>
        </w:rPr>
      </w:pPr>
      <w:r w:rsidRPr="001A4B9C">
        <w:rPr>
          <w:rFonts w:ascii="Arial" w:hAnsi="Arial" w:cs="Arial"/>
          <w:b/>
          <w:bCs/>
        </w:rPr>
        <w:t>2.</w:t>
      </w:r>
      <w:r w:rsidR="0030700A">
        <w:rPr>
          <w:rFonts w:ascii="Arial" w:hAnsi="Arial" w:cs="Arial"/>
          <w:b/>
          <w:bCs/>
        </w:rPr>
        <w:t>1.</w:t>
      </w:r>
      <w:r>
        <w:rPr>
          <w:rFonts w:ascii="Arial" w:hAnsi="Arial" w:cs="Arial"/>
          <w:b/>
          <w:bCs/>
        </w:rPr>
        <w:t>6</w:t>
      </w:r>
      <w:r w:rsidRPr="001A4B9C">
        <w:rPr>
          <w:rFonts w:ascii="Arial" w:hAnsi="Arial" w:cs="Arial"/>
          <w:b/>
          <w:bCs/>
        </w:rPr>
        <w:t xml:space="preserve"> </w:t>
      </w:r>
      <w:r w:rsidR="0030700A">
        <w:rPr>
          <w:rFonts w:ascii="Arial" w:hAnsi="Arial" w:cs="Arial"/>
          <w:b/>
          <w:bCs/>
        </w:rPr>
        <w:t>P</w:t>
      </w:r>
      <w:r w:rsidR="0030700A" w:rsidRPr="001A4B9C">
        <w:rPr>
          <w:rFonts w:ascii="Arial" w:hAnsi="Arial" w:cs="Arial"/>
          <w:b/>
          <w:bCs/>
        </w:rPr>
        <w:t>articipações governamentais e de terceiros</w:t>
      </w:r>
    </w:p>
    <w:p w14:paraId="0B56CF8D" w14:textId="77777777" w:rsidR="0041466A" w:rsidRPr="00360370" w:rsidRDefault="0041466A" w:rsidP="0041466A">
      <w:pPr>
        <w:autoSpaceDE w:val="0"/>
        <w:autoSpaceDN w:val="0"/>
        <w:adjustRightInd w:val="0"/>
        <w:jc w:val="both"/>
        <w:rPr>
          <w:rFonts w:ascii="Arial" w:hAnsi="Arial" w:cs="Arial"/>
          <w:color w:val="000000"/>
          <w:highlight w:val="yellow"/>
        </w:rPr>
      </w:pPr>
    </w:p>
    <w:p w14:paraId="1C650813" w14:textId="77777777" w:rsidR="0041466A" w:rsidRPr="00584102" w:rsidRDefault="0041466A" w:rsidP="0041466A">
      <w:pPr>
        <w:autoSpaceDE w:val="0"/>
        <w:autoSpaceDN w:val="0"/>
        <w:adjustRightInd w:val="0"/>
        <w:jc w:val="both"/>
        <w:rPr>
          <w:rFonts w:ascii="Arial" w:hAnsi="Arial" w:cs="Arial"/>
          <w:color w:val="000000"/>
        </w:rPr>
      </w:pPr>
      <w:r w:rsidRPr="00584102">
        <w:rPr>
          <w:rFonts w:ascii="Arial" w:hAnsi="Arial" w:cs="Arial"/>
          <w:color w:val="000000"/>
        </w:rPr>
        <w:t xml:space="preserve">A </w:t>
      </w:r>
      <w:r w:rsidRPr="00584102">
        <w:rPr>
          <w:rFonts w:ascii="Arial" w:hAnsi="Arial" w:cs="Arial"/>
        </w:rPr>
        <w:t>Lei nº 9.478/1997 (Lei do Petróleo)</w:t>
      </w:r>
      <w:r w:rsidRPr="00584102">
        <w:rPr>
          <w:rFonts w:ascii="Arial" w:hAnsi="Arial" w:cs="Arial"/>
          <w:color w:val="000000"/>
        </w:rPr>
        <w:t xml:space="preserve"> estabeleceu as participações governamentais a serem pagas pelos concessionários de exploração e produção de petróleo e gás natural: bônus de assinatura, </w:t>
      </w:r>
      <w:r w:rsidRPr="00584102">
        <w:rPr>
          <w:rFonts w:ascii="Arial" w:hAnsi="Arial" w:cs="Arial"/>
          <w:iCs/>
          <w:color w:val="000000"/>
        </w:rPr>
        <w:t>royalties</w:t>
      </w:r>
      <w:r w:rsidRPr="00584102">
        <w:rPr>
          <w:rFonts w:ascii="Arial" w:hAnsi="Arial" w:cs="Arial"/>
          <w:color w:val="000000"/>
        </w:rPr>
        <w:t xml:space="preserve">, participação especial e pagamento pela ocupação ou retenção de área. Destes quatro, somente os </w:t>
      </w:r>
      <w:r w:rsidRPr="00584102">
        <w:rPr>
          <w:rFonts w:ascii="Arial" w:hAnsi="Arial" w:cs="Arial"/>
          <w:iCs/>
          <w:color w:val="000000"/>
        </w:rPr>
        <w:t>royalties</w:t>
      </w:r>
      <w:r w:rsidRPr="00584102">
        <w:rPr>
          <w:rFonts w:ascii="Arial" w:hAnsi="Arial" w:cs="Arial"/>
          <w:i/>
          <w:iCs/>
          <w:color w:val="000000"/>
        </w:rPr>
        <w:t xml:space="preserve"> </w:t>
      </w:r>
      <w:r w:rsidRPr="00584102">
        <w:rPr>
          <w:rFonts w:ascii="Arial" w:hAnsi="Arial" w:cs="Arial"/>
          <w:color w:val="000000"/>
        </w:rPr>
        <w:t xml:space="preserve">já existiam antes da </w:t>
      </w:r>
      <w:r w:rsidRPr="00584102">
        <w:rPr>
          <w:rFonts w:ascii="Arial" w:hAnsi="Arial" w:cs="Arial"/>
        </w:rPr>
        <w:t>Lei nº 9.478/1997</w:t>
      </w:r>
      <w:r w:rsidRPr="00584102">
        <w:rPr>
          <w:rFonts w:ascii="Arial" w:hAnsi="Arial" w:cs="Arial"/>
          <w:color w:val="000000"/>
        </w:rPr>
        <w:t xml:space="preserve">, </w:t>
      </w:r>
      <w:r>
        <w:rPr>
          <w:rFonts w:ascii="Arial" w:hAnsi="Arial" w:cs="Arial"/>
          <w:color w:val="000000"/>
        </w:rPr>
        <w:t>porém</w:t>
      </w:r>
      <w:r w:rsidRPr="00584102">
        <w:rPr>
          <w:rFonts w:ascii="Arial" w:hAnsi="Arial" w:cs="Arial"/>
          <w:color w:val="000000"/>
        </w:rPr>
        <w:t xml:space="preserve"> em percentual inferior.</w:t>
      </w:r>
    </w:p>
    <w:p w14:paraId="6AF38F0D" w14:textId="77777777" w:rsidR="0041466A" w:rsidRPr="00360370" w:rsidRDefault="0041466A" w:rsidP="0041466A">
      <w:pPr>
        <w:autoSpaceDE w:val="0"/>
        <w:autoSpaceDN w:val="0"/>
        <w:adjustRightInd w:val="0"/>
        <w:jc w:val="both"/>
        <w:rPr>
          <w:rFonts w:ascii="Arial" w:hAnsi="Arial" w:cs="Arial"/>
          <w:color w:val="000000"/>
          <w:highlight w:val="yellow"/>
        </w:rPr>
      </w:pPr>
    </w:p>
    <w:p w14:paraId="1CC3D0DF" w14:textId="17F2E353" w:rsidR="0041466A" w:rsidRDefault="0041466A" w:rsidP="0041466A">
      <w:pPr>
        <w:jc w:val="both"/>
        <w:rPr>
          <w:rFonts w:ascii="Arial" w:hAnsi="Arial" w:cs="Arial"/>
          <w:color w:val="000000" w:themeColor="text1"/>
        </w:rPr>
      </w:pPr>
      <w:r w:rsidRPr="36DAC812">
        <w:rPr>
          <w:rFonts w:ascii="Arial" w:hAnsi="Arial" w:cs="Arial"/>
          <w:color w:val="000000" w:themeColor="text1"/>
        </w:rPr>
        <w:t xml:space="preserve">Os royalties são uma compensação financeira devida à União, aos estados, ao Distrito Federal e aos municípios beneficiários pelas empresas que produzem petróleo e gás natural no território brasileiro: uma remuneração à sociedade pela exploração desses recursos não renováveis. </w:t>
      </w:r>
      <w:r w:rsidR="00C7375B">
        <w:rPr>
          <w:rFonts w:ascii="Arial" w:hAnsi="Arial" w:cs="Arial"/>
          <w:color w:val="000000" w:themeColor="text1"/>
        </w:rPr>
        <w:t>I</w:t>
      </w:r>
      <w:r w:rsidRPr="36DAC812">
        <w:rPr>
          <w:rFonts w:ascii="Arial" w:hAnsi="Arial" w:cs="Arial"/>
          <w:color w:val="000000" w:themeColor="text1"/>
        </w:rPr>
        <w:t>ncidem sobre o valor da produção do campo e são recolhidos mensalmente pelas empresas contratadas até o último dia do mês seguinte àquele em que ocorreu a produção.</w:t>
      </w:r>
    </w:p>
    <w:p w14:paraId="1F30CB43" w14:textId="77777777" w:rsidR="0041466A" w:rsidRDefault="0041466A" w:rsidP="0041466A">
      <w:pPr>
        <w:jc w:val="both"/>
        <w:rPr>
          <w:rFonts w:ascii="Arial" w:hAnsi="Arial" w:cs="Arial"/>
          <w:color w:val="000000" w:themeColor="text1"/>
        </w:rPr>
      </w:pPr>
    </w:p>
    <w:p w14:paraId="2DF2916C" w14:textId="5E5235A9" w:rsidR="0041466A" w:rsidRPr="00360370"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xml:space="preserve">, foram arrecadados </w:t>
      </w:r>
      <w:r w:rsidR="00A213D8">
        <w:rPr>
          <w:rFonts w:ascii="Arial" w:hAnsi="Arial" w:cs="Arial"/>
          <w:color w:val="000000" w:themeColor="text1"/>
        </w:rPr>
        <w:t xml:space="preserve">cerca de </w:t>
      </w:r>
      <w:r w:rsidRPr="36DAC812">
        <w:rPr>
          <w:rFonts w:ascii="Arial" w:hAnsi="Arial" w:cs="Arial"/>
          <w:color w:val="000000" w:themeColor="text1"/>
        </w:rPr>
        <w:t xml:space="preserve">R$ </w:t>
      </w:r>
      <w:r>
        <w:rPr>
          <w:rFonts w:ascii="Arial" w:hAnsi="Arial" w:cs="Arial"/>
          <w:color w:val="000000" w:themeColor="text1"/>
        </w:rPr>
        <w:t>62,2</w:t>
      </w:r>
      <w:r w:rsidRPr="36DAC812">
        <w:rPr>
          <w:rFonts w:ascii="Arial" w:hAnsi="Arial" w:cs="Arial"/>
          <w:color w:val="000000" w:themeColor="text1"/>
        </w:rPr>
        <w:t xml:space="preserve"> bilhões em royalties, valor </w:t>
      </w:r>
      <w:r>
        <w:rPr>
          <w:rFonts w:ascii="Arial" w:hAnsi="Arial" w:cs="Arial"/>
          <w:color w:val="000000" w:themeColor="text1"/>
        </w:rPr>
        <w:t>6</w:t>
      </w:r>
      <w:r w:rsidRPr="36DAC812">
        <w:rPr>
          <w:rFonts w:ascii="Arial" w:hAnsi="Arial" w:cs="Arial"/>
          <w:color w:val="000000" w:themeColor="text1"/>
        </w:rPr>
        <w:t>,</w:t>
      </w:r>
      <w:r>
        <w:rPr>
          <w:rFonts w:ascii="Arial" w:hAnsi="Arial" w:cs="Arial"/>
          <w:color w:val="000000" w:themeColor="text1"/>
        </w:rPr>
        <w:t>8</w:t>
      </w:r>
      <w:r w:rsidRPr="36DAC812">
        <w:rPr>
          <w:rFonts w:ascii="Arial" w:hAnsi="Arial" w:cs="Arial"/>
          <w:color w:val="000000" w:themeColor="text1"/>
        </w:rPr>
        <w:t xml:space="preserve">% </w:t>
      </w:r>
      <w:r>
        <w:rPr>
          <w:rFonts w:ascii="Arial" w:hAnsi="Arial" w:cs="Arial"/>
          <w:color w:val="000000" w:themeColor="text1"/>
        </w:rPr>
        <w:t>acima</w:t>
      </w:r>
      <w:r w:rsidRPr="36DAC812">
        <w:rPr>
          <w:rFonts w:ascii="Arial" w:hAnsi="Arial" w:cs="Arial"/>
          <w:color w:val="000000" w:themeColor="text1"/>
        </w:rPr>
        <w:t xml:space="preserve"> do registrado em </w:t>
      </w:r>
      <w:r>
        <w:rPr>
          <w:rFonts w:ascii="Arial" w:hAnsi="Arial" w:cs="Arial"/>
          <w:color w:val="000000" w:themeColor="text1"/>
        </w:rPr>
        <w:t>2024</w:t>
      </w:r>
      <w:r w:rsidRPr="36DAC812">
        <w:rPr>
          <w:rFonts w:ascii="Arial" w:hAnsi="Arial" w:cs="Arial"/>
          <w:color w:val="000000" w:themeColor="text1"/>
        </w:rPr>
        <w:t>. Des</w:t>
      </w:r>
      <w:r>
        <w:rPr>
          <w:rFonts w:ascii="Arial" w:hAnsi="Arial" w:cs="Arial"/>
          <w:color w:val="000000" w:themeColor="text1"/>
        </w:rPr>
        <w:t>s</w:t>
      </w:r>
      <w:r w:rsidRPr="36DAC812">
        <w:rPr>
          <w:rFonts w:ascii="Arial" w:hAnsi="Arial" w:cs="Arial"/>
          <w:color w:val="000000" w:themeColor="text1"/>
        </w:rPr>
        <w:t>e montante, 2</w:t>
      </w:r>
      <w:r>
        <w:rPr>
          <w:rFonts w:ascii="Arial" w:hAnsi="Arial" w:cs="Arial"/>
          <w:color w:val="000000" w:themeColor="text1"/>
        </w:rPr>
        <w:t>6</w:t>
      </w:r>
      <w:r w:rsidRPr="36DAC812">
        <w:rPr>
          <w:rFonts w:ascii="Arial" w:hAnsi="Arial" w:cs="Arial"/>
          <w:color w:val="000000" w:themeColor="text1"/>
        </w:rPr>
        <w:t>,</w:t>
      </w:r>
      <w:r>
        <w:rPr>
          <w:rFonts w:ascii="Arial" w:hAnsi="Arial" w:cs="Arial"/>
          <w:color w:val="000000" w:themeColor="text1"/>
        </w:rPr>
        <w:t>7</w:t>
      </w:r>
      <w:r w:rsidRPr="36DAC812">
        <w:rPr>
          <w:rFonts w:ascii="Arial" w:hAnsi="Arial" w:cs="Arial"/>
          <w:color w:val="000000" w:themeColor="text1"/>
        </w:rPr>
        <w:t>% destinaram-se aos estados produtores ou confrontantes; 33,</w:t>
      </w:r>
      <w:r w:rsidR="005B1A56">
        <w:rPr>
          <w:rFonts w:ascii="Arial" w:hAnsi="Arial" w:cs="Arial"/>
          <w:color w:val="000000" w:themeColor="text1"/>
        </w:rPr>
        <w:t>6</w:t>
      </w:r>
      <w:r w:rsidRPr="36DAC812">
        <w:rPr>
          <w:rFonts w:ascii="Arial" w:hAnsi="Arial" w:cs="Arial"/>
          <w:color w:val="000000" w:themeColor="text1"/>
        </w:rPr>
        <w:t>% aos municípios produtores ou confrontantes; 30,</w:t>
      </w:r>
      <w:r w:rsidR="005B1A56">
        <w:rPr>
          <w:rFonts w:ascii="Arial" w:hAnsi="Arial" w:cs="Arial"/>
          <w:color w:val="000000" w:themeColor="text1"/>
        </w:rPr>
        <w:t>9</w:t>
      </w:r>
      <w:r w:rsidRPr="36DAC812">
        <w:rPr>
          <w:rFonts w:ascii="Arial" w:hAnsi="Arial" w:cs="Arial"/>
          <w:color w:val="000000" w:themeColor="text1"/>
        </w:rPr>
        <w:t>% à União, divididos entre Comando da Marinha (2,</w:t>
      </w:r>
      <w:r w:rsidR="005B1A56">
        <w:rPr>
          <w:rFonts w:ascii="Arial" w:hAnsi="Arial" w:cs="Arial"/>
          <w:color w:val="000000" w:themeColor="text1"/>
        </w:rPr>
        <w:t>4</w:t>
      </w:r>
      <w:r w:rsidRPr="36DAC812">
        <w:rPr>
          <w:rFonts w:ascii="Arial" w:hAnsi="Arial" w:cs="Arial"/>
          <w:color w:val="000000" w:themeColor="text1"/>
        </w:rPr>
        <w:t>%), Ministério da Ciência e Tecnologia (</w:t>
      </w:r>
      <w:r>
        <w:rPr>
          <w:rFonts w:ascii="Arial" w:hAnsi="Arial" w:cs="Arial"/>
          <w:color w:val="000000" w:themeColor="text1"/>
        </w:rPr>
        <w:t>1,</w:t>
      </w:r>
      <w:r w:rsidR="005B1A56">
        <w:rPr>
          <w:rFonts w:ascii="Arial" w:hAnsi="Arial" w:cs="Arial"/>
          <w:color w:val="000000" w:themeColor="text1"/>
        </w:rPr>
        <w:t>6</w:t>
      </w:r>
      <w:r w:rsidRPr="36DAC812">
        <w:rPr>
          <w:rFonts w:ascii="Arial" w:hAnsi="Arial" w:cs="Arial"/>
          <w:color w:val="000000" w:themeColor="text1"/>
        </w:rPr>
        <w:t>%), Fundo Social (</w:t>
      </w:r>
      <w:r w:rsidR="005B1A56">
        <w:rPr>
          <w:rFonts w:ascii="Arial" w:hAnsi="Arial" w:cs="Arial"/>
          <w:color w:val="000000" w:themeColor="text1"/>
        </w:rPr>
        <w:t>7</w:t>
      </w:r>
      <w:r>
        <w:rPr>
          <w:rFonts w:ascii="Arial" w:hAnsi="Arial" w:cs="Arial"/>
          <w:color w:val="000000" w:themeColor="text1"/>
        </w:rPr>
        <w:t>,</w:t>
      </w:r>
      <w:r w:rsidR="005B1A56">
        <w:rPr>
          <w:rFonts w:ascii="Arial" w:hAnsi="Arial" w:cs="Arial"/>
          <w:color w:val="000000" w:themeColor="text1"/>
        </w:rPr>
        <w:t>8</w:t>
      </w:r>
      <w:r w:rsidRPr="36DAC812">
        <w:rPr>
          <w:rFonts w:ascii="Arial" w:hAnsi="Arial" w:cs="Arial"/>
          <w:color w:val="000000" w:themeColor="text1"/>
        </w:rPr>
        <w:t>%)</w:t>
      </w:r>
      <w:r w:rsidR="00A213D8">
        <w:rPr>
          <w:rFonts w:ascii="Arial" w:hAnsi="Arial" w:cs="Arial"/>
          <w:color w:val="000000" w:themeColor="text1"/>
        </w:rPr>
        <w:t>;</w:t>
      </w:r>
      <w:r w:rsidRPr="36DAC812">
        <w:rPr>
          <w:rFonts w:ascii="Arial" w:hAnsi="Arial" w:cs="Arial"/>
          <w:color w:val="000000" w:themeColor="text1"/>
        </w:rPr>
        <w:t xml:space="preserve"> e </w:t>
      </w:r>
      <w:r>
        <w:rPr>
          <w:rFonts w:ascii="Arial" w:hAnsi="Arial" w:cs="Arial"/>
          <w:color w:val="000000" w:themeColor="text1"/>
        </w:rPr>
        <w:t>1</w:t>
      </w:r>
      <w:r w:rsidR="005B1A56">
        <w:rPr>
          <w:rFonts w:ascii="Arial" w:hAnsi="Arial" w:cs="Arial"/>
          <w:color w:val="000000" w:themeColor="text1"/>
        </w:rPr>
        <w:t>9,2</w:t>
      </w:r>
      <w:r w:rsidRPr="36DAC812">
        <w:rPr>
          <w:rFonts w:ascii="Arial" w:hAnsi="Arial" w:cs="Arial"/>
          <w:color w:val="000000" w:themeColor="text1"/>
        </w:rPr>
        <w:t>% à Educação e Saúde. Outros 8,</w:t>
      </w:r>
      <w:r w:rsidR="005B1A56">
        <w:rPr>
          <w:rFonts w:ascii="Arial" w:hAnsi="Arial" w:cs="Arial"/>
          <w:color w:val="000000" w:themeColor="text1"/>
        </w:rPr>
        <w:t>3</w:t>
      </w:r>
      <w:r w:rsidRPr="36DAC812">
        <w:rPr>
          <w:rFonts w:ascii="Arial" w:hAnsi="Arial" w:cs="Arial"/>
          <w:color w:val="000000" w:themeColor="text1"/>
        </w:rPr>
        <w:t xml:space="preserve">% foram destinados ao </w:t>
      </w:r>
      <w:r w:rsidR="00A213D8">
        <w:rPr>
          <w:rFonts w:ascii="Arial" w:hAnsi="Arial" w:cs="Arial"/>
          <w:color w:val="000000" w:themeColor="text1"/>
        </w:rPr>
        <w:t>f</w:t>
      </w:r>
      <w:r w:rsidR="00A213D8" w:rsidRPr="36DAC812">
        <w:rPr>
          <w:rFonts w:ascii="Arial" w:hAnsi="Arial" w:cs="Arial"/>
          <w:color w:val="000000" w:themeColor="text1"/>
        </w:rPr>
        <w:t xml:space="preserve">undo </w:t>
      </w:r>
      <w:r w:rsidR="00A213D8">
        <w:rPr>
          <w:rFonts w:ascii="Arial" w:hAnsi="Arial" w:cs="Arial"/>
          <w:color w:val="000000" w:themeColor="text1"/>
        </w:rPr>
        <w:t>e</w:t>
      </w:r>
      <w:r w:rsidR="00A213D8" w:rsidRPr="36DAC812">
        <w:rPr>
          <w:rFonts w:ascii="Arial" w:hAnsi="Arial" w:cs="Arial"/>
          <w:color w:val="000000" w:themeColor="text1"/>
        </w:rPr>
        <w:t xml:space="preserve">special </w:t>
      </w:r>
      <w:r w:rsidRPr="36DAC812">
        <w:rPr>
          <w:rFonts w:ascii="Arial" w:hAnsi="Arial" w:cs="Arial"/>
          <w:color w:val="000000" w:themeColor="text1"/>
        </w:rPr>
        <w:t>dos estados e municípios. Ao estado do Rio de Janeiro, maior produtor nacional de petróleo e gás natural, juntamente com seus municípios, destinaram-se 4</w:t>
      </w:r>
      <w:r w:rsidR="005B1A56">
        <w:rPr>
          <w:rFonts w:ascii="Arial" w:hAnsi="Arial" w:cs="Arial"/>
          <w:color w:val="000000" w:themeColor="text1"/>
        </w:rPr>
        <w:t>8</w:t>
      </w:r>
      <w:r w:rsidRPr="36DAC812">
        <w:rPr>
          <w:rFonts w:ascii="Arial" w:hAnsi="Arial" w:cs="Arial"/>
          <w:color w:val="000000" w:themeColor="text1"/>
        </w:rPr>
        <w:t>,</w:t>
      </w:r>
      <w:r w:rsidR="005B1A56">
        <w:rPr>
          <w:rFonts w:ascii="Arial" w:hAnsi="Arial" w:cs="Arial"/>
          <w:color w:val="000000" w:themeColor="text1"/>
        </w:rPr>
        <w:t>6</w:t>
      </w:r>
      <w:r w:rsidRPr="36DAC812">
        <w:rPr>
          <w:rFonts w:ascii="Arial" w:hAnsi="Arial" w:cs="Arial"/>
          <w:color w:val="000000" w:themeColor="text1"/>
        </w:rPr>
        <w:t>% do total arrecadado</w:t>
      </w:r>
      <w:r w:rsidR="00A213D8">
        <w:rPr>
          <w:rFonts w:ascii="Arial" w:hAnsi="Arial" w:cs="Arial"/>
          <w:color w:val="000000" w:themeColor="text1"/>
        </w:rPr>
        <w:t>.</w:t>
      </w:r>
    </w:p>
    <w:p w14:paraId="4DC1AC08" w14:textId="77777777" w:rsidR="0041466A" w:rsidRPr="001A4B9C" w:rsidRDefault="0041466A" w:rsidP="0041466A">
      <w:pPr>
        <w:autoSpaceDE w:val="0"/>
        <w:autoSpaceDN w:val="0"/>
        <w:adjustRightInd w:val="0"/>
        <w:jc w:val="both"/>
        <w:rPr>
          <w:rFonts w:ascii="Arial" w:hAnsi="Arial" w:cs="Arial"/>
          <w:color w:val="000000"/>
        </w:rPr>
      </w:pPr>
    </w:p>
    <w:p w14:paraId="19F199E8"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Pr>
          <w:rFonts w:ascii="Arial" w:hAnsi="Arial" w:cs="Arial"/>
          <w:b/>
          <w:bCs/>
          <w:color w:val="FF0000"/>
        </w:rPr>
        <w:t>25</w:t>
      </w:r>
    </w:p>
    <w:p w14:paraId="6CEBA6CC" w14:textId="77777777" w:rsidR="0041466A" w:rsidRDefault="0041466A" w:rsidP="0041466A">
      <w:pPr>
        <w:autoSpaceDE w:val="0"/>
        <w:autoSpaceDN w:val="0"/>
        <w:adjustRightInd w:val="0"/>
        <w:jc w:val="both"/>
        <w:rPr>
          <w:rFonts w:ascii="Arial" w:hAnsi="Arial" w:cs="Arial"/>
          <w:bCs/>
        </w:rPr>
      </w:pPr>
    </w:p>
    <w:p w14:paraId="0FCE2E27" w14:textId="03382D50" w:rsidR="00A95E16" w:rsidRPr="001A4B9C" w:rsidRDefault="00A95E16" w:rsidP="00A95E16">
      <w:pPr>
        <w:pStyle w:val="Corpodetexto3"/>
        <w:rPr>
          <w:color w:val="FF0000"/>
          <w:sz w:val="20"/>
          <w:szCs w:val="20"/>
        </w:rPr>
      </w:pPr>
      <w:r w:rsidRPr="001A4B9C">
        <w:rPr>
          <w:b/>
          <w:bCs/>
          <w:color w:val="FF0000"/>
          <w:sz w:val="20"/>
          <w:szCs w:val="20"/>
        </w:rPr>
        <w:t>Gráfico 2.</w:t>
      </w:r>
      <w:r>
        <w:rPr>
          <w:b/>
          <w:bCs/>
          <w:color w:val="FF0000"/>
          <w:sz w:val="20"/>
          <w:szCs w:val="20"/>
        </w:rPr>
        <w:t>9</w:t>
      </w:r>
    </w:p>
    <w:p w14:paraId="25AD36D7" w14:textId="77777777" w:rsidR="00A95E16" w:rsidRPr="001A4B9C" w:rsidRDefault="00A95E16" w:rsidP="0041466A">
      <w:pPr>
        <w:autoSpaceDE w:val="0"/>
        <w:autoSpaceDN w:val="0"/>
        <w:adjustRightInd w:val="0"/>
        <w:jc w:val="both"/>
        <w:rPr>
          <w:rFonts w:ascii="Arial" w:hAnsi="Arial" w:cs="Arial"/>
          <w:bCs/>
        </w:rPr>
      </w:pPr>
    </w:p>
    <w:p w14:paraId="728354C1" w14:textId="77777777" w:rsidR="003B30BC" w:rsidRPr="003B30BC" w:rsidRDefault="003B30BC" w:rsidP="003B30BC">
      <w:pPr>
        <w:pStyle w:val="Corpodetexto3"/>
        <w:rPr>
          <w:sz w:val="20"/>
          <w:szCs w:val="20"/>
        </w:rPr>
      </w:pPr>
      <w:r w:rsidRPr="003B30BC">
        <w:rPr>
          <w:sz w:val="20"/>
          <w:szCs w:val="20"/>
        </w:rPr>
        <w:t>A participação especial é uma compensação financeira extraordinária devida pelos concessionários de exploração e produção de petróleo ou gás natural para campos de grande volume de produção.</w:t>
      </w:r>
    </w:p>
    <w:p w14:paraId="33576261" w14:textId="77777777" w:rsidR="003B30BC" w:rsidRPr="003B30BC" w:rsidRDefault="003B30BC" w:rsidP="003B30BC">
      <w:pPr>
        <w:pStyle w:val="Corpodetexto3"/>
        <w:rPr>
          <w:sz w:val="20"/>
          <w:szCs w:val="20"/>
        </w:rPr>
      </w:pPr>
    </w:p>
    <w:p w14:paraId="3A65FD3A" w14:textId="7B1B61E9" w:rsidR="003B30BC" w:rsidRPr="003B30BC" w:rsidRDefault="003B30BC" w:rsidP="003B30BC">
      <w:pPr>
        <w:pStyle w:val="Corpodetexto3"/>
        <w:rPr>
          <w:sz w:val="20"/>
          <w:szCs w:val="20"/>
        </w:rPr>
      </w:pPr>
      <w:r w:rsidRPr="003B30BC">
        <w:rPr>
          <w:sz w:val="20"/>
          <w:szCs w:val="20"/>
        </w:rPr>
        <w:lastRenderedPageBreak/>
        <w:t xml:space="preserve">Para apuração da participação especial sobre a produção de petróleo e de gás natural, são aplicadas sobre a receita líquida da produção trimestral de cada campo, consideradas as deduções previstas no § 1º do </w:t>
      </w:r>
      <w:r>
        <w:rPr>
          <w:sz w:val="20"/>
          <w:szCs w:val="20"/>
        </w:rPr>
        <w:t>a</w:t>
      </w:r>
      <w:r w:rsidRPr="003B30BC">
        <w:rPr>
          <w:sz w:val="20"/>
          <w:szCs w:val="20"/>
        </w:rPr>
        <w:t>rt</w:t>
      </w:r>
      <w:r>
        <w:rPr>
          <w:sz w:val="20"/>
          <w:szCs w:val="20"/>
        </w:rPr>
        <w:t>igo</w:t>
      </w:r>
      <w:r w:rsidRPr="003B30BC">
        <w:rPr>
          <w:sz w:val="20"/>
          <w:szCs w:val="20"/>
        </w:rPr>
        <w:t xml:space="preserve"> 50 da Lei nº 9.478/1997 (royalties, investimentos na exploração, custos operacionais, depreciação e tributos):</w:t>
      </w:r>
    </w:p>
    <w:p w14:paraId="75B079AD" w14:textId="77777777" w:rsidR="003B30BC" w:rsidRPr="003B30BC" w:rsidRDefault="003B30BC" w:rsidP="003B30BC">
      <w:pPr>
        <w:pStyle w:val="Corpodetexto3"/>
        <w:rPr>
          <w:sz w:val="20"/>
          <w:szCs w:val="20"/>
        </w:rPr>
      </w:pPr>
    </w:p>
    <w:p w14:paraId="0E38D95D" w14:textId="77777777" w:rsidR="003B30BC" w:rsidRPr="003B30BC" w:rsidRDefault="003B30BC" w:rsidP="003B30BC">
      <w:pPr>
        <w:pStyle w:val="Corpodetexto3"/>
        <w:rPr>
          <w:sz w:val="20"/>
          <w:szCs w:val="20"/>
        </w:rPr>
      </w:pPr>
      <w:r w:rsidRPr="003B30BC">
        <w:rPr>
          <w:sz w:val="20"/>
          <w:szCs w:val="20"/>
        </w:rPr>
        <w:t>• alíquotas progressivas, que variam de acordo com a localização da lavra;</w:t>
      </w:r>
    </w:p>
    <w:p w14:paraId="35F76D79" w14:textId="77777777" w:rsidR="003B30BC" w:rsidRPr="003B30BC" w:rsidRDefault="003B30BC" w:rsidP="003B30BC">
      <w:pPr>
        <w:pStyle w:val="Corpodetexto3"/>
        <w:rPr>
          <w:sz w:val="20"/>
          <w:szCs w:val="20"/>
        </w:rPr>
      </w:pPr>
      <w:r w:rsidRPr="003B30BC">
        <w:rPr>
          <w:sz w:val="20"/>
          <w:szCs w:val="20"/>
        </w:rPr>
        <w:t>• número de anos de produção; e</w:t>
      </w:r>
    </w:p>
    <w:p w14:paraId="702F86A2" w14:textId="77777777" w:rsidR="003B30BC" w:rsidRPr="003B30BC" w:rsidRDefault="003B30BC" w:rsidP="003B30BC">
      <w:pPr>
        <w:pStyle w:val="Corpodetexto3"/>
        <w:rPr>
          <w:sz w:val="20"/>
          <w:szCs w:val="20"/>
        </w:rPr>
      </w:pPr>
      <w:r w:rsidRPr="003B30BC">
        <w:rPr>
          <w:sz w:val="20"/>
          <w:szCs w:val="20"/>
        </w:rPr>
        <w:t>• o respectivo volume de produção trimestral fiscalizada.</w:t>
      </w:r>
    </w:p>
    <w:p w14:paraId="6A4CE039" w14:textId="77777777" w:rsidR="003B30BC" w:rsidRPr="003B30BC" w:rsidRDefault="003B30BC" w:rsidP="003B30BC">
      <w:pPr>
        <w:pStyle w:val="Corpodetexto3"/>
        <w:rPr>
          <w:sz w:val="20"/>
          <w:szCs w:val="20"/>
        </w:rPr>
      </w:pPr>
    </w:p>
    <w:p w14:paraId="2242CFCA" w14:textId="77777777" w:rsidR="003B30BC" w:rsidRPr="003B30BC" w:rsidRDefault="003B30BC" w:rsidP="003B30BC">
      <w:pPr>
        <w:pStyle w:val="Corpodetexto3"/>
        <w:rPr>
          <w:sz w:val="20"/>
          <w:szCs w:val="20"/>
        </w:rPr>
      </w:pPr>
      <w:r w:rsidRPr="003B30BC">
        <w:rPr>
          <w:sz w:val="20"/>
          <w:szCs w:val="20"/>
        </w:rPr>
        <w:t>A destinação dos recursos da participação especial é realizada em função de quatro tipos de distribuições existentes na legislação:</w:t>
      </w:r>
    </w:p>
    <w:p w14:paraId="782A2D21" w14:textId="77777777" w:rsidR="003B30BC" w:rsidRPr="003B30BC" w:rsidRDefault="003B30BC" w:rsidP="003B30BC">
      <w:pPr>
        <w:pStyle w:val="Corpodetexto3"/>
        <w:rPr>
          <w:sz w:val="20"/>
          <w:szCs w:val="20"/>
        </w:rPr>
      </w:pPr>
    </w:p>
    <w:p w14:paraId="05124666" w14:textId="621DC4A3" w:rsidR="003B30BC" w:rsidRPr="003B30BC" w:rsidRDefault="003B30BC" w:rsidP="003B30BC">
      <w:pPr>
        <w:pStyle w:val="Corpodetexto3"/>
        <w:rPr>
          <w:sz w:val="20"/>
          <w:szCs w:val="20"/>
        </w:rPr>
      </w:pPr>
      <w:r w:rsidRPr="003B30BC">
        <w:rPr>
          <w:sz w:val="20"/>
          <w:szCs w:val="20"/>
        </w:rPr>
        <w:t>1) Para recursos provenientes de campos terrestres, 50% são repassados à União, 40% aos estados produtores e 10% aos municípios produtores;</w:t>
      </w:r>
    </w:p>
    <w:p w14:paraId="292370D3" w14:textId="77777777" w:rsidR="003B30BC" w:rsidRPr="003B30BC" w:rsidRDefault="003B30BC" w:rsidP="003B30BC">
      <w:pPr>
        <w:pStyle w:val="Corpodetexto3"/>
        <w:rPr>
          <w:sz w:val="20"/>
          <w:szCs w:val="20"/>
        </w:rPr>
      </w:pPr>
    </w:p>
    <w:p w14:paraId="4FAC2A37" w14:textId="77777777" w:rsidR="003B30BC" w:rsidRPr="003B30BC" w:rsidRDefault="003B30BC" w:rsidP="003B30BC">
      <w:pPr>
        <w:pStyle w:val="Corpodetexto3"/>
        <w:rPr>
          <w:sz w:val="20"/>
          <w:szCs w:val="20"/>
        </w:rPr>
      </w:pPr>
      <w:r w:rsidRPr="003B30BC">
        <w:rPr>
          <w:sz w:val="20"/>
          <w:szCs w:val="20"/>
        </w:rPr>
        <w:t>2) Para recursos provenientes de campos com declaração de comercialidade anterior a 3 de dezembro de 2012, produção realizada pré-sal e localizados na área definida pelo inciso IV do Art. 2º da Lei 12.351/10 (DARF 3037), 50% destes recursos são destinados ao Fundo Social previsto na mesma lei, 40% aos estados confrontantes com a plataforma continental onde ocorrer a produção e 10% aos municípios confrontantes;</w:t>
      </w:r>
    </w:p>
    <w:p w14:paraId="1ADC5879" w14:textId="77777777" w:rsidR="003B30BC" w:rsidRPr="003B30BC" w:rsidRDefault="003B30BC" w:rsidP="003B30BC">
      <w:pPr>
        <w:pStyle w:val="Corpodetexto3"/>
        <w:rPr>
          <w:sz w:val="20"/>
          <w:szCs w:val="20"/>
        </w:rPr>
      </w:pPr>
    </w:p>
    <w:p w14:paraId="123AE14B" w14:textId="15B8A1DF" w:rsidR="003B30BC" w:rsidRPr="003B30BC" w:rsidRDefault="003B30BC" w:rsidP="003B30BC">
      <w:pPr>
        <w:pStyle w:val="Corpodetexto3"/>
        <w:rPr>
          <w:sz w:val="20"/>
          <w:szCs w:val="20"/>
        </w:rPr>
      </w:pPr>
      <w:r w:rsidRPr="003B30BC">
        <w:rPr>
          <w:sz w:val="20"/>
          <w:szCs w:val="20"/>
        </w:rPr>
        <w:t>3) Para recursos provenientes de campos marítimos, exceto pré-sal e cujas declarações de comercialidade tenha ocorrido antes de 3 de dezembro de 2012, 50% são repassados à União, 40% aos estados confrontantes com a plataforma continental onde ocorrer a produção e 10% aos municípios confrontantes; e</w:t>
      </w:r>
    </w:p>
    <w:p w14:paraId="77E1AAB9" w14:textId="77777777" w:rsidR="003B30BC" w:rsidRPr="003B30BC" w:rsidRDefault="003B30BC" w:rsidP="003B30BC">
      <w:pPr>
        <w:pStyle w:val="Corpodetexto3"/>
        <w:rPr>
          <w:sz w:val="20"/>
          <w:szCs w:val="20"/>
        </w:rPr>
      </w:pPr>
    </w:p>
    <w:p w14:paraId="77ABA3B4" w14:textId="7E81F4ED" w:rsidR="0041466A" w:rsidRDefault="003B30BC" w:rsidP="0041466A">
      <w:pPr>
        <w:pStyle w:val="Corpodetexto3"/>
        <w:rPr>
          <w:sz w:val="20"/>
          <w:szCs w:val="20"/>
        </w:rPr>
      </w:pPr>
      <w:r w:rsidRPr="003B30BC">
        <w:rPr>
          <w:sz w:val="20"/>
          <w:szCs w:val="20"/>
        </w:rPr>
        <w:t>4) Para recursos provenientes de campos marítimos com declaração de comercialidade posterior a 3 de dezembro de 2012 (DARF 3990), 50% são repassados à União, 40% aos estados confrontantes com a plataforma continental onde ocorrer a produção e 10% aos municípios confrontantes, conforme determinado pela Lei 12.858/13</w:t>
      </w:r>
      <w:r w:rsidR="00A95E16">
        <w:rPr>
          <w:sz w:val="20"/>
          <w:szCs w:val="20"/>
        </w:rPr>
        <w:t>.</w:t>
      </w:r>
    </w:p>
    <w:p w14:paraId="00A801DC" w14:textId="77777777" w:rsidR="00A95E16" w:rsidRDefault="00A95E16" w:rsidP="0041466A">
      <w:pPr>
        <w:pStyle w:val="Corpodetexto3"/>
        <w:rPr>
          <w:sz w:val="20"/>
          <w:szCs w:val="20"/>
        </w:rPr>
      </w:pPr>
    </w:p>
    <w:p w14:paraId="0EB41D7D" w14:textId="2D4F30B2" w:rsidR="0041466A" w:rsidRPr="00360370" w:rsidRDefault="0041466A" w:rsidP="0041466A">
      <w:pPr>
        <w:pStyle w:val="Corpodetexto3"/>
        <w:rPr>
          <w:sz w:val="20"/>
          <w:szCs w:val="20"/>
          <w:highlight w:val="yellow"/>
        </w:rPr>
      </w:pPr>
      <w:r w:rsidRPr="36DAC812">
        <w:rPr>
          <w:sz w:val="20"/>
          <w:szCs w:val="20"/>
        </w:rPr>
        <w:t xml:space="preserve">Em </w:t>
      </w:r>
      <w:r>
        <w:rPr>
          <w:sz w:val="20"/>
          <w:szCs w:val="20"/>
        </w:rPr>
        <w:t>2025</w:t>
      </w:r>
      <w:r w:rsidRPr="36DAC812">
        <w:rPr>
          <w:sz w:val="20"/>
          <w:szCs w:val="20"/>
        </w:rPr>
        <w:t xml:space="preserve">, a distribuição da participação especial foi </w:t>
      </w:r>
      <w:r w:rsidR="005B1A56">
        <w:rPr>
          <w:sz w:val="20"/>
          <w:szCs w:val="20"/>
        </w:rPr>
        <w:t>7,7</w:t>
      </w:r>
      <w:r w:rsidRPr="36DAC812">
        <w:rPr>
          <w:sz w:val="20"/>
          <w:szCs w:val="20"/>
        </w:rPr>
        <w:t xml:space="preserve">% </w:t>
      </w:r>
      <w:r>
        <w:rPr>
          <w:sz w:val="20"/>
          <w:szCs w:val="20"/>
        </w:rPr>
        <w:t>inf</w:t>
      </w:r>
      <w:r w:rsidRPr="36DAC812">
        <w:rPr>
          <w:sz w:val="20"/>
          <w:szCs w:val="20"/>
        </w:rPr>
        <w:t xml:space="preserve">erior à de </w:t>
      </w:r>
      <w:r>
        <w:rPr>
          <w:sz w:val="20"/>
          <w:szCs w:val="20"/>
        </w:rPr>
        <w:t>2024</w:t>
      </w:r>
      <w:r w:rsidRPr="36DAC812">
        <w:rPr>
          <w:sz w:val="20"/>
          <w:szCs w:val="20"/>
        </w:rPr>
        <w:t xml:space="preserve">, atingindo R$ </w:t>
      </w:r>
      <w:r>
        <w:rPr>
          <w:sz w:val="20"/>
          <w:szCs w:val="20"/>
        </w:rPr>
        <w:t>3</w:t>
      </w:r>
      <w:r w:rsidR="005B1A56">
        <w:rPr>
          <w:sz w:val="20"/>
          <w:szCs w:val="20"/>
        </w:rPr>
        <w:t>6</w:t>
      </w:r>
      <w:r>
        <w:rPr>
          <w:sz w:val="20"/>
          <w:szCs w:val="20"/>
        </w:rPr>
        <w:t>,</w:t>
      </w:r>
      <w:r w:rsidR="005B1A56">
        <w:rPr>
          <w:sz w:val="20"/>
          <w:szCs w:val="20"/>
        </w:rPr>
        <w:t>7</w:t>
      </w:r>
      <w:r w:rsidRPr="36DAC812">
        <w:rPr>
          <w:sz w:val="20"/>
          <w:szCs w:val="20"/>
        </w:rPr>
        <w:t xml:space="preserve"> bilhões. Des</w:t>
      </w:r>
      <w:r>
        <w:rPr>
          <w:sz w:val="20"/>
          <w:szCs w:val="20"/>
        </w:rPr>
        <w:t>s</w:t>
      </w:r>
      <w:r w:rsidRPr="36DAC812">
        <w:rPr>
          <w:sz w:val="20"/>
          <w:szCs w:val="20"/>
        </w:rPr>
        <w:t>e valor, conforme definido pela lei, R$</w:t>
      </w:r>
      <w:r>
        <w:rPr>
          <w:sz w:val="20"/>
          <w:szCs w:val="20"/>
        </w:rPr>
        <w:t>1</w:t>
      </w:r>
      <w:r w:rsidR="005B1A56">
        <w:rPr>
          <w:sz w:val="20"/>
          <w:szCs w:val="20"/>
        </w:rPr>
        <w:t>3</w:t>
      </w:r>
      <w:r>
        <w:rPr>
          <w:sz w:val="20"/>
          <w:szCs w:val="20"/>
        </w:rPr>
        <w:t>,</w:t>
      </w:r>
      <w:r w:rsidR="005B1A56">
        <w:rPr>
          <w:sz w:val="20"/>
          <w:szCs w:val="20"/>
        </w:rPr>
        <w:t>3</w:t>
      </w:r>
      <w:r w:rsidRPr="36DAC812">
        <w:rPr>
          <w:sz w:val="20"/>
          <w:szCs w:val="20"/>
        </w:rPr>
        <w:t xml:space="preserve"> bilhões foram destinados aos estados produtores ou confrontantes; R$</w:t>
      </w:r>
      <w:r>
        <w:rPr>
          <w:sz w:val="20"/>
          <w:szCs w:val="20"/>
        </w:rPr>
        <w:t>3,</w:t>
      </w:r>
      <w:r w:rsidR="005B1A56">
        <w:rPr>
          <w:sz w:val="20"/>
          <w:szCs w:val="20"/>
        </w:rPr>
        <w:t>3</w:t>
      </w:r>
      <w:r w:rsidRPr="36DAC812">
        <w:rPr>
          <w:sz w:val="20"/>
          <w:szCs w:val="20"/>
        </w:rPr>
        <w:t xml:space="preserve"> bilhões aos municípios produtores ou confrontantes; R$</w:t>
      </w:r>
      <w:r w:rsidR="00F42016">
        <w:rPr>
          <w:sz w:val="20"/>
          <w:szCs w:val="20"/>
        </w:rPr>
        <w:t>798</w:t>
      </w:r>
      <w:r w:rsidRPr="36DAC812">
        <w:rPr>
          <w:sz w:val="20"/>
          <w:szCs w:val="20"/>
        </w:rPr>
        <w:t xml:space="preserve"> </w:t>
      </w:r>
      <w:r>
        <w:rPr>
          <w:sz w:val="20"/>
          <w:szCs w:val="20"/>
        </w:rPr>
        <w:t>m</w:t>
      </w:r>
      <w:r w:rsidRPr="36DAC812">
        <w:rPr>
          <w:sz w:val="20"/>
          <w:szCs w:val="20"/>
        </w:rPr>
        <w:t>ilh</w:t>
      </w:r>
      <w:r>
        <w:rPr>
          <w:sz w:val="20"/>
          <w:szCs w:val="20"/>
        </w:rPr>
        <w:t>ões</w:t>
      </w:r>
      <w:r w:rsidRPr="36DAC812">
        <w:rPr>
          <w:sz w:val="20"/>
          <w:szCs w:val="20"/>
        </w:rPr>
        <w:t xml:space="preserve"> ao Ministério de Minas e Energia; R$</w:t>
      </w:r>
      <w:r w:rsidR="00F42016">
        <w:rPr>
          <w:sz w:val="20"/>
          <w:szCs w:val="20"/>
        </w:rPr>
        <w:t>199,5</w:t>
      </w:r>
      <w:r w:rsidRPr="36DAC812">
        <w:rPr>
          <w:sz w:val="20"/>
          <w:szCs w:val="20"/>
        </w:rPr>
        <w:t xml:space="preserve"> milhões ao Ministério do Meio Ambiente; e R$</w:t>
      </w:r>
      <w:r w:rsidR="00F42016">
        <w:rPr>
          <w:sz w:val="20"/>
          <w:szCs w:val="20"/>
        </w:rPr>
        <w:t>15,3</w:t>
      </w:r>
      <w:r w:rsidRPr="36DAC812">
        <w:rPr>
          <w:sz w:val="20"/>
          <w:szCs w:val="20"/>
        </w:rPr>
        <w:t xml:space="preserve"> bilhões ao Fundo Social. Além disso, R$</w:t>
      </w:r>
      <w:r w:rsidR="00F42016">
        <w:rPr>
          <w:sz w:val="20"/>
          <w:szCs w:val="20"/>
        </w:rPr>
        <w:t>230,7</w:t>
      </w:r>
      <w:r w:rsidRPr="36DAC812">
        <w:rPr>
          <w:sz w:val="20"/>
          <w:szCs w:val="20"/>
        </w:rPr>
        <w:t xml:space="preserve"> milhões foram destinados à Educação e R$</w:t>
      </w:r>
      <w:r w:rsidR="00F42016">
        <w:rPr>
          <w:sz w:val="20"/>
          <w:szCs w:val="20"/>
        </w:rPr>
        <w:t>76,9</w:t>
      </w:r>
      <w:r w:rsidRPr="36DAC812">
        <w:rPr>
          <w:sz w:val="20"/>
          <w:szCs w:val="20"/>
        </w:rPr>
        <w:t xml:space="preserve"> milhões à Saúde.</w:t>
      </w:r>
    </w:p>
    <w:p w14:paraId="2EDC09DF" w14:textId="77777777" w:rsidR="0041466A" w:rsidRPr="00360370" w:rsidRDefault="0041466A" w:rsidP="0041466A">
      <w:pPr>
        <w:pStyle w:val="Corpodetexto3"/>
        <w:rPr>
          <w:sz w:val="20"/>
          <w:szCs w:val="20"/>
          <w:highlight w:val="yellow"/>
        </w:rPr>
      </w:pPr>
    </w:p>
    <w:p w14:paraId="4A737219" w14:textId="42B0C611" w:rsidR="0041466A" w:rsidRPr="006D241B" w:rsidRDefault="0041466A" w:rsidP="0041466A">
      <w:pPr>
        <w:pStyle w:val="Corpodetexto3"/>
        <w:rPr>
          <w:sz w:val="20"/>
          <w:szCs w:val="20"/>
        </w:rPr>
      </w:pPr>
      <w:r w:rsidRPr="36DAC812">
        <w:rPr>
          <w:sz w:val="20"/>
          <w:szCs w:val="20"/>
        </w:rPr>
        <w:t xml:space="preserve">Os principais estados beneficiários das participações especiais foram: Rio de Janeiro (R$ </w:t>
      </w:r>
      <w:r>
        <w:rPr>
          <w:sz w:val="20"/>
          <w:szCs w:val="20"/>
        </w:rPr>
        <w:t>1</w:t>
      </w:r>
      <w:r w:rsidR="00F42016">
        <w:rPr>
          <w:sz w:val="20"/>
          <w:szCs w:val="20"/>
        </w:rPr>
        <w:t>1</w:t>
      </w:r>
      <w:r>
        <w:rPr>
          <w:sz w:val="20"/>
          <w:szCs w:val="20"/>
        </w:rPr>
        <w:t>,</w:t>
      </w:r>
      <w:r w:rsidR="00F42016">
        <w:rPr>
          <w:sz w:val="20"/>
          <w:szCs w:val="20"/>
        </w:rPr>
        <w:t>9</w:t>
      </w:r>
      <w:r w:rsidRPr="36DAC812">
        <w:rPr>
          <w:sz w:val="20"/>
          <w:szCs w:val="20"/>
        </w:rPr>
        <w:t xml:space="preserve"> bilhões – </w:t>
      </w:r>
      <w:r>
        <w:rPr>
          <w:sz w:val="20"/>
          <w:szCs w:val="20"/>
        </w:rPr>
        <w:t>3</w:t>
      </w:r>
      <w:r w:rsidR="00F42016">
        <w:rPr>
          <w:sz w:val="20"/>
          <w:szCs w:val="20"/>
        </w:rPr>
        <w:t>2</w:t>
      </w:r>
      <w:r>
        <w:rPr>
          <w:sz w:val="20"/>
          <w:szCs w:val="20"/>
        </w:rPr>
        <w:t>,</w:t>
      </w:r>
      <w:r w:rsidR="00F42016">
        <w:rPr>
          <w:sz w:val="20"/>
          <w:szCs w:val="20"/>
        </w:rPr>
        <w:t>4</w:t>
      </w:r>
      <w:r w:rsidRPr="36DAC812">
        <w:rPr>
          <w:sz w:val="20"/>
          <w:szCs w:val="20"/>
        </w:rPr>
        <w:t>% do valor total e 8</w:t>
      </w:r>
      <w:r w:rsidR="00F42016">
        <w:rPr>
          <w:sz w:val="20"/>
          <w:szCs w:val="20"/>
        </w:rPr>
        <w:t>9</w:t>
      </w:r>
      <w:r w:rsidRPr="36DAC812">
        <w:rPr>
          <w:sz w:val="20"/>
          <w:szCs w:val="20"/>
        </w:rPr>
        <w:t>,</w:t>
      </w:r>
      <w:r w:rsidR="00F42016">
        <w:rPr>
          <w:sz w:val="20"/>
          <w:szCs w:val="20"/>
        </w:rPr>
        <w:t>5</w:t>
      </w:r>
      <w:r w:rsidRPr="36DAC812">
        <w:rPr>
          <w:sz w:val="20"/>
          <w:szCs w:val="20"/>
        </w:rPr>
        <w:t xml:space="preserve">% do total destinado aos estados); </w:t>
      </w:r>
      <w:r w:rsidR="00F42016">
        <w:rPr>
          <w:sz w:val="20"/>
          <w:szCs w:val="20"/>
        </w:rPr>
        <w:t>Espírito Santo</w:t>
      </w:r>
      <w:r w:rsidRPr="36DAC812">
        <w:rPr>
          <w:sz w:val="20"/>
          <w:szCs w:val="20"/>
        </w:rPr>
        <w:t xml:space="preserve"> (R$ </w:t>
      </w:r>
      <w:r w:rsidR="00F42016">
        <w:rPr>
          <w:sz w:val="20"/>
          <w:szCs w:val="20"/>
        </w:rPr>
        <w:t>691,9 m</w:t>
      </w:r>
      <w:r w:rsidRPr="36DAC812">
        <w:rPr>
          <w:sz w:val="20"/>
          <w:szCs w:val="20"/>
        </w:rPr>
        <w:t>il</w:t>
      </w:r>
      <w:r>
        <w:rPr>
          <w:sz w:val="20"/>
          <w:szCs w:val="20"/>
        </w:rPr>
        <w:t>h</w:t>
      </w:r>
      <w:r w:rsidR="00F42016">
        <w:rPr>
          <w:sz w:val="20"/>
          <w:szCs w:val="20"/>
        </w:rPr>
        <w:t>ões</w:t>
      </w:r>
      <w:r w:rsidRPr="36DAC812">
        <w:rPr>
          <w:sz w:val="20"/>
          <w:szCs w:val="20"/>
        </w:rPr>
        <w:t xml:space="preserve"> – </w:t>
      </w:r>
      <w:r w:rsidR="00F42016">
        <w:rPr>
          <w:sz w:val="20"/>
          <w:szCs w:val="20"/>
        </w:rPr>
        <w:t>1</w:t>
      </w:r>
      <w:r>
        <w:rPr>
          <w:sz w:val="20"/>
          <w:szCs w:val="20"/>
        </w:rPr>
        <w:t>,9</w:t>
      </w:r>
      <w:r w:rsidRPr="36DAC812">
        <w:rPr>
          <w:sz w:val="20"/>
          <w:szCs w:val="20"/>
        </w:rPr>
        <w:t xml:space="preserve">% do valor total e </w:t>
      </w:r>
      <w:r w:rsidR="00F42016">
        <w:rPr>
          <w:sz w:val="20"/>
          <w:szCs w:val="20"/>
        </w:rPr>
        <w:t>5</w:t>
      </w:r>
      <w:r>
        <w:rPr>
          <w:sz w:val="20"/>
          <w:szCs w:val="20"/>
        </w:rPr>
        <w:t>,</w:t>
      </w:r>
      <w:r w:rsidR="00F42016">
        <w:rPr>
          <w:sz w:val="20"/>
          <w:szCs w:val="20"/>
        </w:rPr>
        <w:t>2</w:t>
      </w:r>
      <w:r w:rsidRPr="36DAC812">
        <w:rPr>
          <w:sz w:val="20"/>
          <w:szCs w:val="20"/>
        </w:rPr>
        <w:t>% do valor destinado aos estados)</w:t>
      </w:r>
      <w:r w:rsidR="00F42016">
        <w:rPr>
          <w:sz w:val="20"/>
          <w:szCs w:val="20"/>
        </w:rPr>
        <w:t>, e São Paulo</w:t>
      </w:r>
      <w:r w:rsidRPr="36DAC812">
        <w:rPr>
          <w:sz w:val="20"/>
          <w:szCs w:val="20"/>
        </w:rPr>
        <w:t xml:space="preserve"> (R$</w:t>
      </w:r>
      <w:r w:rsidR="00F42016">
        <w:rPr>
          <w:sz w:val="20"/>
          <w:szCs w:val="20"/>
        </w:rPr>
        <w:t xml:space="preserve"> 642,7 milhões</w:t>
      </w:r>
      <w:r w:rsidRPr="36DAC812">
        <w:rPr>
          <w:sz w:val="20"/>
          <w:szCs w:val="20"/>
        </w:rPr>
        <w:t xml:space="preserve"> – </w:t>
      </w:r>
      <w:r w:rsidR="00F42016">
        <w:rPr>
          <w:sz w:val="20"/>
          <w:szCs w:val="20"/>
        </w:rPr>
        <w:t>1,7</w:t>
      </w:r>
      <w:r w:rsidRPr="36DAC812">
        <w:rPr>
          <w:sz w:val="20"/>
          <w:szCs w:val="20"/>
        </w:rPr>
        <w:t xml:space="preserve">% do valor total e </w:t>
      </w:r>
      <w:r w:rsidR="00F42016">
        <w:rPr>
          <w:sz w:val="20"/>
          <w:szCs w:val="20"/>
        </w:rPr>
        <w:t>4</w:t>
      </w:r>
      <w:r>
        <w:rPr>
          <w:sz w:val="20"/>
          <w:szCs w:val="20"/>
        </w:rPr>
        <w:t>,</w:t>
      </w:r>
      <w:r w:rsidR="00F42016">
        <w:rPr>
          <w:sz w:val="20"/>
          <w:szCs w:val="20"/>
        </w:rPr>
        <w:t>8</w:t>
      </w:r>
      <w:r w:rsidRPr="36DAC812">
        <w:rPr>
          <w:sz w:val="20"/>
          <w:szCs w:val="20"/>
        </w:rPr>
        <w:t>% do valor destinado aos estados).</w:t>
      </w:r>
    </w:p>
    <w:p w14:paraId="49ED0ADD" w14:textId="77777777" w:rsidR="0041466A" w:rsidRPr="00360370" w:rsidRDefault="0041466A" w:rsidP="0041466A">
      <w:pPr>
        <w:autoSpaceDE w:val="0"/>
        <w:autoSpaceDN w:val="0"/>
        <w:adjustRightInd w:val="0"/>
        <w:jc w:val="both"/>
        <w:rPr>
          <w:rFonts w:ascii="Arial" w:hAnsi="Arial" w:cs="Arial"/>
          <w:color w:val="000000"/>
          <w:highlight w:val="yellow"/>
        </w:rPr>
      </w:pPr>
    </w:p>
    <w:p w14:paraId="25C69BB3" w14:textId="14FE8A42" w:rsidR="0041466A" w:rsidRPr="006D241B"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Entre os municípios beneficiários, destacaram-se Maricá/RJ (R$ 1,</w:t>
      </w:r>
      <w:r w:rsidR="00FE1E92">
        <w:rPr>
          <w:rFonts w:ascii="Arial" w:hAnsi="Arial" w:cs="Arial"/>
          <w:color w:val="000000" w:themeColor="text1"/>
        </w:rPr>
        <w:t>4</w:t>
      </w:r>
      <w:r w:rsidRPr="36DAC812">
        <w:rPr>
          <w:rFonts w:ascii="Arial" w:hAnsi="Arial" w:cs="Arial"/>
          <w:color w:val="000000" w:themeColor="text1"/>
        </w:rPr>
        <w:t xml:space="preserve"> bilhão); Niterói/RJ (R$ 1,</w:t>
      </w:r>
      <w:r w:rsidR="00FE1E92">
        <w:rPr>
          <w:rFonts w:ascii="Arial" w:hAnsi="Arial" w:cs="Arial"/>
          <w:color w:val="000000" w:themeColor="text1"/>
        </w:rPr>
        <w:t>2</w:t>
      </w:r>
      <w:r w:rsidRPr="36DAC812">
        <w:rPr>
          <w:rFonts w:ascii="Arial" w:hAnsi="Arial" w:cs="Arial"/>
          <w:color w:val="000000" w:themeColor="text1"/>
        </w:rPr>
        <w:t xml:space="preserve"> bilhão)</w:t>
      </w:r>
      <w:r w:rsidR="00FE1E92">
        <w:rPr>
          <w:rFonts w:ascii="Arial" w:hAnsi="Arial" w:cs="Arial"/>
          <w:color w:val="000000" w:themeColor="text1"/>
        </w:rPr>
        <w:t xml:space="preserve"> e</w:t>
      </w:r>
      <w:r w:rsidRPr="36DAC812">
        <w:rPr>
          <w:rFonts w:ascii="Arial" w:hAnsi="Arial" w:cs="Arial"/>
          <w:color w:val="000000" w:themeColor="text1"/>
        </w:rPr>
        <w:t xml:space="preserve"> Rio de Janeiro/RJ (R$ </w:t>
      </w:r>
      <w:r w:rsidR="00FE1E92">
        <w:rPr>
          <w:rFonts w:ascii="Arial" w:hAnsi="Arial" w:cs="Arial"/>
          <w:color w:val="000000" w:themeColor="text1"/>
        </w:rPr>
        <w:t>223,8</w:t>
      </w:r>
      <w:r w:rsidRPr="36DAC812">
        <w:rPr>
          <w:rFonts w:ascii="Arial" w:hAnsi="Arial" w:cs="Arial"/>
          <w:color w:val="000000" w:themeColor="text1"/>
        </w:rPr>
        <w:t xml:space="preserve"> milhões)</w:t>
      </w:r>
      <w:r w:rsidR="00FE1E92">
        <w:rPr>
          <w:rFonts w:ascii="Arial" w:hAnsi="Arial" w:cs="Arial"/>
          <w:color w:val="000000" w:themeColor="text1"/>
        </w:rPr>
        <w:t xml:space="preserve">. Para os municípios de </w:t>
      </w:r>
      <w:r w:rsidRPr="36DAC812">
        <w:rPr>
          <w:rFonts w:ascii="Arial" w:hAnsi="Arial" w:cs="Arial"/>
          <w:color w:val="000000" w:themeColor="text1"/>
        </w:rPr>
        <w:t>Ilhabela/SP</w:t>
      </w:r>
      <w:r w:rsidR="00FE1E92">
        <w:rPr>
          <w:rFonts w:ascii="Arial" w:hAnsi="Arial" w:cs="Arial"/>
          <w:color w:val="000000" w:themeColor="text1"/>
        </w:rPr>
        <w:t xml:space="preserve"> e São Sebastião/SP foram devidos </w:t>
      </w:r>
      <w:r w:rsidR="0056584E">
        <w:rPr>
          <w:rFonts w:ascii="Arial" w:hAnsi="Arial" w:cs="Arial"/>
          <w:color w:val="000000" w:themeColor="text1"/>
        </w:rPr>
        <w:t xml:space="preserve">o </w:t>
      </w:r>
      <w:r w:rsidR="00FE1E92">
        <w:rPr>
          <w:rFonts w:ascii="Arial" w:hAnsi="Arial" w:cs="Arial"/>
          <w:color w:val="000000" w:themeColor="text1"/>
        </w:rPr>
        <w:t>mesmo valor</w:t>
      </w:r>
      <w:r w:rsidR="00BF4AA2">
        <w:rPr>
          <w:rFonts w:ascii="Arial" w:hAnsi="Arial" w:cs="Arial"/>
          <w:color w:val="000000" w:themeColor="text1"/>
        </w:rPr>
        <w:t xml:space="preserve"> em 2025</w:t>
      </w:r>
      <w:r w:rsidR="00FE1E92">
        <w:rPr>
          <w:rFonts w:ascii="Arial" w:hAnsi="Arial" w:cs="Arial"/>
          <w:color w:val="000000" w:themeColor="text1"/>
        </w:rPr>
        <w:t>: R$ 80,3 milhões.</w:t>
      </w:r>
    </w:p>
    <w:p w14:paraId="4F4FEC95" w14:textId="77777777" w:rsidR="0041466A" w:rsidRPr="00360370" w:rsidRDefault="0041466A" w:rsidP="0041466A">
      <w:pPr>
        <w:autoSpaceDE w:val="0"/>
        <w:autoSpaceDN w:val="0"/>
        <w:adjustRightInd w:val="0"/>
        <w:jc w:val="both"/>
        <w:rPr>
          <w:rFonts w:ascii="Arial" w:hAnsi="Arial" w:cs="Arial"/>
          <w:b/>
          <w:bCs/>
          <w:highlight w:val="yellow"/>
        </w:rPr>
      </w:pPr>
    </w:p>
    <w:p w14:paraId="4833DFB4" w14:textId="4DB4BA4B" w:rsidR="0041466A" w:rsidRPr="001A4B9C" w:rsidRDefault="0041466A" w:rsidP="0041466A">
      <w:pPr>
        <w:pStyle w:val="Corpodetexto3"/>
        <w:rPr>
          <w:color w:val="FF0000"/>
          <w:sz w:val="20"/>
          <w:szCs w:val="20"/>
        </w:rPr>
      </w:pPr>
      <w:r w:rsidRPr="001A4B9C">
        <w:rPr>
          <w:b/>
          <w:bCs/>
          <w:color w:val="FF0000"/>
          <w:sz w:val="20"/>
          <w:szCs w:val="20"/>
        </w:rPr>
        <w:t>Tabela 2.</w:t>
      </w:r>
      <w:r>
        <w:rPr>
          <w:b/>
          <w:bCs/>
          <w:color w:val="FF0000"/>
          <w:sz w:val="20"/>
          <w:szCs w:val="20"/>
        </w:rPr>
        <w:t>2</w:t>
      </w:r>
      <w:r w:rsidR="00853086">
        <w:rPr>
          <w:b/>
          <w:bCs/>
          <w:color w:val="FF0000"/>
          <w:sz w:val="20"/>
          <w:szCs w:val="20"/>
        </w:rPr>
        <w:t>6</w:t>
      </w:r>
    </w:p>
    <w:p w14:paraId="0919D27D" w14:textId="77777777" w:rsidR="0041466A" w:rsidRPr="001A4B9C" w:rsidRDefault="0041466A" w:rsidP="0041466A">
      <w:pPr>
        <w:autoSpaceDE w:val="0"/>
        <w:autoSpaceDN w:val="0"/>
        <w:adjustRightInd w:val="0"/>
        <w:jc w:val="both"/>
        <w:rPr>
          <w:rFonts w:ascii="Arial" w:hAnsi="Arial" w:cs="Arial"/>
          <w:bCs/>
        </w:rPr>
      </w:pPr>
    </w:p>
    <w:p w14:paraId="3EACAD92" w14:textId="77777777" w:rsidR="0041466A" w:rsidRPr="00EA61F2" w:rsidRDefault="0041466A" w:rsidP="0041466A">
      <w:pPr>
        <w:pStyle w:val="Corpodetexto3"/>
        <w:rPr>
          <w:b/>
          <w:bCs/>
          <w:color w:val="FF0000"/>
          <w:sz w:val="20"/>
          <w:szCs w:val="20"/>
        </w:rPr>
      </w:pPr>
      <w:r w:rsidRPr="00EA61F2">
        <w:rPr>
          <w:b/>
          <w:bCs/>
          <w:color w:val="FF0000"/>
          <w:sz w:val="20"/>
          <w:szCs w:val="20"/>
        </w:rPr>
        <w:t>Gráfico 2.10</w:t>
      </w:r>
    </w:p>
    <w:p w14:paraId="018BA1AB" w14:textId="77777777" w:rsidR="0041466A" w:rsidRPr="001A4B9C" w:rsidRDefault="0041466A" w:rsidP="0041466A">
      <w:pPr>
        <w:pStyle w:val="Corpodetexto3"/>
        <w:rPr>
          <w:sz w:val="20"/>
          <w:szCs w:val="20"/>
        </w:rPr>
      </w:pPr>
    </w:p>
    <w:p w14:paraId="64C5D89D" w14:textId="003F23AB" w:rsidR="0041466A" w:rsidRPr="001A4B9C" w:rsidRDefault="0041466A" w:rsidP="0041466A">
      <w:pPr>
        <w:pStyle w:val="Corpodetexto3"/>
        <w:rPr>
          <w:sz w:val="20"/>
          <w:szCs w:val="20"/>
        </w:rPr>
      </w:pPr>
      <w:r w:rsidRPr="36DAC812">
        <w:rPr>
          <w:sz w:val="20"/>
          <w:szCs w:val="20"/>
        </w:rPr>
        <w:t xml:space="preserve">Em </w:t>
      </w:r>
      <w:r>
        <w:rPr>
          <w:sz w:val="20"/>
          <w:szCs w:val="20"/>
        </w:rPr>
        <w:t>2025</w:t>
      </w:r>
      <w:r w:rsidRPr="36DAC812">
        <w:rPr>
          <w:sz w:val="20"/>
          <w:szCs w:val="20"/>
        </w:rPr>
        <w:t xml:space="preserve">, o pagamento pela ocupação ou retenção de </w:t>
      </w:r>
      <w:r w:rsidR="00853086">
        <w:rPr>
          <w:sz w:val="20"/>
          <w:szCs w:val="20"/>
        </w:rPr>
        <w:t>824</w:t>
      </w:r>
      <w:r w:rsidRPr="36DAC812">
        <w:rPr>
          <w:sz w:val="20"/>
          <w:szCs w:val="20"/>
        </w:rPr>
        <w:t xml:space="preserve"> áreas totalizou R$ </w:t>
      </w:r>
      <w:r>
        <w:rPr>
          <w:sz w:val="20"/>
          <w:szCs w:val="20"/>
        </w:rPr>
        <w:t>44</w:t>
      </w:r>
      <w:r w:rsidR="00853086">
        <w:rPr>
          <w:sz w:val="20"/>
          <w:szCs w:val="20"/>
        </w:rPr>
        <w:t>4,6</w:t>
      </w:r>
      <w:r w:rsidRPr="36DAC812">
        <w:rPr>
          <w:sz w:val="20"/>
          <w:szCs w:val="20"/>
        </w:rPr>
        <w:t xml:space="preserve"> milhões. Do total de campos ou blocos ocupados, </w:t>
      </w:r>
      <w:r w:rsidR="00853086">
        <w:rPr>
          <w:sz w:val="20"/>
          <w:szCs w:val="20"/>
        </w:rPr>
        <w:t>422</w:t>
      </w:r>
      <w:r w:rsidRPr="36DAC812">
        <w:rPr>
          <w:sz w:val="20"/>
          <w:szCs w:val="20"/>
        </w:rPr>
        <w:t xml:space="preserve"> encontravam-se na fase de exploração e foram responsáveis por </w:t>
      </w:r>
      <w:r w:rsidR="00853086">
        <w:rPr>
          <w:sz w:val="20"/>
          <w:szCs w:val="20"/>
        </w:rPr>
        <w:t>19</w:t>
      </w:r>
      <w:r w:rsidRPr="36DAC812">
        <w:rPr>
          <w:sz w:val="20"/>
          <w:szCs w:val="20"/>
        </w:rPr>
        <w:t>,</w:t>
      </w:r>
      <w:r w:rsidR="00853086">
        <w:rPr>
          <w:sz w:val="20"/>
          <w:szCs w:val="20"/>
        </w:rPr>
        <w:t>4</w:t>
      </w:r>
      <w:r w:rsidRPr="36DAC812">
        <w:rPr>
          <w:sz w:val="20"/>
          <w:szCs w:val="20"/>
        </w:rPr>
        <w:t>% do pagamento</w:t>
      </w:r>
      <w:r>
        <w:rPr>
          <w:sz w:val="20"/>
          <w:szCs w:val="20"/>
        </w:rPr>
        <w:t xml:space="preserve"> e</w:t>
      </w:r>
      <w:r w:rsidRPr="36DAC812">
        <w:rPr>
          <w:sz w:val="20"/>
          <w:szCs w:val="20"/>
        </w:rPr>
        <w:t xml:space="preserve"> </w:t>
      </w:r>
      <w:r>
        <w:rPr>
          <w:sz w:val="20"/>
          <w:szCs w:val="20"/>
        </w:rPr>
        <w:t>5</w:t>
      </w:r>
      <w:r w:rsidR="00853086">
        <w:rPr>
          <w:sz w:val="20"/>
          <w:szCs w:val="20"/>
        </w:rPr>
        <w:t>4</w:t>
      </w:r>
      <w:r w:rsidRPr="36DAC812">
        <w:rPr>
          <w:sz w:val="20"/>
          <w:szCs w:val="20"/>
        </w:rPr>
        <w:t xml:space="preserve"> estavam na etapa de desenvolvimento, respondendo por </w:t>
      </w:r>
      <w:r w:rsidR="00853086">
        <w:rPr>
          <w:sz w:val="20"/>
          <w:szCs w:val="20"/>
        </w:rPr>
        <w:t>3,3</w:t>
      </w:r>
      <w:r w:rsidRPr="36DAC812">
        <w:rPr>
          <w:sz w:val="20"/>
          <w:szCs w:val="20"/>
        </w:rPr>
        <w:t xml:space="preserve">% do valor pago. </w:t>
      </w:r>
      <w:r>
        <w:rPr>
          <w:sz w:val="20"/>
          <w:szCs w:val="20"/>
        </w:rPr>
        <w:t>Outros</w:t>
      </w:r>
      <w:r w:rsidRPr="36DAC812">
        <w:rPr>
          <w:sz w:val="20"/>
          <w:szCs w:val="20"/>
        </w:rPr>
        <w:t xml:space="preserve"> 3</w:t>
      </w:r>
      <w:r>
        <w:rPr>
          <w:sz w:val="20"/>
          <w:szCs w:val="20"/>
        </w:rPr>
        <w:t>4</w:t>
      </w:r>
      <w:r w:rsidR="00853086">
        <w:rPr>
          <w:sz w:val="20"/>
          <w:szCs w:val="20"/>
        </w:rPr>
        <w:t>3</w:t>
      </w:r>
      <w:r w:rsidRPr="36DAC812">
        <w:rPr>
          <w:sz w:val="20"/>
          <w:szCs w:val="20"/>
        </w:rPr>
        <w:t xml:space="preserve"> encontravam-se na etapa de produção, correspondendo a </w:t>
      </w:r>
      <w:r>
        <w:rPr>
          <w:sz w:val="20"/>
          <w:szCs w:val="20"/>
        </w:rPr>
        <w:t>7</w:t>
      </w:r>
      <w:r w:rsidR="00853086">
        <w:rPr>
          <w:sz w:val="20"/>
          <w:szCs w:val="20"/>
        </w:rPr>
        <w:t>6</w:t>
      </w:r>
      <w:r>
        <w:rPr>
          <w:sz w:val="20"/>
          <w:szCs w:val="20"/>
        </w:rPr>
        <w:t>,</w:t>
      </w:r>
      <w:r w:rsidR="00853086">
        <w:rPr>
          <w:sz w:val="20"/>
          <w:szCs w:val="20"/>
        </w:rPr>
        <w:t>5</w:t>
      </w:r>
      <w:r w:rsidRPr="36DAC812">
        <w:rPr>
          <w:sz w:val="20"/>
          <w:szCs w:val="20"/>
        </w:rPr>
        <w:t>% do pagamento total</w:t>
      </w:r>
      <w:r>
        <w:rPr>
          <w:sz w:val="20"/>
          <w:szCs w:val="20"/>
        </w:rPr>
        <w:t>.</w:t>
      </w:r>
    </w:p>
    <w:p w14:paraId="1513E16C" w14:textId="77777777" w:rsidR="0041466A" w:rsidRPr="001A4B9C" w:rsidRDefault="0041466A" w:rsidP="0041466A">
      <w:pPr>
        <w:pStyle w:val="Corpodetexto3"/>
        <w:rPr>
          <w:b/>
          <w:bCs/>
          <w:color w:val="auto"/>
          <w:sz w:val="20"/>
          <w:szCs w:val="20"/>
        </w:rPr>
      </w:pPr>
    </w:p>
    <w:p w14:paraId="36BB97C5" w14:textId="3CE57D7E" w:rsidR="0041466A" w:rsidRPr="001A4B9C" w:rsidRDefault="0041466A" w:rsidP="0041466A">
      <w:pPr>
        <w:pStyle w:val="Corpodetexto3"/>
        <w:rPr>
          <w:color w:val="FF0000"/>
          <w:sz w:val="20"/>
          <w:szCs w:val="20"/>
        </w:rPr>
      </w:pPr>
      <w:r w:rsidRPr="001A4B9C">
        <w:rPr>
          <w:b/>
          <w:bCs/>
          <w:color w:val="FF0000"/>
          <w:sz w:val="20"/>
          <w:szCs w:val="20"/>
        </w:rPr>
        <w:t>Tabela 2.</w:t>
      </w:r>
      <w:r>
        <w:rPr>
          <w:b/>
          <w:bCs/>
          <w:color w:val="FF0000"/>
          <w:sz w:val="20"/>
          <w:szCs w:val="20"/>
        </w:rPr>
        <w:t>2</w:t>
      </w:r>
      <w:r w:rsidR="00853086">
        <w:rPr>
          <w:b/>
          <w:bCs/>
          <w:color w:val="FF0000"/>
          <w:sz w:val="20"/>
          <w:szCs w:val="20"/>
        </w:rPr>
        <w:t>7</w:t>
      </w:r>
    </w:p>
    <w:p w14:paraId="55BA287F" w14:textId="77777777" w:rsidR="0041466A" w:rsidRPr="001A4B9C" w:rsidRDefault="0041466A" w:rsidP="0041466A">
      <w:pPr>
        <w:pStyle w:val="Corpodetexto3"/>
        <w:rPr>
          <w:sz w:val="20"/>
          <w:szCs w:val="20"/>
        </w:rPr>
      </w:pPr>
    </w:p>
    <w:p w14:paraId="61B0785C" w14:textId="520BEBF0" w:rsidR="0041466A" w:rsidRPr="001A4B9C" w:rsidRDefault="0041466A" w:rsidP="0041466A">
      <w:pPr>
        <w:pStyle w:val="Corpodetexto3"/>
        <w:rPr>
          <w:sz w:val="20"/>
          <w:szCs w:val="20"/>
        </w:rPr>
      </w:pPr>
      <w:r w:rsidRPr="001A4B9C">
        <w:rPr>
          <w:sz w:val="20"/>
          <w:szCs w:val="20"/>
        </w:rPr>
        <w:t xml:space="preserve">Adicionalmente às participações governamentais, a Lei do Petróleo estabelece o pagamento, pelos concessionários, de uma participação sobre o valor do petróleo e do gás natural produzido aos proprietários das terras onde são realizadas as atividades de exploração e produção. Em </w:t>
      </w:r>
      <w:r>
        <w:rPr>
          <w:sz w:val="20"/>
          <w:szCs w:val="20"/>
        </w:rPr>
        <w:t>2025</w:t>
      </w:r>
      <w:r w:rsidRPr="001A4B9C">
        <w:rPr>
          <w:sz w:val="20"/>
          <w:szCs w:val="20"/>
        </w:rPr>
        <w:t>, este pagamento somou</w:t>
      </w:r>
      <w:r w:rsidR="00D36E2D">
        <w:rPr>
          <w:sz w:val="20"/>
          <w:szCs w:val="20"/>
        </w:rPr>
        <w:t>, aproximadamente,</w:t>
      </w:r>
      <w:r w:rsidRPr="001A4B9C">
        <w:rPr>
          <w:sz w:val="20"/>
          <w:szCs w:val="20"/>
        </w:rPr>
        <w:t xml:space="preserve"> R$</w:t>
      </w:r>
      <w:r>
        <w:rPr>
          <w:sz w:val="20"/>
          <w:szCs w:val="20"/>
        </w:rPr>
        <w:t>1</w:t>
      </w:r>
      <w:r w:rsidR="000D5988">
        <w:rPr>
          <w:sz w:val="20"/>
          <w:szCs w:val="20"/>
        </w:rPr>
        <w:t>81,6</w:t>
      </w:r>
      <w:r w:rsidRPr="001A4B9C">
        <w:rPr>
          <w:sz w:val="20"/>
          <w:szCs w:val="20"/>
        </w:rPr>
        <w:t xml:space="preserve"> milhões</w:t>
      </w:r>
      <w:r>
        <w:rPr>
          <w:sz w:val="20"/>
          <w:szCs w:val="20"/>
        </w:rPr>
        <w:t xml:space="preserve">, </w:t>
      </w:r>
      <w:r w:rsidR="000D5988">
        <w:rPr>
          <w:sz w:val="20"/>
          <w:szCs w:val="20"/>
        </w:rPr>
        <w:t>22,1</w:t>
      </w:r>
      <w:r>
        <w:rPr>
          <w:sz w:val="20"/>
          <w:szCs w:val="20"/>
        </w:rPr>
        <w:t>% superior ao registrado no ano anterior</w:t>
      </w:r>
      <w:r w:rsidRPr="001A4B9C">
        <w:rPr>
          <w:sz w:val="20"/>
          <w:szCs w:val="20"/>
        </w:rPr>
        <w:t xml:space="preserve">. O montante foi distribuído a </w:t>
      </w:r>
      <w:r>
        <w:rPr>
          <w:sz w:val="20"/>
          <w:szCs w:val="20"/>
        </w:rPr>
        <w:t>2.</w:t>
      </w:r>
      <w:r w:rsidR="000D5988">
        <w:rPr>
          <w:sz w:val="20"/>
          <w:szCs w:val="20"/>
        </w:rPr>
        <w:t>606</w:t>
      </w:r>
      <w:r w:rsidRPr="001A4B9C">
        <w:rPr>
          <w:sz w:val="20"/>
          <w:szCs w:val="20"/>
        </w:rPr>
        <w:t xml:space="preserve"> proprietários cadastrados em </w:t>
      </w:r>
      <w:r>
        <w:rPr>
          <w:sz w:val="20"/>
          <w:szCs w:val="20"/>
        </w:rPr>
        <w:t xml:space="preserve">nove </w:t>
      </w:r>
      <w:r w:rsidRPr="001A4B9C">
        <w:rPr>
          <w:sz w:val="20"/>
          <w:szCs w:val="20"/>
        </w:rPr>
        <w:t xml:space="preserve">estados e, no caso de propriedades não regularizadas, </w:t>
      </w:r>
      <w:r w:rsidRPr="001A4B9C">
        <w:rPr>
          <w:sz w:val="20"/>
          <w:szCs w:val="20"/>
        </w:rPr>
        <w:lastRenderedPageBreak/>
        <w:t xml:space="preserve">depositado em poupança. O </w:t>
      </w:r>
      <w:r>
        <w:rPr>
          <w:sz w:val="20"/>
          <w:szCs w:val="20"/>
        </w:rPr>
        <w:t>e</w:t>
      </w:r>
      <w:r w:rsidRPr="001A4B9C">
        <w:rPr>
          <w:sz w:val="20"/>
          <w:szCs w:val="20"/>
        </w:rPr>
        <w:t xml:space="preserve">stado do Rio Grande do Norte tem o maior número de proprietários, </w:t>
      </w:r>
      <w:r>
        <w:rPr>
          <w:sz w:val="20"/>
          <w:szCs w:val="20"/>
        </w:rPr>
        <w:t>1.</w:t>
      </w:r>
      <w:r w:rsidR="000D5988">
        <w:rPr>
          <w:sz w:val="20"/>
          <w:szCs w:val="20"/>
        </w:rPr>
        <w:t>488</w:t>
      </w:r>
      <w:r w:rsidRPr="001A4B9C">
        <w:rPr>
          <w:sz w:val="20"/>
          <w:szCs w:val="20"/>
        </w:rPr>
        <w:t xml:space="preserve">, </w:t>
      </w:r>
      <w:r>
        <w:rPr>
          <w:sz w:val="20"/>
          <w:szCs w:val="20"/>
        </w:rPr>
        <w:t xml:space="preserve">cujos pagamentos corresponderam à soma de </w:t>
      </w:r>
      <w:r w:rsidR="00693DA5">
        <w:rPr>
          <w:sz w:val="20"/>
          <w:szCs w:val="20"/>
        </w:rPr>
        <w:t>R$</w:t>
      </w:r>
      <w:r w:rsidR="000D5988">
        <w:rPr>
          <w:sz w:val="20"/>
          <w:szCs w:val="20"/>
        </w:rPr>
        <w:t>59,2</w:t>
      </w:r>
      <w:r>
        <w:rPr>
          <w:sz w:val="20"/>
          <w:szCs w:val="20"/>
        </w:rPr>
        <w:t xml:space="preserve"> milhões, ou 3</w:t>
      </w:r>
      <w:r w:rsidR="000D5988">
        <w:rPr>
          <w:sz w:val="20"/>
          <w:szCs w:val="20"/>
        </w:rPr>
        <w:t>2,6</w:t>
      </w:r>
      <w:r>
        <w:rPr>
          <w:sz w:val="20"/>
          <w:szCs w:val="20"/>
        </w:rPr>
        <w:t>% do total pago.</w:t>
      </w:r>
    </w:p>
    <w:p w14:paraId="4A0654A9" w14:textId="77777777" w:rsidR="0041466A" w:rsidRPr="001A4B9C" w:rsidRDefault="0041466A" w:rsidP="0041466A">
      <w:pPr>
        <w:autoSpaceDE w:val="0"/>
        <w:autoSpaceDN w:val="0"/>
        <w:adjustRightInd w:val="0"/>
        <w:jc w:val="both"/>
        <w:rPr>
          <w:rFonts w:ascii="Arial" w:hAnsi="Arial" w:cs="Arial"/>
          <w:b/>
          <w:bCs/>
        </w:rPr>
      </w:pPr>
    </w:p>
    <w:p w14:paraId="6FEABF2B" w14:textId="728BB559"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2.2</w:t>
      </w:r>
      <w:r w:rsidR="009E6BE2">
        <w:rPr>
          <w:rFonts w:ascii="Arial" w:hAnsi="Arial" w:cs="Arial"/>
          <w:b/>
          <w:bCs/>
          <w:color w:val="FF0000"/>
        </w:rPr>
        <w:t>8</w:t>
      </w:r>
    </w:p>
    <w:p w14:paraId="1BB4C46B" w14:textId="77777777" w:rsidR="0041466A" w:rsidRPr="001A4B9C" w:rsidRDefault="0041466A" w:rsidP="0041466A">
      <w:pPr>
        <w:autoSpaceDE w:val="0"/>
        <w:autoSpaceDN w:val="0"/>
        <w:adjustRightInd w:val="0"/>
        <w:jc w:val="both"/>
        <w:rPr>
          <w:rFonts w:ascii="Arial" w:hAnsi="Arial" w:cs="Arial"/>
          <w:b/>
          <w:bCs/>
        </w:rPr>
      </w:pPr>
    </w:p>
    <w:p w14:paraId="00DFF0A7"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2.11</w:t>
      </w:r>
    </w:p>
    <w:p w14:paraId="229A9F52" w14:textId="77777777" w:rsidR="0041466A" w:rsidRDefault="0041466A" w:rsidP="0041466A">
      <w:pPr>
        <w:autoSpaceDE w:val="0"/>
        <w:autoSpaceDN w:val="0"/>
        <w:adjustRightInd w:val="0"/>
        <w:jc w:val="both"/>
        <w:rPr>
          <w:rFonts w:ascii="Arial" w:hAnsi="Arial" w:cs="Arial"/>
          <w:b/>
          <w:bCs/>
        </w:rPr>
      </w:pPr>
    </w:p>
    <w:p w14:paraId="301FA015" w14:textId="77777777" w:rsidR="00693DA5" w:rsidRDefault="00693DA5" w:rsidP="0041466A">
      <w:pPr>
        <w:autoSpaceDE w:val="0"/>
        <w:autoSpaceDN w:val="0"/>
        <w:adjustRightInd w:val="0"/>
        <w:jc w:val="both"/>
        <w:rPr>
          <w:rFonts w:ascii="Arial" w:hAnsi="Arial" w:cs="Arial"/>
          <w:b/>
          <w:bCs/>
        </w:rPr>
      </w:pPr>
    </w:p>
    <w:p w14:paraId="20DEC1A7" w14:textId="31246117" w:rsidR="0041466A" w:rsidRPr="001A4B9C" w:rsidRDefault="0041466A" w:rsidP="0041466A">
      <w:pPr>
        <w:autoSpaceDE w:val="0"/>
        <w:autoSpaceDN w:val="0"/>
        <w:adjustRightInd w:val="0"/>
        <w:jc w:val="both"/>
        <w:rPr>
          <w:rFonts w:ascii="Arial" w:hAnsi="Arial" w:cs="Arial"/>
          <w:b/>
          <w:bCs/>
        </w:rPr>
      </w:pPr>
      <w:r w:rsidRPr="001A4B9C">
        <w:rPr>
          <w:rFonts w:ascii="Arial" w:hAnsi="Arial" w:cs="Arial"/>
          <w:b/>
          <w:bCs/>
        </w:rPr>
        <w:t>2.</w:t>
      </w:r>
      <w:r w:rsidR="001B270C">
        <w:rPr>
          <w:rFonts w:ascii="Arial" w:hAnsi="Arial" w:cs="Arial"/>
          <w:b/>
          <w:bCs/>
        </w:rPr>
        <w:t>1.</w:t>
      </w:r>
      <w:r>
        <w:rPr>
          <w:rFonts w:ascii="Arial" w:hAnsi="Arial" w:cs="Arial"/>
          <w:b/>
          <w:bCs/>
        </w:rPr>
        <w:t>7</w:t>
      </w:r>
      <w:r w:rsidRPr="001A4B9C">
        <w:rPr>
          <w:rFonts w:ascii="Arial" w:hAnsi="Arial" w:cs="Arial"/>
          <w:b/>
          <w:bCs/>
        </w:rPr>
        <w:t xml:space="preserve"> P</w:t>
      </w:r>
      <w:r w:rsidR="001B270C" w:rsidRPr="001A4B9C">
        <w:rPr>
          <w:rFonts w:ascii="Arial" w:hAnsi="Arial" w:cs="Arial"/>
          <w:b/>
          <w:bCs/>
        </w:rPr>
        <w:t>esquisa, desenvolvimento e inovação e formação de recursos humanos</w:t>
      </w:r>
    </w:p>
    <w:p w14:paraId="1CB7EFFC" w14:textId="77777777" w:rsidR="0041466A" w:rsidRPr="00360370" w:rsidRDefault="0041466A" w:rsidP="0041466A">
      <w:pPr>
        <w:autoSpaceDE w:val="0"/>
        <w:autoSpaceDN w:val="0"/>
        <w:adjustRightInd w:val="0"/>
        <w:jc w:val="both"/>
        <w:rPr>
          <w:rFonts w:ascii="Arial" w:hAnsi="Arial" w:cs="Arial"/>
          <w:b/>
          <w:bCs/>
          <w:highlight w:val="yellow"/>
        </w:rPr>
      </w:pPr>
    </w:p>
    <w:p w14:paraId="577E5D3E" w14:textId="74BC7401" w:rsidR="0041466A" w:rsidRPr="00351794" w:rsidRDefault="0041466A" w:rsidP="0041466A">
      <w:pPr>
        <w:autoSpaceDE w:val="0"/>
        <w:autoSpaceDN w:val="0"/>
        <w:adjustRightInd w:val="0"/>
        <w:jc w:val="both"/>
        <w:rPr>
          <w:rFonts w:ascii="Arial" w:hAnsi="Arial" w:cs="Arial"/>
          <w:b/>
          <w:bCs/>
        </w:rPr>
      </w:pPr>
      <w:r w:rsidRPr="36DAC812">
        <w:rPr>
          <w:rFonts w:ascii="Arial" w:hAnsi="Arial" w:cs="Arial"/>
        </w:rPr>
        <w:t xml:space="preserve">A Lei nº 9.478/1997 (Lei do Petróleo) estabelece como atribuição da ANP o estímulo à pesquisa e a adoção de novas tecnologias na exploração, produção, transporte, refino e processamento. Para tanto, a partir de 1998, a ANP incluiu nos contratos para exploração, desenvolvimento e produção de petróleo e gás natural uma </w:t>
      </w:r>
      <w:r w:rsidR="00630B36">
        <w:rPr>
          <w:rFonts w:ascii="Arial" w:hAnsi="Arial" w:cs="Arial"/>
        </w:rPr>
        <w:t>c</w:t>
      </w:r>
      <w:r w:rsidR="00630B36" w:rsidRPr="36DAC812">
        <w:rPr>
          <w:rFonts w:ascii="Arial" w:hAnsi="Arial" w:cs="Arial"/>
        </w:rPr>
        <w:t xml:space="preserve">láusula </w:t>
      </w:r>
      <w:r w:rsidRPr="36DAC812">
        <w:rPr>
          <w:rFonts w:ascii="Arial" w:hAnsi="Arial" w:cs="Arial"/>
        </w:rPr>
        <w:t xml:space="preserve">de investimento em </w:t>
      </w:r>
      <w:r>
        <w:rPr>
          <w:rFonts w:ascii="Arial" w:hAnsi="Arial" w:cs="Arial"/>
        </w:rPr>
        <w:t>P</w:t>
      </w:r>
      <w:r w:rsidRPr="36DAC812">
        <w:rPr>
          <w:rFonts w:ascii="Arial" w:hAnsi="Arial" w:cs="Arial"/>
        </w:rPr>
        <w:t xml:space="preserve">esquisa, </w:t>
      </w:r>
      <w:r>
        <w:rPr>
          <w:rFonts w:ascii="Arial" w:hAnsi="Arial" w:cs="Arial"/>
        </w:rPr>
        <w:t>D</w:t>
      </w:r>
      <w:r w:rsidRPr="36DAC812">
        <w:rPr>
          <w:rFonts w:ascii="Arial" w:hAnsi="Arial" w:cs="Arial"/>
        </w:rPr>
        <w:t xml:space="preserve">esenvolvimento e </w:t>
      </w:r>
      <w:r>
        <w:rPr>
          <w:rFonts w:ascii="Arial" w:hAnsi="Arial" w:cs="Arial"/>
        </w:rPr>
        <w:t>I</w:t>
      </w:r>
      <w:r w:rsidRPr="36DAC812">
        <w:rPr>
          <w:rFonts w:ascii="Arial" w:hAnsi="Arial" w:cs="Arial"/>
        </w:rPr>
        <w:t>novação (PD&amp;I). Esta cláusula estabelece para as empresas petrolíferas contratadas a obrigação de aplicar recursos em atividades qualificadas como PD&amp;I, em montante que varia de 0,5% a 1% da receita bruta de produção, conforme disposições específicas de cada modalidade de contrato (concessão, partilha de produção ou cessão onerosa).</w:t>
      </w:r>
    </w:p>
    <w:p w14:paraId="25CBE8AE" w14:textId="77777777" w:rsidR="0041466A" w:rsidRPr="00351794" w:rsidRDefault="0041466A" w:rsidP="0041466A">
      <w:pPr>
        <w:autoSpaceDE w:val="0"/>
        <w:autoSpaceDN w:val="0"/>
        <w:adjustRightInd w:val="0"/>
        <w:jc w:val="both"/>
        <w:rPr>
          <w:rFonts w:ascii="Arial" w:hAnsi="Arial" w:cs="Arial"/>
        </w:rPr>
      </w:pPr>
    </w:p>
    <w:p w14:paraId="1AAA3294" w14:textId="1F53586C" w:rsidR="0041466A" w:rsidRPr="00351794" w:rsidRDefault="0041466A" w:rsidP="0041466A">
      <w:pPr>
        <w:autoSpaceDE w:val="0"/>
        <w:autoSpaceDN w:val="0"/>
        <w:adjustRightInd w:val="0"/>
        <w:jc w:val="both"/>
        <w:rPr>
          <w:rFonts w:ascii="Arial" w:hAnsi="Arial" w:cs="Arial"/>
        </w:rPr>
      </w:pPr>
      <w:r w:rsidRPr="36DAC812">
        <w:rPr>
          <w:rFonts w:ascii="Arial" w:hAnsi="Arial" w:cs="Arial"/>
        </w:rPr>
        <w:t xml:space="preserve">Entre </w:t>
      </w:r>
      <w:r>
        <w:rPr>
          <w:rFonts w:ascii="Arial" w:hAnsi="Arial" w:cs="Arial"/>
        </w:rPr>
        <w:t>201</w:t>
      </w:r>
      <w:r w:rsidR="004A1F84">
        <w:rPr>
          <w:rFonts w:ascii="Arial" w:hAnsi="Arial" w:cs="Arial"/>
        </w:rPr>
        <w:t>6</w:t>
      </w:r>
      <w:r w:rsidRPr="36DAC812">
        <w:rPr>
          <w:rFonts w:ascii="Arial" w:hAnsi="Arial" w:cs="Arial"/>
        </w:rPr>
        <w:t xml:space="preserve"> e </w:t>
      </w:r>
      <w:r>
        <w:rPr>
          <w:rFonts w:ascii="Arial" w:hAnsi="Arial" w:cs="Arial"/>
        </w:rPr>
        <w:t>2025</w:t>
      </w:r>
      <w:r w:rsidRPr="36DAC812">
        <w:rPr>
          <w:rFonts w:ascii="Arial" w:hAnsi="Arial" w:cs="Arial"/>
        </w:rPr>
        <w:t>, o valor total da obrigação de investimentos em PD&amp;I foi de R$</w:t>
      </w:r>
      <w:r w:rsidR="004A1F84">
        <w:rPr>
          <w:rFonts w:ascii="Arial" w:hAnsi="Arial" w:cs="Arial"/>
        </w:rPr>
        <w:t>27,5</w:t>
      </w:r>
      <w:r w:rsidRPr="36DAC812">
        <w:rPr>
          <w:rFonts w:ascii="Arial" w:hAnsi="Arial" w:cs="Arial"/>
        </w:rPr>
        <w:t xml:space="preserve"> bilhões. Em </w:t>
      </w:r>
      <w:r>
        <w:rPr>
          <w:rFonts w:ascii="Arial" w:hAnsi="Arial" w:cs="Arial"/>
        </w:rPr>
        <w:t>2025</w:t>
      </w:r>
      <w:r w:rsidRPr="36DAC812">
        <w:rPr>
          <w:rFonts w:ascii="Arial" w:hAnsi="Arial" w:cs="Arial"/>
        </w:rPr>
        <w:t xml:space="preserve">, esse montante foi de R$ </w:t>
      </w:r>
      <w:r>
        <w:rPr>
          <w:rFonts w:ascii="Arial" w:hAnsi="Arial" w:cs="Arial"/>
        </w:rPr>
        <w:t>4,</w:t>
      </w:r>
      <w:r w:rsidR="004A1F84">
        <w:rPr>
          <w:rFonts w:ascii="Arial" w:hAnsi="Arial" w:cs="Arial"/>
        </w:rPr>
        <w:t>3</w:t>
      </w:r>
      <w:r w:rsidRPr="36DAC812">
        <w:rPr>
          <w:rFonts w:ascii="Arial" w:hAnsi="Arial" w:cs="Arial"/>
        </w:rPr>
        <w:t xml:space="preserve"> bilhões, valor </w:t>
      </w:r>
      <w:r w:rsidR="004A1F84">
        <w:rPr>
          <w:rFonts w:ascii="Arial" w:hAnsi="Arial" w:cs="Arial"/>
        </w:rPr>
        <w:t>2</w:t>
      </w:r>
      <w:r>
        <w:rPr>
          <w:rFonts w:ascii="Arial" w:hAnsi="Arial" w:cs="Arial"/>
        </w:rPr>
        <w:t>,</w:t>
      </w:r>
      <w:r w:rsidR="004A1F84">
        <w:rPr>
          <w:rFonts w:ascii="Arial" w:hAnsi="Arial" w:cs="Arial"/>
        </w:rPr>
        <w:t>7</w:t>
      </w:r>
      <w:r w:rsidRPr="36DAC812">
        <w:rPr>
          <w:rFonts w:ascii="Arial" w:hAnsi="Arial" w:cs="Arial"/>
        </w:rPr>
        <w:t>% m</w:t>
      </w:r>
      <w:r>
        <w:rPr>
          <w:rFonts w:ascii="Arial" w:hAnsi="Arial" w:cs="Arial"/>
        </w:rPr>
        <w:t>aio</w:t>
      </w:r>
      <w:r w:rsidRPr="36DAC812">
        <w:rPr>
          <w:rFonts w:ascii="Arial" w:hAnsi="Arial" w:cs="Arial"/>
        </w:rPr>
        <w:t xml:space="preserve">r em relação a </w:t>
      </w:r>
      <w:r>
        <w:rPr>
          <w:rFonts w:ascii="Arial" w:hAnsi="Arial" w:cs="Arial"/>
        </w:rPr>
        <w:t>2024</w:t>
      </w:r>
      <w:r w:rsidR="00630B36">
        <w:rPr>
          <w:rFonts w:ascii="Arial" w:hAnsi="Arial" w:cs="Arial"/>
        </w:rPr>
        <w:t>.</w:t>
      </w:r>
      <w:r w:rsidRPr="36DAC812">
        <w:rPr>
          <w:rFonts w:ascii="Arial" w:hAnsi="Arial" w:cs="Arial"/>
        </w:rPr>
        <w:t xml:space="preserve"> </w:t>
      </w:r>
      <w:r w:rsidR="00630B36">
        <w:rPr>
          <w:rFonts w:ascii="Arial" w:hAnsi="Arial" w:cs="Arial"/>
        </w:rPr>
        <w:t xml:space="preserve"> Do montante total,</w:t>
      </w:r>
      <w:r w:rsidRPr="36DAC812">
        <w:rPr>
          <w:rFonts w:ascii="Arial" w:hAnsi="Arial" w:cs="Arial"/>
        </w:rPr>
        <w:t xml:space="preserve"> </w:t>
      </w:r>
      <w:r>
        <w:rPr>
          <w:rFonts w:ascii="Arial" w:hAnsi="Arial" w:cs="Arial"/>
        </w:rPr>
        <w:t>65,</w:t>
      </w:r>
      <w:r w:rsidR="004A1F84">
        <w:rPr>
          <w:rFonts w:ascii="Arial" w:hAnsi="Arial" w:cs="Arial"/>
        </w:rPr>
        <w:t>9</w:t>
      </w:r>
      <w:r w:rsidRPr="36DAC812">
        <w:rPr>
          <w:rFonts w:ascii="Arial" w:hAnsi="Arial" w:cs="Arial"/>
        </w:rPr>
        <w:t xml:space="preserve">% (R$ </w:t>
      </w:r>
      <w:r>
        <w:rPr>
          <w:rFonts w:ascii="Arial" w:hAnsi="Arial" w:cs="Arial"/>
        </w:rPr>
        <w:t>2</w:t>
      </w:r>
      <w:r w:rsidRPr="36DAC812">
        <w:rPr>
          <w:rFonts w:ascii="Arial" w:hAnsi="Arial" w:cs="Arial"/>
        </w:rPr>
        <w:t>,</w:t>
      </w:r>
      <w:r w:rsidR="004A1F84">
        <w:rPr>
          <w:rFonts w:ascii="Arial" w:hAnsi="Arial" w:cs="Arial"/>
        </w:rPr>
        <w:t>9</w:t>
      </w:r>
      <w:r w:rsidRPr="36DAC812">
        <w:rPr>
          <w:rFonts w:ascii="Arial" w:hAnsi="Arial" w:cs="Arial"/>
        </w:rPr>
        <w:t xml:space="preserve"> bilhões)</w:t>
      </w:r>
      <w:r w:rsidR="00630B36">
        <w:rPr>
          <w:rFonts w:ascii="Arial" w:hAnsi="Arial" w:cs="Arial"/>
        </w:rPr>
        <w:t xml:space="preserve"> das obrigações</w:t>
      </w:r>
      <w:r w:rsidRPr="36DAC812">
        <w:rPr>
          <w:rFonts w:ascii="Arial" w:hAnsi="Arial" w:cs="Arial"/>
        </w:rPr>
        <w:t xml:space="preserve"> corresponde</w:t>
      </w:r>
      <w:r w:rsidR="00630B36">
        <w:rPr>
          <w:rFonts w:ascii="Arial" w:hAnsi="Arial" w:cs="Arial"/>
        </w:rPr>
        <w:t>ram</w:t>
      </w:r>
      <w:r w:rsidRPr="36DAC812">
        <w:rPr>
          <w:rFonts w:ascii="Arial" w:hAnsi="Arial" w:cs="Arial"/>
        </w:rPr>
        <w:t xml:space="preserve"> à Petrobras. Por campo</w:t>
      </w:r>
      <w:r w:rsidR="00807406">
        <w:rPr>
          <w:rFonts w:ascii="Arial" w:hAnsi="Arial" w:cs="Arial"/>
        </w:rPr>
        <w:t>s</w:t>
      </w:r>
      <w:r w:rsidRPr="36DAC812">
        <w:rPr>
          <w:rFonts w:ascii="Arial" w:hAnsi="Arial" w:cs="Arial"/>
        </w:rPr>
        <w:t xml:space="preserve">, Tupi gerou </w:t>
      </w:r>
      <w:r w:rsidR="004A1F84">
        <w:rPr>
          <w:rFonts w:ascii="Arial" w:hAnsi="Arial" w:cs="Arial"/>
        </w:rPr>
        <w:t>26,1</w:t>
      </w:r>
      <w:r w:rsidRPr="36DAC812">
        <w:rPr>
          <w:rFonts w:ascii="Arial" w:hAnsi="Arial" w:cs="Arial"/>
        </w:rPr>
        <w:t>% (R$1,</w:t>
      </w:r>
      <w:r w:rsidR="004A1F84">
        <w:rPr>
          <w:rFonts w:ascii="Arial" w:hAnsi="Arial" w:cs="Arial"/>
        </w:rPr>
        <w:t>1</w:t>
      </w:r>
      <w:r w:rsidRPr="36DAC812">
        <w:rPr>
          <w:rFonts w:ascii="Arial" w:hAnsi="Arial" w:cs="Arial"/>
        </w:rPr>
        <w:t xml:space="preserve"> bilhão) do total das obrigações de investimentos em PD&amp;I.</w:t>
      </w:r>
    </w:p>
    <w:p w14:paraId="0E6329AA" w14:textId="77777777" w:rsidR="0041466A" w:rsidRPr="00360370" w:rsidRDefault="0041466A" w:rsidP="0041466A">
      <w:pPr>
        <w:autoSpaceDE w:val="0"/>
        <w:autoSpaceDN w:val="0"/>
        <w:adjustRightInd w:val="0"/>
        <w:jc w:val="both"/>
        <w:rPr>
          <w:rFonts w:ascii="Arial" w:hAnsi="Arial" w:cs="Arial"/>
          <w:highlight w:val="yellow"/>
        </w:rPr>
      </w:pPr>
    </w:p>
    <w:p w14:paraId="0D4226B1" w14:textId="0AECF801" w:rsidR="0041466A" w:rsidRDefault="0041466A" w:rsidP="0041466A">
      <w:pPr>
        <w:autoSpaceDE w:val="0"/>
        <w:autoSpaceDN w:val="0"/>
        <w:adjustRightInd w:val="0"/>
        <w:jc w:val="both"/>
        <w:rPr>
          <w:rFonts w:ascii="Arial" w:hAnsi="Arial" w:cs="Arial"/>
        </w:rPr>
      </w:pPr>
      <w:r w:rsidRPr="0042507F">
        <w:rPr>
          <w:rFonts w:ascii="Arial" w:hAnsi="Arial" w:cs="Arial"/>
        </w:rPr>
        <w:t xml:space="preserve">Ainda no contexto das atribuições previstas na Lei do Petróleo e com </w:t>
      </w:r>
      <w:r w:rsidR="00266538">
        <w:rPr>
          <w:rFonts w:ascii="Arial" w:hAnsi="Arial" w:cs="Arial"/>
        </w:rPr>
        <w:t>o objetivo de</w:t>
      </w:r>
      <w:r w:rsidRPr="0042507F">
        <w:rPr>
          <w:rFonts w:ascii="Arial" w:hAnsi="Arial" w:cs="Arial"/>
        </w:rPr>
        <w:t xml:space="preserve"> contribuir com as políticas de apoio ao desenvolvimento econômico, a ANP implementou, em 1999, um programa para incentivar a formação de mão de obra especializada, em resposta à expansão da indústria do petróleo e do gás natural verificada a partir </w:t>
      </w:r>
      <w:r>
        <w:rPr>
          <w:rFonts w:ascii="Arial" w:hAnsi="Arial" w:cs="Arial"/>
        </w:rPr>
        <w:t>de 1997.</w:t>
      </w:r>
    </w:p>
    <w:p w14:paraId="3DD3162A" w14:textId="77777777" w:rsidR="0041466A" w:rsidRDefault="0041466A" w:rsidP="0041466A">
      <w:pPr>
        <w:autoSpaceDE w:val="0"/>
        <w:autoSpaceDN w:val="0"/>
        <w:adjustRightInd w:val="0"/>
        <w:jc w:val="both"/>
        <w:rPr>
          <w:rFonts w:ascii="Arial" w:hAnsi="Arial" w:cs="Arial"/>
        </w:rPr>
      </w:pPr>
    </w:p>
    <w:p w14:paraId="7FFA6A6D" w14:textId="77777777" w:rsidR="00266538" w:rsidRPr="00266538" w:rsidRDefault="00266538" w:rsidP="00266538">
      <w:pPr>
        <w:autoSpaceDE w:val="0"/>
        <w:autoSpaceDN w:val="0"/>
        <w:adjustRightInd w:val="0"/>
        <w:jc w:val="both"/>
        <w:rPr>
          <w:rFonts w:ascii="Arial" w:hAnsi="Arial" w:cs="Arial"/>
        </w:rPr>
      </w:pPr>
      <w:r w:rsidRPr="00266538">
        <w:rPr>
          <w:rFonts w:ascii="Arial" w:hAnsi="Arial" w:cs="Arial"/>
        </w:rPr>
        <w:t>O Programa de Formação de Recursos Humanos da ANP (PRH-ANP) foi criado pela ANP, em 1999, como uma importante ferramenta de gestão para a execução da política pública prevista na Lei do Petróleo (nº 9.478/1997). Seu objetivo principal é estimular a pesquisa e a adoção de novas tecnologias na indústria do petróleo, gás natural e biocombustíveis.</w:t>
      </w:r>
    </w:p>
    <w:p w14:paraId="44D1DE65" w14:textId="77777777" w:rsidR="00266538" w:rsidRPr="00266538" w:rsidRDefault="00266538" w:rsidP="00266538">
      <w:pPr>
        <w:autoSpaceDE w:val="0"/>
        <w:autoSpaceDN w:val="0"/>
        <w:adjustRightInd w:val="0"/>
        <w:jc w:val="both"/>
        <w:rPr>
          <w:rFonts w:ascii="Arial" w:hAnsi="Arial" w:cs="Arial"/>
        </w:rPr>
      </w:pPr>
      <w:r w:rsidRPr="00266538">
        <w:rPr>
          <w:rFonts w:ascii="Arial" w:hAnsi="Arial" w:cs="Arial"/>
        </w:rPr>
        <w:t>Por meio da concessão de bolsas de estudo, o PRH-ANP busca incentivar as instituições de ensino a oferecerem capacitações estratégicas, essenciais para o desenvolvimento do setor. Essas capacitações abrangem petróleo, gás natural, biocombustíveis, fontes de energias renováveis, transição energética, descarbonização, e petroquímica de primeira e segunda geração.</w:t>
      </w:r>
    </w:p>
    <w:p w14:paraId="424D99D7" w14:textId="77777777" w:rsidR="00266538" w:rsidRPr="00266538" w:rsidRDefault="00266538" w:rsidP="00266538">
      <w:pPr>
        <w:autoSpaceDE w:val="0"/>
        <w:autoSpaceDN w:val="0"/>
        <w:adjustRightInd w:val="0"/>
        <w:jc w:val="both"/>
        <w:rPr>
          <w:rFonts w:ascii="Arial" w:hAnsi="Arial" w:cs="Arial"/>
        </w:rPr>
      </w:pPr>
      <w:r w:rsidRPr="00266538">
        <w:rPr>
          <w:rFonts w:ascii="Arial" w:hAnsi="Arial" w:cs="Arial"/>
        </w:rPr>
        <w:t>Desde 2019, o Programa passou a ser financiado com recursos da Cláusula de Pesquisa, Desenvolvimento e Inovação (PD&amp;I), prevista nos contratos de exploração e produção de petróleo e gás natural. Essa cláusula destina parte da renda bruta dos campos com alta produção ou rentabilidade para investimentos em PD&amp;I. </w:t>
      </w:r>
    </w:p>
    <w:p w14:paraId="36139C15" w14:textId="77777777" w:rsidR="00266538" w:rsidRPr="00266538" w:rsidRDefault="00266538" w:rsidP="00266538">
      <w:pPr>
        <w:numPr>
          <w:ilvl w:val="0"/>
          <w:numId w:val="12"/>
        </w:numPr>
        <w:autoSpaceDE w:val="0"/>
        <w:autoSpaceDN w:val="0"/>
        <w:adjustRightInd w:val="0"/>
        <w:jc w:val="both"/>
        <w:rPr>
          <w:rFonts w:ascii="Arial" w:hAnsi="Arial" w:cs="Arial"/>
        </w:rPr>
      </w:pPr>
      <w:r w:rsidRPr="00266538">
        <w:rPr>
          <w:rFonts w:ascii="Arial" w:hAnsi="Arial" w:cs="Arial"/>
        </w:rPr>
        <w:t>Mais de dez mil bolsistas já passaram pelo Programa.</w:t>
      </w:r>
    </w:p>
    <w:p w14:paraId="202F50BD" w14:textId="1D2F0E69" w:rsidR="00266538" w:rsidRPr="00266538" w:rsidRDefault="00266538" w:rsidP="00266538">
      <w:pPr>
        <w:numPr>
          <w:ilvl w:val="0"/>
          <w:numId w:val="12"/>
        </w:numPr>
        <w:autoSpaceDE w:val="0"/>
        <w:autoSpaceDN w:val="0"/>
        <w:adjustRightInd w:val="0"/>
        <w:jc w:val="both"/>
        <w:rPr>
          <w:rFonts w:ascii="Arial" w:hAnsi="Arial" w:cs="Arial"/>
        </w:rPr>
      </w:pPr>
      <w:r w:rsidRPr="00266538">
        <w:rPr>
          <w:rFonts w:ascii="Arial" w:hAnsi="Arial" w:cs="Arial"/>
        </w:rPr>
        <w:t>Em 2025, o PRH-ANP passou a ter 60 programas em 30 instituições de ensino, em 18 estados da Federação.</w:t>
      </w:r>
    </w:p>
    <w:p w14:paraId="523920ED" w14:textId="77777777" w:rsidR="00266538" w:rsidRPr="00266538" w:rsidRDefault="00266538" w:rsidP="00266538">
      <w:pPr>
        <w:autoSpaceDE w:val="0"/>
        <w:autoSpaceDN w:val="0"/>
        <w:adjustRightInd w:val="0"/>
        <w:jc w:val="both"/>
        <w:rPr>
          <w:rFonts w:ascii="Arial" w:hAnsi="Arial" w:cs="Arial"/>
        </w:rPr>
      </w:pPr>
      <w:r w:rsidRPr="00266538">
        <w:rPr>
          <w:rFonts w:ascii="Arial" w:hAnsi="Arial" w:cs="Arial"/>
        </w:rPr>
        <w:t>Em 2024, ao celebrar 25 anos de existência, o PRH-ANP passou por um processo de aprimoramento. Essas mudanças reafirmam o compromisso da ANP em formar profissionais altamente qualificados, preparados para enfrentar os desafios tecnológicos e regulatórios que vêm se intensificando no setor. Entre as inovações implementadas, destaca-se a maior integração dos bolsistas com o portfólio de projetos de PD&amp;I contratados pelas empresas do setor, utilizando os recursos da Cláusula de PD&amp;I.</w:t>
      </w:r>
    </w:p>
    <w:p w14:paraId="19EDAAB6" w14:textId="77777777" w:rsidR="0041466A" w:rsidRPr="00750561" w:rsidRDefault="0041466A" w:rsidP="0041466A">
      <w:pPr>
        <w:autoSpaceDE w:val="0"/>
        <w:autoSpaceDN w:val="0"/>
        <w:adjustRightInd w:val="0"/>
        <w:jc w:val="both"/>
        <w:rPr>
          <w:rFonts w:ascii="Arial" w:hAnsi="Arial" w:cs="Arial"/>
        </w:rPr>
      </w:pPr>
    </w:p>
    <w:p w14:paraId="4DBABD8A" w14:textId="539909F4" w:rsidR="0041466A" w:rsidRDefault="0041466A" w:rsidP="0041466A">
      <w:pPr>
        <w:jc w:val="both"/>
        <w:rPr>
          <w:rFonts w:ascii="Arial" w:hAnsi="Arial" w:cs="Arial"/>
          <w:bCs/>
        </w:rPr>
      </w:pPr>
      <w:r w:rsidRPr="00750561">
        <w:rPr>
          <w:rFonts w:ascii="Arial" w:hAnsi="Arial" w:cs="Arial"/>
        </w:rPr>
        <w:t xml:space="preserve">De </w:t>
      </w:r>
      <w:r>
        <w:rPr>
          <w:rFonts w:ascii="Arial" w:hAnsi="Arial" w:cs="Arial"/>
        </w:rPr>
        <w:t>20</w:t>
      </w:r>
      <w:r w:rsidR="004A1F84">
        <w:rPr>
          <w:rFonts w:ascii="Arial" w:hAnsi="Arial" w:cs="Arial"/>
        </w:rPr>
        <w:t>16</w:t>
      </w:r>
      <w:r w:rsidRPr="00750561">
        <w:rPr>
          <w:rFonts w:ascii="Arial" w:hAnsi="Arial" w:cs="Arial"/>
        </w:rPr>
        <w:t xml:space="preserve"> a </w:t>
      </w:r>
      <w:r>
        <w:rPr>
          <w:rFonts w:ascii="Arial" w:hAnsi="Arial" w:cs="Arial"/>
        </w:rPr>
        <w:t>2025</w:t>
      </w:r>
      <w:r w:rsidRPr="00750561">
        <w:rPr>
          <w:rFonts w:ascii="Arial" w:hAnsi="Arial" w:cs="Arial"/>
        </w:rPr>
        <w:t xml:space="preserve">, foram investidos R$ </w:t>
      </w:r>
      <w:r w:rsidR="004A1F84">
        <w:rPr>
          <w:rFonts w:ascii="Arial" w:hAnsi="Arial" w:cs="Arial"/>
        </w:rPr>
        <w:t>365,6</w:t>
      </w:r>
      <w:r w:rsidRPr="00750561">
        <w:rPr>
          <w:rFonts w:ascii="Arial" w:hAnsi="Arial" w:cs="Arial"/>
        </w:rPr>
        <w:t xml:space="preserve"> milhões</w:t>
      </w:r>
      <w:r w:rsidRPr="00750561">
        <w:rPr>
          <w:rFonts w:ascii="Arial" w:hAnsi="Arial" w:cs="Arial"/>
          <w:bCs/>
        </w:rPr>
        <w:t xml:space="preserve"> na concessão de bolsas de estudo e taxa de bancada. No ano de </w:t>
      </w:r>
      <w:r>
        <w:rPr>
          <w:rFonts w:ascii="Arial" w:hAnsi="Arial" w:cs="Arial"/>
          <w:bCs/>
        </w:rPr>
        <w:t>2025</w:t>
      </w:r>
      <w:r w:rsidRPr="00750561">
        <w:rPr>
          <w:rFonts w:ascii="Arial" w:hAnsi="Arial" w:cs="Arial"/>
          <w:bCs/>
        </w:rPr>
        <w:t xml:space="preserve">, </w:t>
      </w:r>
      <w:r>
        <w:rPr>
          <w:rFonts w:ascii="Arial" w:hAnsi="Arial" w:cs="Arial"/>
          <w:bCs/>
        </w:rPr>
        <w:t xml:space="preserve">foram investidos R$ </w:t>
      </w:r>
      <w:r w:rsidR="004A1F84">
        <w:rPr>
          <w:rFonts w:ascii="Arial" w:hAnsi="Arial" w:cs="Arial"/>
          <w:bCs/>
        </w:rPr>
        <w:t>48</w:t>
      </w:r>
      <w:r>
        <w:rPr>
          <w:rFonts w:ascii="Arial" w:hAnsi="Arial" w:cs="Arial"/>
          <w:bCs/>
        </w:rPr>
        <w:t xml:space="preserve"> milhões no </w:t>
      </w:r>
      <w:r w:rsidRPr="005200A2">
        <w:rPr>
          <w:rFonts w:ascii="Arial" w:hAnsi="Arial" w:cs="Arial"/>
          <w:bCs/>
        </w:rPr>
        <w:t>PRH-ANP/MCT Nível Superior</w:t>
      </w:r>
      <w:r>
        <w:rPr>
          <w:rFonts w:ascii="Arial" w:hAnsi="Arial" w:cs="Arial"/>
          <w:bCs/>
        </w:rPr>
        <w:t>.</w:t>
      </w:r>
    </w:p>
    <w:p w14:paraId="10064488" w14:textId="77777777" w:rsidR="0041466A" w:rsidRPr="00360370" w:rsidRDefault="0041466A" w:rsidP="0041466A">
      <w:pPr>
        <w:jc w:val="both"/>
        <w:rPr>
          <w:rFonts w:ascii="Arial" w:hAnsi="Arial" w:cs="Arial"/>
          <w:bCs/>
          <w:color w:val="000000"/>
          <w:highlight w:val="yellow"/>
        </w:rPr>
      </w:pPr>
    </w:p>
    <w:p w14:paraId="5B7FD060" w14:textId="1B2BE2CC" w:rsidR="0041466A"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2.2</w:t>
      </w:r>
      <w:r w:rsidR="004A1F84">
        <w:rPr>
          <w:rFonts w:ascii="Arial" w:hAnsi="Arial" w:cs="Arial"/>
          <w:b/>
          <w:bCs/>
          <w:color w:val="FF0000"/>
        </w:rPr>
        <w:t>9</w:t>
      </w:r>
    </w:p>
    <w:p w14:paraId="5169CAD7" w14:textId="0224CEF4"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sidR="004A1F84">
        <w:rPr>
          <w:rFonts w:ascii="Arial" w:hAnsi="Arial" w:cs="Arial"/>
          <w:b/>
          <w:bCs/>
          <w:color w:val="FF0000"/>
        </w:rPr>
        <w:t>30</w:t>
      </w:r>
    </w:p>
    <w:p w14:paraId="62977D62" w14:textId="393536AB"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sidR="004A1F84">
        <w:rPr>
          <w:rFonts w:ascii="Arial" w:hAnsi="Arial" w:cs="Arial"/>
          <w:b/>
          <w:bCs/>
          <w:color w:val="FF0000"/>
        </w:rPr>
        <w:t>31</w:t>
      </w:r>
    </w:p>
    <w:p w14:paraId="68B20C4A" w14:textId="77777777" w:rsidR="0041466A" w:rsidRPr="001A4B9C" w:rsidRDefault="0041466A" w:rsidP="0041466A">
      <w:pPr>
        <w:autoSpaceDE w:val="0"/>
        <w:autoSpaceDN w:val="0"/>
        <w:adjustRightInd w:val="0"/>
        <w:jc w:val="both"/>
        <w:rPr>
          <w:rFonts w:ascii="Arial" w:hAnsi="Arial" w:cs="Arial"/>
          <w:b/>
          <w:bCs/>
          <w:color w:val="FF0000"/>
        </w:rPr>
      </w:pPr>
    </w:p>
    <w:p w14:paraId="118E5E1C" w14:textId="77777777"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Gráfico 2.12</w:t>
      </w:r>
    </w:p>
    <w:p w14:paraId="1DBD08E1" w14:textId="77777777" w:rsidR="0041466A" w:rsidRPr="001A4B9C" w:rsidRDefault="0041466A" w:rsidP="0041466A">
      <w:pPr>
        <w:autoSpaceDE w:val="0"/>
        <w:autoSpaceDN w:val="0"/>
        <w:adjustRightInd w:val="0"/>
        <w:jc w:val="both"/>
        <w:rPr>
          <w:rFonts w:ascii="Arial" w:hAnsi="Arial" w:cs="Arial"/>
          <w:b/>
          <w:bCs/>
          <w:color w:val="000000"/>
        </w:rPr>
      </w:pPr>
    </w:p>
    <w:p w14:paraId="780A55C2" w14:textId="77777777" w:rsidR="0041466A" w:rsidRDefault="0041466A" w:rsidP="0041466A">
      <w:pPr>
        <w:autoSpaceDE w:val="0"/>
        <w:autoSpaceDN w:val="0"/>
        <w:adjustRightInd w:val="0"/>
        <w:jc w:val="both"/>
        <w:rPr>
          <w:rFonts w:ascii="Arial" w:hAnsi="Arial" w:cs="Arial"/>
          <w:b/>
          <w:bCs/>
          <w:color w:val="000000"/>
        </w:rPr>
      </w:pPr>
    </w:p>
    <w:p w14:paraId="6F3DCA19" w14:textId="77777777" w:rsidR="001B270C" w:rsidRDefault="001B270C" w:rsidP="0041466A">
      <w:pPr>
        <w:autoSpaceDE w:val="0"/>
        <w:autoSpaceDN w:val="0"/>
        <w:adjustRightInd w:val="0"/>
        <w:jc w:val="both"/>
        <w:rPr>
          <w:rFonts w:ascii="Arial" w:hAnsi="Arial" w:cs="Arial"/>
          <w:b/>
          <w:bCs/>
          <w:color w:val="000000"/>
        </w:rPr>
      </w:pPr>
    </w:p>
    <w:p w14:paraId="167D92AB" w14:textId="77777777" w:rsidR="001B270C" w:rsidRDefault="001B270C" w:rsidP="0041466A">
      <w:pPr>
        <w:autoSpaceDE w:val="0"/>
        <w:autoSpaceDN w:val="0"/>
        <w:adjustRightInd w:val="0"/>
        <w:jc w:val="both"/>
        <w:rPr>
          <w:rFonts w:ascii="Arial" w:hAnsi="Arial" w:cs="Arial"/>
          <w:b/>
          <w:bCs/>
          <w:color w:val="000000"/>
        </w:rPr>
      </w:pPr>
    </w:p>
    <w:p w14:paraId="75645580" w14:textId="77777777" w:rsidR="001B270C" w:rsidRDefault="001B270C" w:rsidP="0041466A">
      <w:pPr>
        <w:autoSpaceDE w:val="0"/>
        <w:autoSpaceDN w:val="0"/>
        <w:adjustRightInd w:val="0"/>
        <w:jc w:val="both"/>
        <w:rPr>
          <w:rFonts w:ascii="Arial" w:hAnsi="Arial" w:cs="Arial"/>
          <w:b/>
          <w:bCs/>
          <w:color w:val="000000"/>
        </w:rPr>
      </w:pPr>
    </w:p>
    <w:p w14:paraId="7D8B374B" w14:textId="77777777" w:rsidR="00E57DC7" w:rsidRPr="001A4B9C" w:rsidRDefault="00E57DC7" w:rsidP="0041466A">
      <w:pPr>
        <w:autoSpaceDE w:val="0"/>
        <w:autoSpaceDN w:val="0"/>
        <w:adjustRightInd w:val="0"/>
        <w:jc w:val="both"/>
        <w:rPr>
          <w:rFonts w:ascii="Arial" w:hAnsi="Arial" w:cs="Arial"/>
          <w:b/>
          <w:bCs/>
          <w:color w:val="000000"/>
        </w:rPr>
      </w:pPr>
    </w:p>
    <w:p w14:paraId="3F88F241" w14:textId="29F18267" w:rsidR="0041466A" w:rsidRPr="001A4B9C" w:rsidRDefault="0041466A" w:rsidP="0041466A">
      <w:pPr>
        <w:autoSpaceDE w:val="0"/>
        <w:autoSpaceDN w:val="0"/>
        <w:adjustRightInd w:val="0"/>
        <w:jc w:val="both"/>
        <w:rPr>
          <w:rFonts w:ascii="Arial" w:hAnsi="Arial" w:cs="Arial"/>
          <w:b/>
          <w:bCs/>
          <w:color w:val="000000"/>
        </w:rPr>
      </w:pPr>
      <w:r w:rsidRPr="001A4B9C">
        <w:rPr>
          <w:rFonts w:ascii="Arial" w:hAnsi="Arial" w:cs="Arial"/>
          <w:b/>
          <w:bCs/>
          <w:color w:val="000000"/>
        </w:rPr>
        <w:lastRenderedPageBreak/>
        <w:t>2.</w:t>
      </w:r>
      <w:r w:rsidR="001B270C">
        <w:rPr>
          <w:rFonts w:ascii="Arial" w:hAnsi="Arial" w:cs="Arial"/>
          <w:b/>
          <w:bCs/>
          <w:color w:val="000000"/>
        </w:rPr>
        <w:t>1.</w:t>
      </w:r>
      <w:r>
        <w:rPr>
          <w:rFonts w:ascii="Arial" w:hAnsi="Arial" w:cs="Arial"/>
          <w:b/>
          <w:bCs/>
          <w:color w:val="000000"/>
        </w:rPr>
        <w:t>8</w:t>
      </w:r>
      <w:r w:rsidRPr="001A4B9C">
        <w:rPr>
          <w:rFonts w:ascii="Arial" w:hAnsi="Arial" w:cs="Arial"/>
          <w:b/>
          <w:bCs/>
          <w:color w:val="000000"/>
        </w:rPr>
        <w:t xml:space="preserve"> P</w:t>
      </w:r>
      <w:r w:rsidR="001B270C" w:rsidRPr="001A4B9C">
        <w:rPr>
          <w:rFonts w:ascii="Arial" w:hAnsi="Arial" w:cs="Arial"/>
          <w:b/>
          <w:bCs/>
          <w:color w:val="000000"/>
        </w:rPr>
        <w:t>reços de referência do petróleo e do gás natural</w:t>
      </w:r>
    </w:p>
    <w:p w14:paraId="03C28E58" w14:textId="77777777" w:rsidR="0041466A" w:rsidRPr="00360370" w:rsidRDefault="0041466A" w:rsidP="0041466A">
      <w:pPr>
        <w:autoSpaceDE w:val="0"/>
        <w:autoSpaceDN w:val="0"/>
        <w:adjustRightInd w:val="0"/>
        <w:jc w:val="both"/>
        <w:rPr>
          <w:rFonts w:ascii="Arial" w:hAnsi="Arial" w:cs="Arial"/>
          <w:color w:val="000000"/>
          <w:highlight w:val="yellow"/>
        </w:rPr>
      </w:pPr>
    </w:p>
    <w:p w14:paraId="59DB7A91" w14:textId="77777777" w:rsidR="0041466A" w:rsidRPr="002462D7" w:rsidRDefault="0041466A" w:rsidP="0041466A">
      <w:pPr>
        <w:autoSpaceDE w:val="0"/>
        <w:autoSpaceDN w:val="0"/>
        <w:adjustRightInd w:val="0"/>
        <w:jc w:val="both"/>
        <w:rPr>
          <w:rFonts w:ascii="Arial" w:hAnsi="Arial" w:cs="Arial"/>
        </w:rPr>
      </w:pPr>
      <w:r w:rsidRPr="002462D7">
        <w:rPr>
          <w:rFonts w:ascii="Arial" w:hAnsi="Arial" w:cs="Arial"/>
        </w:rPr>
        <w:t>De acordo com o Decreto nº 2.705/1998, conhecido como “Decreto das Participações Governamentais”, os preços de referência do petróleo e do gás natural são utilizados na determinação do valor da produção para fins de cálculo de royalties e participação especial.</w:t>
      </w:r>
    </w:p>
    <w:p w14:paraId="53F9FA25" w14:textId="77777777" w:rsidR="0041466A" w:rsidRPr="00360370" w:rsidRDefault="0041466A" w:rsidP="0041466A">
      <w:pPr>
        <w:autoSpaceDE w:val="0"/>
        <w:autoSpaceDN w:val="0"/>
        <w:adjustRightInd w:val="0"/>
        <w:jc w:val="both"/>
        <w:rPr>
          <w:rFonts w:ascii="Arial" w:hAnsi="Arial" w:cs="Arial"/>
          <w:color w:val="000000"/>
          <w:highlight w:val="yellow"/>
        </w:rPr>
      </w:pPr>
    </w:p>
    <w:p w14:paraId="37FE45BE" w14:textId="77777777" w:rsidR="0041466A" w:rsidRDefault="0041466A" w:rsidP="0041466A">
      <w:pPr>
        <w:jc w:val="both"/>
        <w:rPr>
          <w:rFonts w:ascii="Arial" w:hAnsi="Arial" w:cs="Arial"/>
          <w:color w:val="000000" w:themeColor="text1"/>
        </w:rPr>
      </w:pPr>
      <w:r w:rsidRPr="36DAC812">
        <w:rPr>
          <w:rFonts w:ascii="Arial" w:hAnsi="Arial" w:cs="Arial"/>
          <w:color w:val="000000" w:themeColor="text1"/>
        </w:rPr>
        <w:t>O Preço de Referência do Petróleo (PRP), adotado para cálculo das participações governamentais, é calculado pela ANP, mensalmente, tendo como base as médias mensais das cotações do petróleo referência (tipo Brent) e de derivados (leves, médios e pesados), ao qual se incorpora um diferencial de qualidade em função das características físico-químicas de cada corrente. Os valores apurados pela ANP são divulgados em reais por metro cúbico (R$/m³).</w:t>
      </w:r>
    </w:p>
    <w:p w14:paraId="30C65DDF" w14:textId="77777777" w:rsidR="0041466A" w:rsidRPr="002462D7" w:rsidRDefault="0041466A" w:rsidP="0041466A">
      <w:pPr>
        <w:autoSpaceDE w:val="0"/>
        <w:autoSpaceDN w:val="0"/>
        <w:adjustRightInd w:val="0"/>
        <w:jc w:val="both"/>
        <w:rPr>
          <w:rFonts w:ascii="Arial" w:hAnsi="Arial" w:cs="Arial"/>
          <w:color w:val="000000"/>
        </w:rPr>
      </w:pPr>
    </w:p>
    <w:p w14:paraId="450BF14E" w14:textId="77777777" w:rsidR="0041466A" w:rsidRDefault="0041466A" w:rsidP="0041466A">
      <w:pPr>
        <w:autoSpaceDE w:val="0"/>
        <w:autoSpaceDN w:val="0"/>
        <w:adjustRightInd w:val="0"/>
        <w:jc w:val="both"/>
        <w:rPr>
          <w:rFonts w:ascii="Arial" w:hAnsi="Arial" w:cs="Arial"/>
          <w:color w:val="000000" w:themeColor="text1"/>
        </w:rPr>
      </w:pPr>
      <w:r w:rsidRPr="36DAC812">
        <w:rPr>
          <w:rFonts w:ascii="Arial" w:hAnsi="Arial" w:cs="Arial"/>
          <w:color w:val="000000" w:themeColor="text1"/>
        </w:rPr>
        <w:t>Já o Preço de Referência do Gás Natural (PRGN), adotado para cálculo das participações governamentais, é calculado pela ANP, mensalmente, para cada campo, pelo somatório dos produtos das frações volumétricas do gás natural que, após seu processamento, podem ser obtidas como condensado de gás natural (VCGN), gás liquefeito de petróleo (VGLP) e gás processado (VGP), pelos correspondentes preços (PCGN, PGLP e VGP). Sua unidade de medida é reais por metro cúbico (R$/m³).</w:t>
      </w:r>
    </w:p>
    <w:p w14:paraId="76350723" w14:textId="77777777" w:rsidR="0041466A" w:rsidRPr="005E172C" w:rsidRDefault="0041466A" w:rsidP="0041466A">
      <w:pPr>
        <w:autoSpaceDE w:val="0"/>
        <w:autoSpaceDN w:val="0"/>
        <w:adjustRightInd w:val="0"/>
        <w:jc w:val="both"/>
        <w:rPr>
          <w:rFonts w:ascii="Arial" w:hAnsi="Arial" w:cs="Arial"/>
          <w:color w:val="000000"/>
        </w:rPr>
      </w:pPr>
    </w:p>
    <w:p w14:paraId="6B5FC6B1" w14:textId="0E3BFAE5" w:rsidR="0041466A" w:rsidRPr="00B77457"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xml:space="preserve">, o preço médio de referência do petróleo em reais foi de R$ </w:t>
      </w:r>
      <w:r w:rsidR="002E7922">
        <w:rPr>
          <w:rFonts w:ascii="Arial" w:hAnsi="Arial" w:cs="Arial"/>
          <w:color w:val="000000" w:themeColor="text1"/>
        </w:rPr>
        <w:t>377,32</w:t>
      </w:r>
      <w:r w:rsidRPr="36DAC812">
        <w:rPr>
          <w:rFonts w:ascii="Arial" w:hAnsi="Arial" w:cs="Arial"/>
          <w:color w:val="000000" w:themeColor="text1"/>
        </w:rPr>
        <w:t xml:space="preserve">/barril e registrou </w:t>
      </w:r>
      <w:r w:rsidR="002E7922">
        <w:rPr>
          <w:rFonts w:ascii="Arial" w:hAnsi="Arial" w:cs="Arial"/>
          <w:color w:val="000000" w:themeColor="text1"/>
        </w:rPr>
        <w:t>queda</w:t>
      </w:r>
      <w:r w:rsidRPr="36DAC812">
        <w:rPr>
          <w:rFonts w:ascii="Arial" w:hAnsi="Arial" w:cs="Arial"/>
          <w:color w:val="000000" w:themeColor="text1"/>
        </w:rPr>
        <w:t xml:space="preserve"> de </w:t>
      </w:r>
      <w:r w:rsidR="002E7922">
        <w:rPr>
          <w:rFonts w:ascii="Arial" w:hAnsi="Arial" w:cs="Arial"/>
          <w:color w:val="000000" w:themeColor="text1"/>
        </w:rPr>
        <w:t>3,9</w:t>
      </w:r>
      <w:r w:rsidRPr="36DAC812">
        <w:rPr>
          <w:rFonts w:ascii="Arial" w:hAnsi="Arial" w:cs="Arial"/>
          <w:color w:val="000000" w:themeColor="text1"/>
        </w:rPr>
        <w:t xml:space="preserve">% em comparação a </w:t>
      </w:r>
      <w:r>
        <w:rPr>
          <w:rFonts w:ascii="Arial" w:hAnsi="Arial" w:cs="Arial"/>
          <w:color w:val="000000" w:themeColor="text1"/>
        </w:rPr>
        <w:t>2024</w:t>
      </w:r>
      <w:r w:rsidRPr="36DAC812">
        <w:rPr>
          <w:rFonts w:ascii="Arial" w:hAnsi="Arial" w:cs="Arial"/>
          <w:color w:val="000000" w:themeColor="text1"/>
        </w:rPr>
        <w:t xml:space="preserve">. Em dólares, </w:t>
      </w:r>
      <w:r>
        <w:rPr>
          <w:rFonts w:ascii="Arial" w:hAnsi="Arial" w:cs="Arial"/>
          <w:color w:val="000000" w:themeColor="text1"/>
        </w:rPr>
        <w:t xml:space="preserve">também </w:t>
      </w:r>
      <w:r w:rsidRPr="36DAC812">
        <w:rPr>
          <w:rFonts w:ascii="Arial" w:hAnsi="Arial" w:cs="Arial"/>
          <w:color w:val="000000" w:themeColor="text1"/>
        </w:rPr>
        <w:t xml:space="preserve">houve </w:t>
      </w:r>
      <w:r w:rsidR="002E7922">
        <w:rPr>
          <w:rFonts w:ascii="Arial" w:hAnsi="Arial" w:cs="Arial"/>
          <w:color w:val="000000" w:themeColor="text1"/>
        </w:rPr>
        <w:t>diminuição,</w:t>
      </w:r>
      <w:r w:rsidRPr="36DAC812">
        <w:rPr>
          <w:rFonts w:ascii="Arial" w:hAnsi="Arial" w:cs="Arial"/>
          <w:color w:val="000000" w:themeColor="text1"/>
        </w:rPr>
        <w:t xml:space="preserve"> de</w:t>
      </w:r>
      <w:r>
        <w:rPr>
          <w:rFonts w:ascii="Arial" w:hAnsi="Arial" w:cs="Arial"/>
          <w:color w:val="000000" w:themeColor="text1"/>
        </w:rPr>
        <w:t xml:space="preserve"> </w:t>
      </w:r>
      <w:r w:rsidR="002E7922">
        <w:rPr>
          <w:rFonts w:ascii="Arial" w:hAnsi="Arial" w:cs="Arial"/>
          <w:color w:val="000000" w:themeColor="text1"/>
        </w:rPr>
        <w:t>1</w:t>
      </w:r>
      <w:r>
        <w:rPr>
          <w:rFonts w:ascii="Arial" w:hAnsi="Arial" w:cs="Arial"/>
          <w:color w:val="000000" w:themeColor="text1"/>
        </w:rPr>
        <w:t>1</w:t>
      </w:r>
      <w:r w:rsidRPr="36DAC812">
        <w:rPr>
          <w:rFonts w:ascii="Arial" w:hAnsi="Arial" w:cs="Arial"/>
          <w:color w:val="000000" w:themeColor="text1"/>
        </w:rPr>
        <w:t>,</w:t>
      </w:r>
      <w:r w:rsidR="002E7922">
        <w:rPr>
          <w:rFonts w:ascii="Arial" w:hAnsi="Arial" w:cs="Arial"/>
          <w:color w:val="000000" w:themeColor="text1"/>
        </w:rPr>
        <w:t>8</w:t>
      </w:r>
      <w:r w:rsidRPr="36DAC812">
        <w:rPr>
          <w:rFonts w:ascii="Arial" w:hAnsi="Arial" w:cs="Arial"/>
          <w:color w:val="000000" w:themeColor="text1"/>
        </w:rPr>
        <w:t xml:space="preserve">%, e o preço ficou cotado a US$ </w:t>
      </w:r>
      <w:r w:rsidR="002E7922">
        <w:rPr>
          <w:rFonts w:ascii="Arial" w:hAnsi="Arial" w:cs="Arial"/>
          <w:color w:val="000000" w:themeColor="text1"/>
        </w:rPr>
        <w:t>70,42</w:t>
      </w:r>
      <w:r w:rsidRPr="36DAC812">
        <w:rPr>
          <w:rFonts w:ascii="Arial" w:hAnsi="Arial" w:cs="Arial"/>
          <w:color w:val="000000" w:themeColor="text1"/>
        </w:rPr>
        <w:t xml:space="preserve">/barril. Já o preço de referência do gás natural em reais foi de R$ </w:t>
      </w:r>
      <w:r w:rsidR="002E7922">
        <w:rPr>
          <w:rFonts w:ascii="Arial" w:hAnsi="Arial" w:cs="Arial"/>
          <w:color w:val="000000" w:themeColor="text1"/>
        </w:rPr>
        <w:t>1.011,05</w:t>
      </w:r>
      <w:r>
        <w:rPr>
          <w:rFonts w:ascii="Arial" w:hAnsi="Arial" w:cs="Arial"/>
          <w:color w:val="000000" w:themeColor="text1"/>
        </w:rPr>
        <w:t>/</w:t>
      </w:r>
      <w:r w:rsidRPr="36DAC812">
        <w:rPr>
          <w:rFonts w:ascii="Arial" w:hAnsi="Arial" w:cs="Arial"/>
          <w:color w:val="000000" w:themeColor="text1"/>
        </w:rPr>
        <w:t xml:space="preserve">mil m³, com </w:t>
      </w:r>
      <w:r w:rsidR="002E7922">
        <w:rPr>
          <w:rFonts w:ascii="Arial" w:hAnsi="Arial" w:cs="Arial"/>
          <w:color w:val="000000" w:themeColor="text1"/>
        </w:rPr>
        <w:t>acréscimo</w:t>
      </w:r>
      <w:r w:rsidRPr="36DAC812">
        <w:rPr>
          <w:rFonts w:ascii="Arial" w:hAnsi="Arial" w:cs="Arial"/>
          <w:color w:val="000000" w:themeColor="text1"/>
        </w:rPr>
        <w:t xml:space="preserve"> de </w:t>
      </w:r>
      <w:r w:rsidR="002E7922">
        <w:rPr>
          <w:rFonts w:ascii="Arial" w:hAnsi="Arial" w:cs="Arial"/>
          <w:color w:val="000000" w:themeColor="text1"/>
        </w:rPr>
        <w:t>23</w:t>
      </w:r>
      <w:r w:rsidRPr="36DAC812">
        <w:rPr>
          <w:rFonts w:ascii="Arial" w:hAnsi="Arial" w:cs="Arial"/>
          <w:color w:val="000000" w:themeColor="text1"/>
        </w:rPr>
        <w:t xml:space="preserve">% em relação a </w:t>
      </w:r>
      <w:r>
        <w:rPr>
          <w:rFonts w:ascii="Arial" w:hAnsi="Arial" w:cs="Arial"/>
          <w:color w:val="000000" w:themeColor="text1"/>
        </w:rPr>
        <w:t>2024</w:t>
      </w:r>
      <w:r w:rsidRPr="36DAC812">
        <w:rPr>
          <w:rFonts w:ascii="Arial" w:hAnsi="Arial" w:cs="Arial"/>
          <w:color w:val="000000" w:themeColor="text1"/>
        </w:rPr>
        <w:t xml:space="preserve">. Em dólares, o preço fixou-se em US$ </w:t>
      </w:r>
      <w:r w:rsidR="002E7922">
        <w:rPr>
          <w:rFonts w:ascii="Arial" w:hAnsi="Arial" w:cs="Arial"/>
          <w:color w:val="000000" w:themeColor="text1"/>
        </w:rPr>
        <w:t>178,01</w:t>
      </w:r>
      <w:r w:rsidRPr="36DAC812">
        <w:rPr>
          <w:rFonts w:ascii="Arial" w:hAnsi="Arial" w:cs="Arial"/>
          <w:color w:val="000000" w:themeColor="text1"/>
        </w:rPr>
        <w:t xml:space="preserve">/mil m³, </w:t>
      </w:r>
      <w:r w:rsidR="002E7922">
        <w:rPr>
          <w:rFonts w:ascii="Arial" w:hAnsi="Arial" w:cs="Arial"/>
          <w:color w:val="000000" w:themeColor="text1"/>
        </w:rPr>
        <w:t>valor 12,9</w:t>
      </w:r>
      <w:r w:rsidRPr="36DAC812">
        <w:rPr>
          <w:rFonts w:ascii="Arial" w:hAnsi="Arial" w:cs="Arial"/>
          <w:color w:val="000000" w:themeColor="text1"/>
        </w:rPr>
        <w:t xml:space="preserve">% </w:t>
      </w:r>
      <w:r w:rsidR="002E7922">
        <w:rPr>
          <w:rFonts w:ascii="Arial" w:hAnsi="Arial" w:cs="Arial"/>
          <w:color w:val="000000" w:themeColor="text1"/>
        </w:rPr>
        <w:t>superior ao cotado no</w:t>
      </w:r>
      <w:r w:rsidRPr="36DAC812">
        <w:rPr>
          <w:rFonts w:ascii="Arial" w:hAnsi="Arial" w:cs="Arial"/>
          <w:color w:val="000000" w:themeColor="text1"/>
        </w:rPr>
        <w:t xml:space="preserve"> ano anterior.</w:t>
      </w:r>
    </w:p>
    <w:p w14:paraId="5456739A" w14:textId="77777777" w:rsidR="0041466A" w:rsidRPr="001A4B9C" w:rsidRDefault="0041466A" w:rsidP="0041466A">
      <w:pPr>
        <w:autoSpaceDE w:val="0"/>
        <w:autoSpaceDN w:val="0"/>
        <w:adjustRightInd w:val="0"/>
        <w:jc w:val="both"/>
        <w:rPr>
          <w:rFonts w:ascii="Arial" w:hAnsi="Arial" w:cs="Arial"/>
          <w:color w:val="000000"/>
        </w:rPr>
      </w:pPr>
    </w:p>
    <w:p w14:paraId="139DCC2A" w14:textId="4549DDF5" w:rsidR="0041466A" w:rsidRPr="001A4B9C" w:rsidRDefault="0041466A" w:rsidP="0041466A">
      <w:pPr>
        <w:autoSpaceDE w:val="0"/>
        <w:autoSpaceDN w:val="0"/>
        <w:adjustRightInd w:val="0"/>
        <w:jc w:val="both"/>
        <w:rPr>
          <w:rFonts w:ascii="Arial" w:hAnsi="Arial" w:cs="Arial"/>
          <w:b/>
          <w:bCs/>
          <w:color w:val="FF0000"/>
        </w:rPr>
      </w:pPr>
      <w:r w:rsidRPr="001A4B9C">
        <w:rPr>
          <w:rFonts w:ascii="Arial" w:hAnsi="Arial" w:cs="Arial"/>
          <w:b/>
          <w:bCs/>
          <w:color w:val="FF0000"/>
        </w:rPr>
        <w:t>Tabela 2.</w:t>
      </w:r>
      <w:r w:rsidR="002E7922">
        <w:rPr>
          <w:rFonts w:ascii="Arial" w:hAnsi="Arial" w:cs="Arial"/>
          <w:b/>
          <w:bCs/>
          <w:color w:val="FF0000"/>
        </w:rPr>
        <w:t>32</w:t>
      </w:r>
    </w:p>
    <w:p w14:paraId="5FE7F193" w14:textId="7AE01CE3" w:rsidR="0041466A" w:rsidRDefault="0041466A" w:rsidP="0041466A">
      <w:pPr>
        <w:autoSpaceDE w:val="0"/>
        <w:autoSpaceDN w:val="0"/>
        <w:adjustRightInd w:val="0"/>
        <w:jc w:val="both"/>
        <w:rPr>
          <w:rFonts w:ascii="Arial" w:hAnsi="Arial" w:cs="Arial"/>
          <w:b/>
          <w:bCs/>
        </w:rPr>
      </w:pPr>
      <w:r w:rsidRPr="001A4B9C">
        <w:rPr>
          <w:rFonts w:ascii="Arial" w:hAnsi="Arial" w:cs="Arial"/>
          <w:b/>
          <w:bCs/>
          <w:color w:val="FF0000"/>
        </w:rPr>
        <w:t>Tabela 2.</w:t>
      </w:r>
      <w:r w:rsidR="002E7922">
        <w:rPr>
          <w:rFonts w:ascii="Arial" w:hAnsi="Arial" w:cs="Arial"/>
          <w:b/>
          <w:bCs/>
          <w:color w:val="FF0000"/>
        </w:rPr>
        <w:t>33</w:t>
      </w:r>
    </w:p>
    <w:p w14:paraId="602B8ACA" w14:textId="77777777" w:rsidR="0041466A" w:rsidRDefault="0041466A" w:rsidP="0041466A">
      <w:pPr>
        <w:jc w:val="both"/>
        <w:rPr>
          <w:rFonts w:ascii="Arial" w:hAnsi="Arial" w:cs="Arial"/>
          <w:b/>
          <w:bCs/>
          <w:color w:val="000000" w:themeColor="text1"/>
        </w:rPr>
      </w:pPr>
    </w:p>
    <w:p w14:paraId="4A93C35C" w14:textId="77777777" w:rsidR="009C714A" w:rsidRDefault="009C714A" w:rsidP="0041466A">
      <w:pPr>
        <w:jc w:val="both"/>
        <w:rPr>
          <w:rFonts w:ascii="Arial" w:hAnsi="Arial" w:cs="Arial"/>
          <w:b/>
          <w:bCs/>
          <w:color w:val="000000" w:themeColor="text1"/>
        </w:rPr>
      </w:pPr>
    </w:p>
    <w:p w14:paraId="017840ED" w14:textId="2CF0810E" w:rsidR="0041466A" w:rsidRPr="001A4B9C" w:rsidRDefault="009C714A" w:rsidP="0041466A">
      <w:pPr>
        <w:autoSpaceDE w:val="0"/>
        <w:autoSpaceDN w:val="0"/>
        <w:adjustRightInd w:val="0"/>
        <w:jc w:val="both"/>
        <w:rPr>
          <w:rFonts w:ascii="Arial" w:hAnsi="Arial" w:cs="Arial"/>
          <w:b/>
          <w:bCs/>
          <w:color w:val="000000"/>
        </w:rPr>
      </w:pPr>
      <w:r>
        <w:rPr>
          <w:rFonts w:ascii="Arial" w:hAnsi="Arial" w:cs="Arial"/>
          <w:b/>
          <w:bCs/>
          <w:color w:val="000000"/>
        </w:rPr>
        <w:t xml:space="preserve">2.2 </w:t>
      </w:r>
      <w:r w:rsidRPr="001A4B9C">
        <w:rPr>
          <w:rFonts w:ascii="Arial" w:hAnsi="Arial" w:cs="Arial"/>
          <w:b/>
          <w:bCs/>
          <w:color w:val="000000"/>
        </w:rPr>
        <w:t>REFINO E PROCESSAMENTO</w:t>
      </w:r>
    </w:p>
    <w:p w14:paraId="7D5F79E5" w14:textId="77777777" w:rsidR="0041466A" w:rsidRPr="001A4B9C" w:rsidRDefault="0041466A" w:rsidP="0041466A">
      <w:pPr>
        <w:autoSpaceDE w:val="0"/>
        <w:autoSpaceDN w:val="0"/>
        <w:adjustRightInd w:val="0"/>
        <w:jc w:val="both"/>
        <w:rPr>
          <w:rFonts w:ascii="Arial" w:hAnsi="Arial" w:cs="Arial"/>
          <w:b/>
          <w:bCs/>
          <w:color w:val="000000"/>
        </w:rPr>
      </w:pPr>
    </w:p>
    <w:p w14:paraId="52D43011" w14:textId="53100DE2" w:rsidR="0041466A" w:rsidRPr="001A4B9C" w:rsidRDefault="0041466A" w:rsidP="0041466A">
      <w:pPr>
        <w:autoSpaceDE w:val="0"/>
        <w:autoSpaceDN w:val="0"/>
        <w:adjustRightInd w:val="0"/>
        <w:jc w:val="both"/>
        <w:rPr>
          <w:rFonts w:ascii="Arial" w:hAnsi="Arial" w:cs="Arial"/>
          <w:b/>
          <w:bCs/>
        </w:rPr>
      </w:pPr>
      <w:r w:rsidRPr="001A4B9C">
        <w:rPr>
          <w:rFonts w:ascii="Arial" w:hAnsi="Arial" w:cs="Arial"/>
          <w:b/>
          <w:bCs/>
          <w:color w:val="000000"/>
        </w:rPr>
        <w:t>2.</w:t>
      </w:r>
      <w:r w:rsidR="009C714A">
        <w:rPr>
          <w:rFonts w:ascii="Arial" w:hAnsi="Arial" w:cs="Arial"/>
          <w:b/>
          <w:bCs/>
          <w:color w:val="000000"/>
        </w:rPr>
        <w:t>2.1</w:t>
      </w:r>
      <w:r w:rsidRPr="001A4B9C">
        <w:rPr>
          <w:rFonts w:ascii="Arial" w:hAnsi="Arial" w:cs="Arial"/>
          <w:b/>
          <w:bCs/>
          <w:color w:val="000000"/>
        </w:rPr>
        <w:t xml:space="preserve"> Re</w:t>
      </w:r>
      <w:r w:rsidR="009C714A" w:rsidRPr="001A4B9C">
        <w:rPr>
          <w:rFonts w:ascii="Arial" w:hAnsi="Arial" w:cs="Arial"/>
          <w:b/>
          <w:bCs/>
          <w:color w:val="000000"/>
        </w:rPr>
        <w:t>fino de petróleo</w:t>
      </w:r>
    </w:p>
    <w:p w14:paraId="3144D484" w14:textId="77777777" w:rsidR="0041466A" w:rsidRPr="001A4B9C" w:rsidRDefault="0041466A" w:rsidP="0041466A">
      <w:pPr>
        <w:pStyle w:val="Corpodetexto3"/>
        <w:rPr>
          <w:sz w:val="20"/>
          <w:szCs w:val="20"/>
        </w:rPr>
      </w:pPr>
    </w:p>
    <w:p w14:paraId="3899ABB6" w14:textId="0BCF0545" w:rsidR="0041466A" w:rsidRPr="0058661C" w:rsidRDefault="0041466A" w:rsidP="0041466A">
      <w:pPr>
        <w:autoSpaceDE w:val="0"/>
        <w:autoSpaceDN w:val="0"/>
        <w:adjustRightInd w:val="0"/>
        <w:jc w:val="both"/>
        <w:rPr>
          <w:rFonts w:ascii="Arial" w:hAnsi="Arial" w:cs="Arial"/>
          <w:color w:val="000000"/>
        </w:rPr>
      </w:pPr>
      <w:r w:rsidRPr="0058661C">
        <w:rPr>
          <w:rFonts w:ascii="Arial" w:hAnsi="Arial" w:cs="Arial"/>
          <w:color w:val="000000"/>
        </w:rPr>
        <w:t xml:space="preserve">Em </w:t>
      </w:r>
      <w:r>
        <w:rPr>
          <w:rFonts w:ascii="Arial" w:hAnsi="Arial" w:cs="Arial"/>
          <w:color w:val="000000"/>
        </w:rPr>
        <w:t>2025</w:t>
      </w:r>
      <w:r w:rsidRPr="0058661C">
        <w:rPr>
          <w:rFonts w:ascii="Arial" w:hAnsi="Arial" w:cs="Arial"/>
          <w:color w:val="000000"/>
        </w:rPr>
        <w:t>, o parque de refino brasileiro</w:t>
      </w:r>
      <w:r>
        <w:rPr>
          <w:rFonts w:ascii="Arial" w:hAnsi="Arial" w:cs="Arial"/>
          <w:color w:val="000000"/>
        </w:rPr>
        <w:t xml:space="preserve"> contava com 17</w:t>
      </w:r>
      <w:r w:rsidRPr="0058661C">
        <w:rPr>
          <w:rFonts w:ascii="Arial" w:hAnsi="Arial" w:cs="Arial"/>
          <w:color w:val="000000"/>
        </w:rPr>
        <w:t xml:space="preserve"> refinarias</w:t>
      </w:r>
      <w:r>
        <w:rPr>
          <w:rFonts w:ascii="Arial" w:hAnsi="Arial" w:cs="Arial"/>
          <w:color w:val="000000"/>
        </w:rPr>
        <w:t xml:space="preserve"> de petróleo</w:t>
      </w:r>
      <w:r w:rsidRPr="0058661C">
        <w:rPr>
          <w:rFonts w:ascii="Arial" w:hAnsi="Arial" w:cs="Arial"/>
          <w:color w:val="000000"/>
        </w:rPr>
        <w:t xml:space="preserve">, com capacidade para processar 2,4 milhões de barris/dia, </w:t>
      </w:r>
      <w:r>
        <w:rPr>
          <w:rFonts w:ascii="Arial" w:hAnsi="Arial" w:cs="Arial"/>
          <w:color w:val="000000"/>
        </w:rPr>
        <w:t xml:space="preserve">além de uma unidade de processamento de xisto com capacidade </w:t>
      </w:r>
      <w:r w:rsidRPr="007971F0">
        <w:rPr>
          <w:rFonts w:ascii="Arial" w:hAnsi="Arial" w:cs="Arial"/>
          <w:color w:val="000000"/>
        </w:rPr>
        <w:t xml:space="preserve">para processar </w:t>
      </w:r>
      <w:r>
        <w:rPr>
          <w:rFonts w:ascii="Arial" w:hAnsi="Arial" w:cs="Arial"/>
          <w:color w:val="000000"/>
        </w:rPr>
        <w:t>6.120</w:t>
      </w:r>
      <w:r w:rsidRPr="007971F0">
        <w:rPr>
          <w:rFonts w:ascii="Arial" w:hAnsi="Arial" w:cs="Arial"/>
          <w:color w:val="000000"/>
        </w:rPr>
        <w:t xml:space="preserve"> t/dia</w:t>
      </w:r>
      <w:r>
        <w:rPr>
          <w:rFonts w:ascii="Arial" w:hAnsi="Arial" w:cs="Arial"/>
          <w:color w:val="000000"/>
        </w:rPr>
        <w:t xml:space="preserve"> (vide nota específica nº </w:t>
      </w:r>
      <w:r w:rsidR="00875416">
        <w:rPr>
          <w:rFonts w:ascii="Arial" w:hAnsi="Arial" w:cs="Arial"/>
          <w:color w:val="000000"/>
        </w:rPr>
        <w:t>4</w:t>
      </w:r>
      <w:r>
        <w:rPr>
          <w:rFonts w:ascii="Arial" w:hAnsi="Arial" w:cs="Arial"/>
          <w:color w:val="000000"/>
        </w:rPr>
        <w:t xml:space="preserve"> da Tabela 2.</w:t>
      </w:r>
      <w:r w:rsidR="0060381C">
        <w:rPr>
          <w:rFonts w:ascii="Arial" w:hAnsi="Arial" w:cs="Arial"/>
          <w:color w:val="000000"/>
        </w:rPr>
        <w:t>3</w:t>
      </w:r>
      <w:r w:rsidR="00875416">
        <w:rPr>
          <w:rFonts w:ascii="Arial" w:hAnsi="Arial" w:cs="Arial"/>
          <w:color w:val="000000"/>
        </w:rPr>
        <w:t>4</w:t>
      </w:r>
      <w:r>
        <w:rPr>
          <w:rFonts w:ascii="Arial" w:hAnsi="Arial" w:cs="Arial"/>
          <w:color w:val="000000"/>
        </w:rPr>
        <w:t>)</w:t>
      </w:r>
      <w:r w:rsidRPr="0058661C">
        <w:rPr>
          <w:rFonts w:ascii="Arial" w:hAnsi="Arial" w:cs="Arial"/>
          <w:color w:val="000000"/>
        </w:rPr>
        <w:t xml:space="preserve">. </w:t>
      </w:r>
      <w:r w:rsidRPr="00F61A64">
        <w:rPr>
          <w:rFonts w:ascii="Arial" w:hAnsi="Arial" w:cs="Arial"/>
          <w:color w:val="000000"/>
        </w:rPr>
        <w:t>A capacidade de refino medida em barris/dia-calendário foi de 2,3 milhões de barris/dia</w:t>
      </w:r>
      <w:r w:rsidRPr="0058661C">
        <w:rPr>
          <w:rFonts w:ascii="Arial" w:hAnsi="Arial" w:cs="Arial"/>
          <w:color w:val="000000"/>
        </w:rPr>
        <w:t xml:space="preserve">. O fator de utilização das refinarias no ano foi de </w:t>
      </w:r>
      <w:r>
        <w:rPr>
          <w:rFonts w:ascii="Arial" w:hAnsi="Arial" w:cs="Arial"/>
          <w:color w:val="000000"/>
        </w:rPr>
        <w:t>86,4</w:t>
      </w:r>
      <w:r w:rsidRPr="0058661C">
        <w:rPr>
          <w:rFonts w:ascii="Arial" w:hAnsi="Arial" w:cs="Arial"/>
          <w:color w:val="000000"/>
        </w:rPr>
        <w:t>%.</w:t>
      </w:r>
    </w:p>
    <w:p w14:paraId="7A5D4433" w14:textId="77777777" w:rsidR="0041466A" w:rsidRPr="0058661C" w:rsidRDefault="0041466A" w:rsidP="0041466A">
      <w:pPr>
        <w:autoSpaceDE w:val="0"/>
        <w:autoSpaceDN w:val="0"/>
        <w:adjustRightInd w:val="0"/>
        <w:jc w:val="both"/>
        <w:rPr>
          <w:rFonts w:ascii="Arial" w:hAnsi="Arial" w:cs="Arial"/>
          <w:color w:val="000000"/>
        </w:rPr>
      </w:pPr>
    </w:p>
    <w:p w14:paraId="670E459F" w14:textId="77777777" w:rsidR="0041466A" w:rsidRPr="0058661C" w:rsidRDefault="0041466A" w:rsidP="0041466A">
      <w:pPr>
        <w:autoSpaceDE w:val="0"/>
        <w:autoSpaceDN w:val="0"/>
        <w:adjustRightInd w:val="0"/>
        <w:jc w:val="both"/>
        <w:rPr>
          <w:rFonts w:ascii="Arial" w:hAnsi="Arial" w:cs="Arial"/>
          <w:color w:val="000000"/>
        </w:rPr>
      </w:pPr>
      <w:r>
        <w:rPr>
          <w:rFonts w:ascii="Arial" w:hAnsi="Arial" w:cs="Arial"/>
          <w:color w:val="000000" w:themeColor="text1"/>
        </w:rPr>
        <w:t xml:space="preserve">Dez </w:t>
      </w:r>
      <w:r w:rsidRPr="36DAC812">
        <w:rPr>
          <w:rFonts w:ascii="Arial" w:hAnsi="Arial" w:cs="Arial"/>
          <w:color w:val="000000" w:themeColor="text1"/>
        </w:rPr>
        <w:t xml:space="preserve">dessas refinarias pertencem à Petrobras e respondem por </w:t>
      </w:r>
      <w:r>
        <w:rPr>
          <w:rFonts w:ascii="Arial" w:hAnsi="Arial" w:cs="Arial"/>
          <w:color w:val="000000" w:themeColor="text1"/>
        </w:rPr>
        <w:t>78,6</w:t>
      </w:r>
      <w:r w:rsidRPr="36DAC812">
        <w:rPr>
          <w:rFonts w:ascii="Arial" w:hAnsi="Arial" w:cs="Arial"/>
          <w:color w:val="000000" w:themeColor="text1"/>
        </w:rPr>
        <w:t>% da capacidade total, sendo a Replan (SP) a de maior capacidade instalada: 434 mil barris/dia ou 17,9% do total nacional. Manguinhos (RJ), Refmat (BA), Riograndense (RS), Dax Oil (BA), Ssoil (SP)</w:t>
      </w:r>
      <w:r>
        <w:rPr>
          <w:rFonts w:ascii="Arial" w:hAnsi="Arial" w:cs="Arial"/>
          <w:color w:val="000000" w:themeColor="text1"/>
        </w:rPr>
        <w:t>, 3R Potiguar</w:t>
      </w:r>
      <w:r w:rsidRPr="36DAC812">
        <w:rPr>
          <w:rFonts w:ascii="Arial" w:hAnsi="Arial" w:cs="Arial"/>
          <w:color w:val="000000" w:themeColor="text1"/>
        </w:rPr>
        <w:t xml:space="preserve"> e Ream (AM) são refinarias privadas.</w:t>
      </w:r>
    </w:p>
    <w:p w14:paraId="2991D096" w14:textId="77777777" w:rsidR="0041466A" w:rsidRDefault="0041466A" w:rsidP="0041466A">
      <w:pPr>
        <w:autoSpaceDE w:val="0"/>
        <w:autoSpaceDN w:val="0"/>
        <w:adjustRightInd w:val="0"/>
        <w:jc w:val="both"/>
        <w:rPr>
          <w:rFonts w:ascii="Arial" w:hAnsi="Arial" w:cs="Arial"/>
          <w:color w:val="000000"/>
        </w:rPr>
      </w:pPr>
    </w:p>
    <w:p w14:paraId="6B19C7D2" w14:textId="6E62CCF6" w:rsidR="006464C1" w:rsidRDefault="0041466A" w:rsidP="0041466A">
      <w:pPr>
        <w:autoSpaceDE w:val="0"/>
        <w:autoSpaceDN w:val="0"/>
        <w:adjustRightInd w:val="0"/>
        <w:jc w:val="both"/>
        <w:rPr>
          <w:rFonts w:ascii="Arial" w:hAnsi="Arial" w:cs="Arial"/>
          <w:color w:val="000000" w:themeColor="text1"/>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xml:space="preserve">, </w:t>
      </w:r>
      <w:r w:rsidR="006464C1">
        <w:rPr>
          <w:rFonts w:ascii="Arial" w:hAnsi="Arial" w:cs="Arial"/>
          <w:color w:val="000000" w:themeColor="text1"/>
        </w:rPr>
        <w:t>cerca</w:t>
      </w:r>
      <w:r>
        <w:rPr>
          <w:rFonts w:ascii="Arial" w:hAnsi="Arial" w:cs="Arial"/>
          <w:color w:val="000000" w:themeColor="text1"/>
        </w:rPr>
        <w:t xml:space="preserve"> de 2</w:t>
      </w:r>
      <w:r w:rsidRPr="36DAC812">
        <w:rPr>
          <w:rFonts w:ascii="Arial" w:hAnsi="Arial" w:cs="Arial"/>
          <w:color w:val="000000" w:themeColor="text1"/>
        </w:rPr>
        <w:t xml:space="preserve"> milh</w:t>
      </w:r>
      <w:r>
        <w:rPr>
          <w:rFonts w:ascii="Arial" w:hAnsi="Arial" w:cs="Arial"/>
          <w:color w:val="000000" w:themeColor="text1"/>
        </w:rPr>
        <w:t>ões</w:t>
      </w:r>
      <w:r w:rsidRPr="36DAC812">
        <w:rPr>
          <w:rFonts w:ascii="Arial" w:hAnsi="Arial" w:cs="Arial"/>
          <w:color w:val="000000" w:themeColor="text1"/>
        </w:rPr>
        <w:t xml:space="preserve"> de barris/dia </w:t>
      </w:r>
      <w:r w:rsidR="006464C1">
        <w:rPr>
          <w:rFonts w:ascii="Arial" w:hAnsi="Arial" w:cs="Arial"/>
          <w:color w:val="000000" w:themeColor="text1"/>
        </w:rPr>
        <w:t>foi o volume processado pelo</w:t>
      </w:r>
      <w:r w:rsidR="006464C1" w:rsidRPr="36DAC812">
        <w:rPr>
          <w:rFonts w:ascii="Arial" w:hAnsi="Arial" w:cs="Arial"/>
          <w:color w:val="000000" w:themeColor="text1"/>
        </w:rPr>
        <w:t xml:space="preserve"> </w:t>
      </w:r>
      <w:r w:rsidRPr="36DAC812">
        <w:rPr>
          <w:rFonts w:ascii="Arial" w:hAnsi="Arial" w:cs="Arial"/>
          <w:color w:val="000000" w:themeColor="text1"/>
        </w:rPr>
        <w:t xml:space="preserve">parque de refino nacional, sendo </w:t>
      </w:r>
      <w:r w:rsidR="00C461CB">
        <w:rPr>
          <w:rFonts w:ascii="Arial" w:hAnsi="Arial" w:cs="Arial"/>
          <w:color w:val="000000" w:themeColor="text1"/>
        </w:rPr>
        <w:t>97,9</w:t>
      </w:r>
      <w:r>
        <w:rPr>
          <w:rFonts w:ascii="Arial" w:hAnsi="Arial" w:cs="Arial"/>
          <w:color w:val="000000" w:themeColor="text1"/>
        </w:rPr>
        <w:t xml:space="preserve">% </w:t>
      </w:r>
      <w:r w:rsidRPr="36DAC812">
        <w:rPr>
          <w:rFonts w:ascii="Arial" w:hAnsi="Arial" w:cs="Arial"/>
          <w:color w:val="000000" w:themeColor="text1"/>
        </w:rPr>
        <w:t xml:space="preserve">de petróleo </w:t>
      </w:r>
      <w:r>
        <w:rPr>
          <w:rFonts w:ascii="Arial" w:hAnsi="Arial" w:cs="Arial"/>
          <w:color w:val="000000" w:themeColor="text1"/>
        </w:rPr>
        <w:t xml:space="preserve">(nacional e importado) e </w:t>
      </w:r>
      <w:r w:rsidR="00C461CB">
        <w:rPr>
          <w:rFonts w:ascii="Arial" w:hAnsi="Arial" w:cs="Arial"/>
          <w:color w:val="000000" w:themeColor="text1"/>
        </w:rPr>
        <w:t>2,1</w:t>
      </w:r>
      <w:r>
        <w:rPr>
          <w:rFonts w:ascii="Arial" w:hAnsi="Arial" w:cs="Arial"/>
          <w:color w:val="000000" w:themeColor="text1"/>
        </w:rPr>
        <w:t>%</w:t>
      </w:r>
      <w:r w:rsidRPr="36DAC812">
        <w:rPr>
          <w:rFonts w:ascii="Arial" w:hAnsi="Arial" w:cs="Arial"/>
          <w:color w:val="000000" w:themeColor="text1"/>
        </w:rPr>
        <w:t xml:space="preserve"> de outras cargas (resíduos de petróleo, resíduos de terminais e resíduos de derivados). Houve um</w:t>
      </w:r>
      <w:r>
        <w:rPr>
          <w:rFonts w:ascii="Arial" w:hAnsi="Arial" w:cs="Arial"/>
          <w:color w:val="000000" w:themeColor="text1"/>
        </w:rPr>
        <w:t>a</w:t>
      </w:r>
      <w:r w:rsidRPr="36DAC812">
        <w:rPr>
          <w:rFonts w:ascii="Arial" w:hAnsi="Arial" w:cs="Arial"/>
          <w:color w:val="000000" w:themeColor="text1"/>
        </w:rPr>
        <w:t xml:space="preserve"> </w:t>
      </w:r>
      <w:r>
        <w:rPr>
          <w:rFonts w:ascii="Arial" w:hAnsi="Arial" w:cs="Arial"/>
          <w:color w:val="000000" w:themeColor="text1"/>
        </w:rPr>
        <w:t>queda</w:t>
      </w:r>
      <w:r w:rsidRPr="36DAC812">
        <w:rPr>
          <w:rFonts w:ascii="Arial" w:hAnsi="Arial" w:cs="Arial"/>
          <w:color w:val="000000" w:themeColor="text1"/>
        </w:rPr>
        <w:t xml:space="preserve"> de </w:t>
      </w:r>
      <w:r w:rsidR="00C461CB">
        <w:rPr>
          <w:rFonts w:ascii="Arial" w:hAnsi="Arial" w:cs="Arial"/>
          <w:color w:val="000000" w:themeColor="text1"/>
        </w:rPr>
        <w:t>19,8</w:t>
      </w:r>
      <w:r>
        <w:rPr>
          <w:rFonts w:ascii="Arial" w:hAnsi="Arial" w:cs="Arial"/>
          <w:color w:val="000000" w:themeColor="text1"/>
        </w:rPr>
        <w:t xml:space="preserve"> </w:t>
      </w:r>
      <w:r w:rsidRPr="36DAC812">
        <w:rPr>
          <w:rFonts w:ascii="Arial" w:hAnsi="Arial" w:cs="Arial"/>
          <w:color w:val="000000" w:themeColor="text1"/>
        </w:rPr>
        <w:t xml:space="preserve">mil barris/dia (equivalente a </w:t>
      </w:r>
      <w:r>
        <w:rPr>
          <w:rFonts w:ascii="Arial" w:hAnsi="Arial" w:cs="Arial"/>
          <w:color w:val="000000" w:themeColor="text1"/>
        </w:rPr>
        <w:t>0,</w:t>
      </w:r>
      <w:r w:rsidR="00C461CB">
        <w:rPr>
          <w:rFonts w:ascii="Arial" w:hAnsi="Arial" w:cs="Arial"/>
          <w:color w:val="000000" w:themeColor="text1"/>
        </w:rPr>
        <w:t>6</w:t>
      </w:r>
      <w:r w:rsidRPr="36DAC812">
        <w:rPr>
          <w:rFonts w:ascii="Arial" w:hAnsi="Arial" w:cs="Arial"/>
          <w:color w:val="000000" w:themeColor="text1"/>
        </w:rPr>
        <w:t xml:space="preserve">%) no volume de petróleo processado em relação a </w:t>
      </w:r>
      <w:r>
        <w:rPr>
          <w:rFonts w:ascii="Arial" w:hAnsi="Arial" w:cs="Arial"/>
          <w:color w:val="000000" w:themeColor="text1"/>
        </w:rPr>
        <w:t>2024</w:t>
      </w:r>
      <w:r w:rsidRPr="36DAC812">
        <w:rPr>
          <w:rFonts w:ascii="Arial" w:hAnsi="Arial" w:cs="Arial"/>
          <w:color w:val="000000" w:themeColor="text1"/>
        </w:rPr>
        <w:t xml:space="preserve">. </w:t>
      </w:r>
    </w:p>
    <w:p w14:paraId="636B42C7" w14:textId="77777777" w:rsidR="006464C1" w:rsidRDefault="006464C1" w:rsidP="0041466A">
      <w:pPr>
        <w:autoSpaceDE w:val="0"/>
        <w:autoSpaceDN w:val="0"/>
        <w:adjustRightInd w:val="0"/>
        <w:jc w:val="both"/>
        <w:rPr>
          <w:rFonts w:ascii="Arial" w:hAnsi="Arial" w:cs="Arial"/>
          <w:color w:val="000000" w:themeColor="text1"/>
        </w:rPr>
      </w:pPr>
    </w:p>
    <w:p w14:paraId="59FBCC94" w14:textId="21AC2099" w:rsidR="0041466A" w:rsidRPr="007D3F65"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O processamento de petróleo nacional teve</w:t>
      </w:r>
      <w:r>
        <w:rPr>
          <w:rFonts w:ascii="Arial" w:hAnsi="Arial" w:cs="Arial"/>
          <w:color w:val="000000" w:themeColor="text1"/>
        </w:rPr>
        <w:t xml:space="preserve"> </w:t>
      </w:r>
      <w:r w:rsidR="00C461CB">
        <w:rPr>
          <w:rFonts w:ascii="Arial" w:hAnsi="Arial" w:cs="Arial"/>
          <w:color w:val="000000" w:themeColor="text1"/>
        </w:rPr>
        <w:t>aument</w:t>
      </w:r>
      <w:r>
        <w:rPr>
          <w:rFonts w:ascii="Arial" w:hAnsi="Arial" w:cs="Arial"/>
          <w:color w:val="000000" w:themeColor="text1"/>
        </w:rPr>
        <w:t>o</w:t>
      </w:r>
      <w:r w:rsidRPr="36DAC812">
        <w:rPr>
          <w:rFonts w:ascii="Arial" w:hAnsi="Arial" w:cs="Arial"/>
          <w:color w:val="000000" w:themeColor="text1"/>
        </w:rPr>
        <w:t xml:space="preserve"> de </w:t>
      </w:r>
      <w:r>
        <w:rPr>
          <w:rFonts w:ascii="Arial" w:hAnsi="Arial" w:cs="Arial"/>
          <w:color w:val="000000" w:themeColor="text1"/>
        </w:rPr>
        <w:t>0,5</w:t>
      </w:r>
      <w:r w:rsidRPr="36DAC812">
        <w:rPr>
          <w:rFonts w:ascii="Arial" w:hAnsi="Arial" w:cs="Arial"/>
          <w:color w:val="000000" w:themeColor="text1"/>
        </w:rPr>
        <w:t>%, alcançando</w:t>
      </w:r>
      <w:r>
        <w:rPr>
          <w:rFonts w:ascii="Arial" w:hAnsi="Arial" w:cs="Arial"/>
          <w:color w:val="000000" w:themeColor="text1"/>
        </w:rPr>
        <w:t xml:space="preserve"> pouco mais de</w:t>
      </w:r>
      <w:r w:rsidRPr="36DAC812">
        <w:rPr>
          <w:rFonts w:ascii="Arial" w:hAnsi="Arial" w:cs="Arial"/>
          <w:color w:val="000000" w:themeColor="text1"/>
        </w:rPr>
        <w:t xml:space="preserve"> 1,7 milhão de barris/dia, e correspondeu a 86</w:t>
      </w:r>
      <w:r>
        <w:rPr>
          <w:rFonts w:ascii="Arial" w:hAnsi="Arial" w:cs="Arial"/>
          <w:color w:val="000000" w:themeColor="text1"/>
        </w:rPr>
        <w:t>,2</w:t>
      </w:r>
      <w:r w:rsidRPr="36DAC812">
        <w:rPr>
          <w:rFonts w:ascii="Arial" w:hAnsi="Arial" w:cs="Arial"/>
          <w:color w:val="000000" w:themeColor="text1"/>
        </w:rPr>
        <w:t>% do volume total processado.</w:t>
      </w:r>
      <w:r>
        <w:rPr>
          <w:rFonts w:ascii="Arial" w:hAnsi="Arial" w:cs="Arial"/>
          <w:color w:val="000000" w:themeColor="text1"/>
        </w:rPr>
        <w:t xml:space="preserve"> </w:t>
      </w:r>
      <w:r w:rsidRPr="36DAC812">
        <w:rPr>
          <w:rFonts w:ascii="Arial" w:hAnsi="Arial" w:cs="Arial"/>
          <w:color w:val="000000" w:themeColor="text1"/>
        </w:rPr>
        <w:t xml:space="preserve">Já o processamento de petróleo importado registrou </w:t>
      </w:r>
      <w:r w:rsidR="00490DC9">
        <w:rPr>
          <w:rFonts w:ascii="Arial" w:hAnsi="Arial" w:cs="Arial"/>
          <w:color w:val="000000" w:themeColor="text1"/>
        </w:rPr>
        <w:t>queda</w:t>
      </w:r>
      <w:r w:rsidRPr="36DAC812">
        <w:rPr>
          <w:rFonts w:ascii="Arial" w:hAnsi="Arial" w:cs="Arial"/>
          <w:color w:val="000000" w:themeColor="text1"/>
        </w:rPr>
        <w:t xml:space="preserve"> de </w:t>
      </w:r>
      <w:r w:rsidR="00490DC9">
        <w:rPr>
          <w:rFonts w:ascii="Arial" w:hAnsi="Arial" w:cs="Arial"/>
          <w:color w:val="000000" w:themeColor="text1"/>
        </w:rPr>
        <w:t>11,6</w:t>
      </w:r>
      <w:r w:rsidRPr="36DAC812">
        <w:rPr>
          <w:rFonts w:ascii="Arial" w:hAnsi="Arial" w:cs="Arial"/>
          <w:color w:val="000000" w:themeColor="text1"/>
        </w:rPr>
        <w:t xml:space="preserve">% em comparação a </w:t>
      </w:r>
      <w:r>
        <w:rPr>
          <w:rFonts w:ascii="Arial" w:hAnsi="Arial" w:cs="Arial"/>
          <w:color w:val="000000" w:themeColor="text1"/>
        </w:rPr>
        <w:t>2024</w:t>
      </w:r>
      <w:r w:rsidRPr="36DAC812">
        <w:rPr>
          <w:rFonts w:ascii="Arial" w:hAnsi="Arial" w:cs="Arial"/>
          <w:color w:val="000000" w:themeColor="text1"/>
        </w:rPr>
        <w:t xml:space="preserve">, chegando a </w:t>
      </w:r>
      <w:r w:rsidR="00490DC9">
        <w:rPr>
          <w:rFonts w:ascii="Arial" w:hAnsi="Arial" w:cs="Arial"/>
          <w:color w:val="000000" w:themeColor="text1"/>
        </w:rPr>
        <w:t>212,3</w:t>
      </w:r>
      <w:r w:rsidRPr="36DAC812">
        <w:rPr>
          <w:rFonts w:ascii="Arial" w:hAnsi="Arial" w:cs="Arial"/>
          <w:color w:val="000000" w:themeColor="text1"/>
        </w:rPr>
        <w:t xml:space="preserve"> mil barris/dia e </w:t>
      </w:r>
      <w:r w:rsidR="00490DC9">
        <w:rPr>
          <w:rFonts w:ascii="Arial" w:hAnsi="Arial" w:cs="Arial"/>
          <w:color w:val="000000" w:themeColor="text1"/>
        </w:rPr>
        <w:t>10,7</w:t>
      </w:r>
      <w:r w:rsidRPr="36DAC812">
        <w:rPr>
          <w:rFonts w:ascii="Arial" w:hAnsi="Arial" w:cs="Arial"/>
          <w:color w:val="000000" w:themeColor="text1"/>
        </w:rPr>
        <w:t>% do volume total processado.</w:t>
      </w:r>
    </w:p>
    <w:p w14:paraId="2BE42B8C" w14:textId="77777777" w:rsidR="0041466A" w:rsidRPr="00360370" w:rsidRDefault="0041466A" w:rsidP="0041466A">
      <w:pPr>
        <w:pStyle w:val="Corpodetexto3"/>
        <w:rPr>
          <w:sz w:val="20"/>
          <w:szCs w:val="20"/>
          <w:highlight w:val="yellow"/>
        </w:rPr>
      </w:pPr>
    </w:p>
    <w:p w14:paraId="6B677545" w14:textId="2C7BC15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60381C">
        <w:rPr>
          <w:rFonts w:ascii="Arial" w:hAnsi="Arial" w:cs="Arial"/>
          <w:b/>
          <w:bCs/>
          <w:color w:val="FF0000"/>
        </w:rPr>
        <w:t>34</w:t>
      </w:r>
    </w:p>
    <w:p w14:paraId="7B0AC8FB" w14:textId="0CC59E5A"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60381C">
        <w:rPr>
          <w:rFonts w:ascii="Arial" w:hAnsi="Arial" w:cs="Arial"/>
          <w:b/>
          <w:bCs/>
          <w:color w:val="FF0000"/>
        </w:rPr>
        <w:t>35</w:t>
      </w:r>
    </w:p>
    <w:p w14:paraId="67CD3B32" w14:textId="7C052AE0"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3</w:t>
      </w:r>
      <w:r w:rsidR="00C461CB">
        <w:rPr>
          <w:rFonts w:ascii="Arial" w:hAnsi="Arial" w:cs="Arial"/>
          <w:b/>
          <w:bCs/>
          <w:color w:val="FF0000"/>
        </w:rPr>
        <w:t>6</w:t>
      </w:r>
    </w:p>
    <w:p w14:paraId="4764CA4D" w14:textId="77777777" w:rsidR="0041466A" w:rsidRPr="00C854C9" w:rsidRDefault="0041466A" w:rsidP="0041466A">
      <w:pPr>
        <w:autoSpaceDE w:val="0"/>
        <w:autoSpaceDN w:val="0"/>
        <w:adjustRightInd w:val="0"/>
        <w:jc w:val="both"/>
        <w:rPr>
          <w:rFonts w:ascii="Arial" w:hAnsi="Arial" w:cs="Arial"/>
          <w:b/>
          <w:bCs/>
        </w:rPr>
      </w:pPr>
    </w:p>
    <w:p w14:paraId="00B1BD59" w14:textId="7777777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Gráfico 2.13</w:t>
      </w:r>
    </w:p>
    <w:p w14:paraId="3DB9BCD9" w14:textId="7777777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Gráfico 2.14</w:t>
      </w:r>
    </w:p>
    <w:p w14:paraId="198EAF8C" w14:textId="77777777" w:rsidR="0041466A" w:rsidRPr="00C854C9" w:rsidRDefault="0041466A" w:rsidP="0041466A">
      <w:pPr>
        <w:autoSpaceDE w:val="0"/>
        <w:autoSpaceDN w:val="0"/>
        <w:adjustRightInd w:val="0"/>
        <w:jc w:val="both"/>
        <w:rPr>
          <w:rFonts w:ascii="Arial" w:hAnsi="Arial" w:cs="Arial"/>
          <w:bCs/>
        </w:rPr>
      </w:pPr>
    </w:p>
    <w:p w14:paraId="11F13D38" w14:textId="00F88A0C" w:rsidR="0041466A" w:rsidRPr="00C854C9" w:rsidRDefault="0041466A" w:rsidP="0041466A">
      <w:pPr>
        <w:autoSpaceDE w:val="0"/>
        <w:autoSpaceDN w:val="0"/>
        <w:adjustRightInd w:val="0"/>
        <w:jc w:val="both"/>
        <w:rPr>
          <w:rFonts w:ascii="Arial" w:hAnsi="Arial" w:cs="Arial"/>
          <w:color w:val="000000"/>
        </w:rPr>
      </w:pPr>
      <w:r w:rsidRPr="00C854C9">
        <w:rPr>
          <w:rFonts w:ascii="Arial" w:hAnsi="Arial" w:cs="Arial"/>
          <w:color w:val="000000"/>
        </w:rPr>
        <w:t xml:space="preserve">A Replan (SP) foi responsável pelo maior volume de carga processada no </w:t>
      </w:r>
      <w:r w:rsidR="009D6919">
        <w:rPr>
          <w:rFonts w:ascii="Arial" w:hAnsi="Arial" w:cs="Arial"/>
          <w:color w:val="000000"/>
        </w:rPr>
        <w:t>p</w:t>
      </w:r>
      <w:r w:rsidR="009D6919" w:rsidRPr="00C854C9">
        <w:rPr>
          <w:rFonts w:ascii="Arial" w:hAnsi="Arial" w:cs="Arial"/>
          <w:color w:val="000000"/>
        </w:rPr>
        <w:t>aís</w:t>
      </w:r>
      <w:r w:rsidR="009D6919">
        <w:rPr>
          <w:rFonts w:ascii="Arial" w:hAnsi="Arial" w:cs="Arial"/>
          <w:color w:val="000000"/>
        </w:rPr>
        <w:t xml:space="preserve"> em 2025</w:t>
      </w:r>
      <w:r w:rsidRPr="00C854C9">
        <w:rPr>
          <w:rFonts w:ascii="Arial" w:hAnsi="Arial" w:cs="Arial"/>
          <w:color w:val="000000"/>
        </w:rPr>
        <w:t xml:space="preserve">: </w:t>
      </w:r>
      <w:r w:rsidR="00641E32">
        <w:rPr>
          <w:rFonts w:ascii="Arial" w:hAnsi="Arial" w:cs="Arial"/>
          <w:color w:val="000000"/>
        </w:rPr>
        <w:t>395,7</w:t>
      </w:r>
      <w:r>
        <w:rPr>
          <w:rFonts w:ascii="Arial" w:hAnsi="Arial" w:cs="Arial"/>
          <w:color w:val="000000"/>
        </w:rPr>
        <w:t xml:space="preserve"> mil barris/dia (20</w:t>
      </w:r>
      <w:r w:rsidRPr="00C854C9">
        <w:rPr>
          <w:rFonts w:ascii="Arial" w:hAnsi="Arial" w:cs="Arial"/>
          <w:color w:val="000000"/>
        </w:rPr>
        <w:t>% do total). Em se</w:t>
      </w:r>
      <w:r>
        <w:rPr>
          <w:rFonts w:ascii="Arial" w:hAnsi="Arial" w:cs="Arial"/>
          <w:color w:val="000000"/>
        </w:rPr>
        <w:t>guida vieram Re</w:t>
      </w:r>
      <w:r w:rsidR="00641E32">
        <w:rPr>
          <w:rFonts w:ascii="Arial" w:hAnsi="Arial" w:cs="Arial"/>
          <w:color w:val="000000"/>
        </w:rPr>
        <w:t>fm</w:t>
      </w:r>
      <w:r>
        <w:rPr>
          <w:rFonts w:ascii="Arial" w:hAnsi="Arial" w:cs="Arial"/>
          <w:color w:val="000000"/>
        </w:rPr>
        <w:t>a</w:t>
      </w:r>
      <w:r w:rsidR="00641E32">
        <w:rPr>
          <w:rFonts w:ascii="Arial" w:hAnsi="Arial" w:cs="Arial"/>
          <w:color w:val="000000"/>
        </w:rPr>
        <w:t>t</w:t>
      </w:r>
      <w:r>
        <w:rPr>
          <w:rFonts w:ascii="Arial" w:hAnsi="Arial" w:cs="Arial"/>
          <w:color w:val="000000"/>
        </w:rPr>
        <w:t xml:space="preserve"> (</w:t>
      </w:r>
      <w:r w:rsidR="00641E32">
        <w:rPr>
          <w:rFonts w:ascii="Arial" w:hAnsi="Arial" w:cs="Arial"/>
          <w:color w:val="000000"/>
        </w:rPr>
        <w:t>BA</w:t>
      </w:r>
      <w:r>
        <w:rPr>
          <w:rFonts w:ascii="Arial" w:hAnsi="Arial" w:cs="Arial"/>
          <w:color w:val="000000"/>
        </w:rPr>
        <w:t>), com 1</w:t>
      </w:r>
      <w:r w:rsidR="00641E32">
        <w:rPr>
          <w:rFonts w:ascii="Arial" w:hAnsi="Arial" w:cs="Arial"/>
          <w:color w:val="000000"/>
        </w:rPr>
        <w:t>3</w:t>
      </w:r>
      <w:r>
        <w:rPr>
          <w:rFonts w:ascii="Arial" w:hAnsi="Arial" w:cs="Arial"/>
          <w:color w:val="000000"/>
        </w:rPr>
        <w:t>,</w:t>
      </w:r>
      <w:r w:rsidR="00641E32">
        <w:rPr>
          <w:rFonts w:ascii="Arial" w:hAnsi="Arial" w:cs="Arial"/>
          <w:color w:val="000000"/>
        </w:rPr>
        <w:t>3</w:t>
      </w:r>
      <w:r w:rsidRPr="00C854C9">
        <w:rPr>
          <w:rFonts w:ascii="Arial" w:hAnsi="Arial" w:cs="Arial"/>
          <w:color w:val="000000"/>
        </w:rPr>
        <w:t>% do</w:t>
      </w:r>
      <w:r>
        <w:rPr>
          <w:rFonts w:ascii="Arial" w:hAnsi="Arial" w:cs="Arial"/>
          <w:color w:val="000000"/>
        </w:rPr>
        <w:t xml:space="preserve"> volume de carga processada; Re</w:t>
      </w:r>
      <w:r w:rsidR="00641E32">
        <w:rPr>
          <w:rFonts w:ascii="Arial" w:hAnsi="Arial" w:cs="Arial"/>
          <w:color w:val="000000"/>
        </w:rPr>
        <w:t>duc</w:t>
      </w:r>
      <w:r w:rsidRPr="00C854C9">
        <w:rPr>
          <w:rFonts w:ascii="Arial" w:hAnsi="Arial" w:cs="Arial"/>
          <w:color w:val="000000"/>
        </w:rPr>
        <w:t xml:space="preserve"> </w:t>
      </w:r>
      <w:r>
        <w:rPr>
          <w:rFonts w:ascii="Arial" w:hAnsi="Arial" w:cs="Arial"/>
          <w:color w:val="000000"/>
        </w:rPr>
        <w:t>(</w:t>
      </w:r>
      <w:r w:rsidR="00641E32">
        <w:rPr>
          <w:rFonts w:ascii="Arial" w:hAnsi="Arial" w:cs="Arial"/>
          <w:color w:val="000000"/>
        </w:rPr>
        <w:t>RJ</w:t>
      </w:r>
      <w:r w:rsidRPr="00C854C9">
        <w:rPr>
          <w:rFonts w:ascii="Arial" w:hAnsi="Arial" w:cs="Arial"/>
          <w:color w:val="000000"/>
        </w:rPr>
        <w:t xml:space="preserve">), com </w:t>
      </w:r>
      <w:r>
        <w:rPr>
          <w:rFonts w:ascii="Arial" w:hAnsi="Arial" w:cs="Arial"/>
          <w:color w:val="000000"/>
        </w:rPr>
        <w:t>1</w:t>
      </w:r>
      <w:r w:rsidR="00641E32">
        <w:rPr>
          <w:rFonts w:ascii="Arial" w:hAnsi="Arial" w:cs="Arial"/>
          <w:color w:val="000000"/>
        </w:rPr>
        <w:t>0</w:t>
      </w:r>
      <w:r>
        <w:rPr>
          <w:rFonts w:ascii="Arial" w:hAnsi="Arial" w:cs="Arial"/>
          <w:color w:val="000000"/>
        </w:rPr>
        <w:t>,</w:t>
      </w:r>
      <w:r w:rsidR="00641E32">
        <w:rPr>
          <w:rFonts w:ascii="Arial" w:hAnsi="Arial" w:cs="Arial"/>
          <w:color w:val="000000"/>
        </w:rPr>
        <w:t>9</w:t>
      </w:r>
      <w:r w:rsidRPr="00C854C9">
        <w:rPr>
          <w:rFonts w:ascii="Arial" w:hAnsi="Arial" w:cs="Arial"/>
          <w:color w:val="000000"/>
        </w:rPr>
        <w:t>%</w:t>
      </w:r>
      <w:r>
        <w:rPr>
          <w:rFonts w:ascii="Arial" w:hAnsi="Arial" w:cs="Arial"/>
          <w:color w:val="000000"/>
        </w:rPr>
        <w:t>; e Re</w:t>
      </w:r>
      <w:r w:rsidR="00641E32">
        <w:rPr>
          <w:rFonts w:ascii="Arial" w:hAnsi="Arial" w:cs="Arial"/>
          <w:color w:val="000000"/>
        </w:rPr>
        <w:t xml:space="preserve">vap </w:t>
      </w:r>
      <w:r>
        <w:rPr>
          <w:rFonts w:ascii="Arial" w:hAnsi="Arial" w:cs="Arial"/>
          <w:color w:val="000000"/>
        </w:rPr>
        <w:t>(</w:t>
      </w:r>
      <w:r w:rsidR="00641E32">
        <w:rPr>
          <w:rFonts w:ascii="Arial" w:hAnsi="Arial" w:cs="Arial"/>
          <w:color w:val="000000"/>
        </w:rPr>
        <w:t>SP</w:t>
      </w:r>
      <w:r>
        <w:rPr>
          <w:rFonts w:ascii="Arial" w:hAnsi="Arial" w:cs="Arial"/>
          <w:color w:val="000000"/>
        </w:rPr>
        <w:t>), com 10,</w:t>
      </w:r>
      <w:r w:rsidR="00641E32">
        <w:rPr>
          <w:rFonts w:ascii="Arial" w:hAnsi="Arial" w:cs="Arial"/>
          <w:color w:val="000000"/>
        </w:rPr>
        <w:t>5</w:t>
      </w:r>
      <w:r>
        <w:rPr>
          <w:rFonts w:ascii="Arial" w:hAnsi="Arial" w:cs="Arial"/>
          <w:color w:val="000000"/>
        </w:rPr>
        <w:t>%</w:t>
      </w:r>
      <w:r w:rsidRPr="00C854C9">
        <w:rPr>
          <w:rFonts w:ascii="Arial" w:hAnsi="Arial" w:cs="Arial"/>
          <w:color w:val="000000"/>
        </w:rPr>
        <w:t>.</w:t>
      </w:r>
    </w:p>
    <w:p w14:paraId="6EC63906" w14:textId="77777777" w:rsidR="0041466A" w:rsidRPr="00C854C9" w:rsidRDefault="0041466A" w:rsidP="0041466A">
      <w:pPr>
        <w:autoSpaceDE w:val="0"/>
        <w:autoSpaceDN w:val="0"/>
        <w:adjustRightInd w:val="0"/>
        <w:jc w:val="both"/>
        <w:rPr>
          <w:rFonts w:ascii="Arial" w:hAnsi="Arial" w:cs="Arial"/>
          <w:color w:val="000000"/>
        </w:rPr>
      </w:pPr>
    </w:p>
    <w:p w14:paraId="45869769" w14:textId="25BADF35" w:rsidR="0041466A" w:rsidRPr="00C854C9" w:rsidRDefault="0041466A" w:rsidP="0041466A">
      <w:pPr>
        <w:autoSpaceDE w:val="0"/>
        <w:autoSpaceDN w:val="0"/>
        <w:adjustRightInd w:val="0"/>
        <w:jc w:val="both"/>
        <w:rPr>
          <w:rFonts w:ascii="Arial" w:hAnsi="Arial" w:cs="Arial"/>
          <w:color w:val="000000"/>
        </w:rPr>
      </w:pPr>
      <w:r w:rsidRPr="00C854C9">
        <w:rPr>
          <w:rFonts w:ascii="Arial" w:hAnsi="Arial" w:cs="Arial"/>
          <w:color w:val="000000"/>
        </w:rPr>
        <w:lastRenderedPageBreak/>
        <w:t>A Replan (SP) também foi a refinaria que mais</w:t>
      </w:r>
      <w:r>
        <w:rPr>
          <w:rFonts w:ascii="Arial" w:hAnsi="Arial" w:cs="Arial"/>
          <w:color w:val="000000"/>
        </w:rPr>
        <w:t xml:space="preserve"> processou petróleo nacional (22,</w:t>
      </w:r>
      <w:r w:rsidR="004A31F9">
        <w:rPr>
          <w:rFonts w:ascii="Arial" w:hAnsi="Arial" w:cs="Arial"/>
          <w:color w:val="000000"/>
        </w:rPr>
        <w:t>4</w:t>
      </w:r>
      <w:r w:rsidRPr="00C854C9">
        <w:rPr>
          <w:rFonts w:ascii="Arial" w:hAnsi="Arial" w:cs="Arial"/>
          <w:color w:val="000000"/>
        </w:rPr>
        <w:t>% do total), enquanto a Reduc</w:t>
      </w:r>
      <w:r>
        <w:rPr>
          <w:rFonts w:ascii="Arial" w:hAnsi="Arial" w:cs="Arial"/>
          <w:color w:val="000000"/>
        </w:rPr>
        <w:t xml:space="preserve"> (RJ)</w:t>
      </w:r>
      <w:r w:rsidRPr="00C854C9">
        <w:rPr>
          <w:rFonts w:ascii="Arial" w:hAnsi="Arial" w:cs="Arial"/>
          <w:color w:val="000000"/>
        </w:rPr>
        <w:t xml:space="preserve"> foi responsável por processar </w:t>
      </w:r>
      <w:r w:rsidR="004A31F9">
        <w:rPr>
          <w:rFonts w:ascii="Arial" w:hAnsi="Arial" w:cs="Arial"/>
          <w:color w:val="000000"/>
        </w:rPr>
        <w:t>40</w:t>
      </w:r>
      <w:r>
        <w:rPr>
          <w:rFonts w:ascii="Arial" w:hAnsi="Arial" w:cs="Arial"/>
          <w:color w:val="000000"/>
        </w:rPr>
        <w:t>,1</w:t>
      </w:r>
      <w:r w:rsidRPr="00C854C9">
        <w:rPr>
          <w:rFonts w:ascii="Arial" w:hAnsi="Arial" w:cs="Arial"/>
          <w:color w:val="000000"/>
        </w:rPr>
        <w:t xml:space="preserve">% de todo </w:t>
      </w:r>
      <w:r>
        <w:rPr>
          <w:rFonts w:ascii="Arial" w:hAnsi="Arial" w:cs="Arial"/>
          <w:color w:val="000000"/>
        </w:rPr>
        <w:t xml:space="preserve">o </w:t>
      </w:r>
      <w:r w:rsidRPr="00C854C9">
        <w:rPr>
          <w:rFonts w:ascii="Arial" w:hAnsi="Arial" w:cs="Arial"/>
          <w:color w:val="000000"/>
        </w:rPr>
        <w:t>petróleo importado. A R</w:t>
      </w:r>
      <w:r>
        <w:rPr>
          <w:rFonts w:ascii="Arial" w:hAnsi="Arial" w:cs="Arial"/>
          <w:color w:val="000000"/>
        </w:rPr>
        <w:t>efap (RS)</w:t>
      </w:r>
      <w:r w:rsidRPr="00C854C9">
        <w:rPr>
          <w:rFonts w:ascii="Arial" w:hAnsi="Arial" w:cs="Arial"/>
          <w:color w:val="000000"/>
        </w:rPr>
        <w:t xml:space="preserve"> foi a que processou </w:t>
      </w:r>
      <w:r w:rsidR="009D6919">
        <w:rPr>
          <w:rFonts w:ascii="Arial" w:hAnsi="Arial" w:cs="Arial"/>
          <w:color w:val="000000"/>
        </w:rPr>
        <w:t xml:space="preserve">o </w:t>
      </w:r>
      <w:r w:rsidRPr="00C854C9">
        <w:rPr>
          <w:rFonts w:ascii="Arial" w:hAnsi="Arial" w:cs="Arial"/>
          <w:color w:val="000000"/>
        </w:rPr>
        <w:t xml:space="preserve">maior volume </w:t>
      </w:r>
      <w:r w:rsidRPr="0078758E">
        <w:rPr>
          <w:rFonts w:ascii="Arial" w:hAnsi="Arial" w:cs="Arial"/>
          <w:color w:val="000000"/>
        </w:rPr>
        <w:t>de outra</w:t>
      </w:r>
      <w:r>
        <w:rPr>
          <w:rFonts w:ascii="Arial" w:hAnsi="Arial" w:cs="Arial"/>
          <w:color w:val="000000"/>
        </w:rPr>
        <w:t>s</w:t>
      </w:r>
      <w:r w:rsidRPr="0078758E">
        <w:rPr>
          <w:rFonts w:ascii="Arial" w:hAnsi="Arial" w:cs="Arial"/>
          <w:color w:val="000000"/>
        </w:rPr>
        <w:t xml:space="preserve"> cargas (</w:t>
      </w:r>
      <w:r>
        <w:rPr>
          <w:rFonts w:ascii="Arial" w:hAnsi="Arial" w:cs="Arial"/>
          <w:color w:val="000000"/>
        </w:rPr>
        <w:t>2</w:t>
      </w:r>
      <w:r w:rsidR="00BA21BB">
        <w:rPr>
          <w:rFonts w:ascii="Arial" w:hAnsi="Arial" w:cs="Arial"/>
          <w:color w:val="000000"/>
        </w:rPr>
        <w:t>7</w:t>
      </w:r>
      <w:r w:rsidRPr="0078758E">
        <w:rPr>
          <w:rFonts w:ascii="Arial" w:hAnsi="Arial" w:cs="Arial"/>
          <w:color w:val="000000"/>
        </w:rPr>
        <w:t>%).</w:t>
      </w:r>
    </w:p>
    <w:p w14:paraId="576B7747" w14:textId="77777777" w:rsidR="0041466A" w:rsidRPr="00C854C9" w:rsidRDefault="0041466A" w:rsidP="0041466A">
      <w:pPr>
        <w:pStyle w:val="Corpodetexto3"/>
        <w:rPr>
          <w:color w:val="auto"/>
          <w:sz w:val="20"/>
          <w:szCs w:val="20"/>
        </w:rPr>
      </w:pPr>
    </w:p>
    <w:p w14:paraId="50CBBA5B" w14:textId="39BA66DA"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3</w:t>
      </w:r>
      <w:r w:rsidR="00641E32">
        <w:rPr>
          <w:rFonts w:ascii="Arial" w:hAnsi="Arial" w:cs="Arial"/>
          <w:b/>
          <w:bCs/>
          <w:color w:val="FF0000"/>
        </w:rPr>
        <w:t>7</w:t>
      </w:r>
    </w:p>
    <w:p w14:paraId="32B90D8D" w14:textId="77777777" w:rsidR="0041466A" w:rsidRPr="00C854C9" w:rsidRDefault="0041466A" w:rsidP="0041466A">
      <w:pPr>
        <w:autoSpaceDE w:val="0"/>
        <w:autoSpaceDN w:val="0"/>
        <w:adjustRightInd w:val="0"/>
        <w:jc w:val="both"/>
        <w:rPr>
          <w:rFonts w:ascii="Arial" w:hAnsi="Arial" w:cs="Arial"/>
          <w:b/>
          <w:bCs/>
        </w:rPr>
      </w:pPr>
    </w:p>
    <w:p w14:paraId="0049A18F" w14:textId="77777777" w:rsidR="0041466A" w:rsidRPr="00360370" w:rsidRDefault="0041466A" w:rsidP="0041466A">
      <w:pPr>
        <w:autoSpaceDE w:val="0"/>
        <w:autoSpaceDN w:val="0"/>
        <w:adjustRightInd w:val="0"/>
        <w:jc w:val="both"/>
        <w:rPr>
          <w:rFonts w:ascii="Arial" w:hAnsi="Arial" w:cs="Arial"/>
          <w:b/>
          <w:bCs/>
          <w:color w:val="FF0000"/>
          <w:highlight w:val="yellow"/>
        </w:rPr>
      </w:pPr>
      <w:r w:rsidRPr="00C854C9">
        <w:rPr>
          <w:rFonts w:ascii="Arial" w:hAnsi="Arial" w:cs="Arial"/>
          <w:b/>
          <w:bCs/>
          <w:color w:val="FF0000"/>
        </w:rPr>
        <w:t>Gráfico 2.15</w:t>
      </w:r>
    </w:p>
    <w:p w14:paraId="23C79B6E" w14:textId="77777777" w:rsidR="0041466A" w:rsidRPr="00360370" w:rsidRDefault="0041466A" w:rsidP="0041466A">
      <w:pPr>
        <w:autoSpaceDE w:val="0"/>
        <w:autoSpaceDN w:val="0"/>
        <w:adjustRightInd w:val="0"/>
        <w:jc w:val="both"/>
        <w:rPr>
          <w:rFonts w:ascii="Arial" w:hAnsi="Arial" w:cs="Arial"/>
          <w:b/>
          <w:bCs/>
          <w:highlight w:val="yellow"/>
        </w:rPr>
      </w:pPr>
    </w:p>
    <w:p w14:paraId="3BA29272" w14:textId="0D61CED3" w:rsidR="0041466A" w:rsidRPr="009B13AD"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xml:space="preserve">, as refinarias nacionais possuíam capacidade de armazenamento de </w:t>
      </w:r>
      <w:r>
        <w:rPr>
          <w:rFonts w:ascii="Arial" w:hAnsi="Arial" w:cs="Arial"/>
          <w:color w:val="000000" w:themeColor="text1"/>
        </w:rPr>
        <w:t>5,</w:t>
      </w:r>
      <w:r w:rsidR="00BA21BB">
        <w:rPr>
          <w:rFonts w:ascii="Arial" w:hAnsi="Arial" w:cs="Arial"/>
          <w:color w:val="000000" w:themeColor="text1"/>
        </w:rPr>
        <w:t>8</w:t>
      </w:r>
      <w:r w:rsidRPr="36DAC812">
        <w:rPr>
          <w:rFonts w:ascii="Arial" w:hAnsi="Arial" w:cs="Arial"/>
          <w:color w:val="000000" w:themeColor="text1"/>
        </w:rPr>
        <w:t xml:space="preserve"> milhões de m³ de petróleo e 1</w:t>
      </w:r>
      <w:r>
        <w:rPr>
          <w:rFonts w:ascii="Arial" w:hAnsi="Arial" w:cs="Arial"/>
          <w:color w:val="000000" w:themeColor="text1"/>
        </w:rPr>
        <w:t>0</w:t>
      </w:r>
      <w:r w:rsidRPr="36DAC812">
        <w:rPr>
          <w:rFonts w:ascii="Arial" w:hAnsi="Arial" w:cs="Arial"/>
          <w:color w:val="000000" w:themeColor="text1"/>
        </w:rPr>
        <w:t>,</w:t>
      </w:r>
      <w:r>
        <w:rPr>
          <w:rFonts w:ascii="Arial" w:hAnsi="Arial" w:cs="Arial"/>
          <w:color w:val="000000" w:themeColor="text1"/>
        </w:rPr>
        <w:t>6</w:t>
      </w:r>
      <w:r w:rsidRPr="36DAC812">
        <w:rPr>
          <w:rFonts w:ascii="Arial" w:hAnsi="Arial" w:cs="Arial"/>
          <w:color w:val="000000" w:themeColor="text1"/>
        </w:rPr>
        <w:t xml:space="preserve"> milhões de m³ de derivados de petróleo, intermediários e etanol.</w:t>
      </w:r>
    </w:p>
    <w:p w14:paraId="66D8EC37" w14:textId="77777777" w:rsidR="0041466A" w:rsidRPr="009B13AD" w:rsidRDefault="0041466A" w:rsidP="0041466A">
      <w:pPr>
        <w:autoSpaceDE w:val="0"/>
        <w:autoSpaceDN w:val="0"/>
        <w:adjustRightInd w:val="0"/>
        <w:jc w:val="both"/>
        <w:rPr>
          <w:rFonts w:ascii="Arial" w:hAnsi="Arial" w:cs="Arial"/>
          <w:color w:val="000000"/>
        </w:rPr>
      </w:pPr>
    </w:p>
    <w:p w14:paraId="2AEADACA" w14:textId="59D49DA4" w:rsidR="0041466A" w:rsidRPr="009B13AD"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As oito refinarias da Região Sudeste concentravam, juntas, </w:t>
      </w:r>
      <w:r>
        <w:rPr>
          <w:rFonts w:ascii="Arial" w:hAnsi="Arial" w:cs="Arial"/>
          <w:color w:val="000000" w:themeColor="text1"/>
        </w:rPr>
        <w:t>56</w:t>
      </w:r>
      <w:r w:rsidR="00EE5C5E">
        <w:rPr>
          <w:rFonts w:ascii="Arial" w:hAnsi="Arial" w:cs="Arial"/>
          <w:color w:val="000000" w:themeColor="text1"/>
        </w:rPr>
        <w:t>,5</w:t>
      </w:r>
      <w:r w:rsidRPr="36DAC812">
        <w:rPr>
          <w:rFonts w:ascii="Arial" w:hAnsi="Arial" w:cs="Arial"/>
          <w:color w:val="000000" w:themeColor="text1"/>
        </w:rPr>
        <w:t>% da capacidade nacional de armazenamento de petróleo (3,</w:t>
      </w:r>
      <w:r>
        <w:rPr>
          <w:rFonts w:ascii="Arial" w:hAnsi="Arial" w:cs="Arial"/>
          <w:color w:val="000000" w:themeColor="text1"/>
        </w:rPr>
        <w:t>3</w:t>
      </w:r>
      <w:r w:rsidRPr="36DAC812">
        <w:rPr>
          <w:rFonts w:ascii="Arial" w:hAnsi="Arial" w:cs="Arial"/>
          <w:color w:val="000000" w:themeColor="text1"/>
        </w:rPr>
        <w:t xml:space="preserve"> milhões de m³). Dessa capacidade, 1,9 milhão de m³ (3</w:t>
      </w:r>
      <w:r>
        <w:rPr>
          <w:rFonts w:ascii="Arial" w:hAnsi="Arial" w:cs="Arial"/>
          <w:color w:val="000000" w:themeColor="text1"/>
        </w:rPr>
        <w:t>2</w:t>
      </w:r>
      <w:r w:rsidRPr="36DAC812">
        <w:rPr>
          <w:rFonts w:ascii="Arial" w:hAnsi="Arial" w:cs="Arial"/>
          <w:color w:val="000000" w:themeColor="text1"/>
        </w:rPr>
        <w:t>,</w:t>
      </w:r>
      <w:r w:rsidR="008C03D7">
        <w:rPr>
          <w:rFonts w:ascii="Arial" w:hAnsi="Arial" w:cs="Arial"/>
          <w:color w:val="000000" w:themeColor="text1"/>
        </w:rPr>
        <w:t>9</w:t>
      </w:r>
      <w:r w:rsidRPr="36DAC812">
        <w:rPr>
          <w:rFonts w:ascii="Arial" w:hAnsi="Arial" w:cs="Arial"/>
          <w:color w:val="000000" w:themeColor="text1"/>
        </w:rPr>
        <w:t xml:space="preserve">% do total nacional) se localizava no </w:t>
      </w:r>
      <w:r w:rsidR="006A3426">
        <w:rPr>
          <w:rFonts w:ascii="Arial" w:hAnsi="Arial" w:cs="Arial"/>
          <w:color w:val="000000" w:themeColor="text1"/>
        </w:rPr>
        <w:t>E</w:t>
      </w:r>
      <w:r w:rsidR="006A3426" w:rsidRPr="36DAC812">
        <w:rPr>
          <w:rFonts w:ascii="Arial" w:hAnsi="Arial" w:cs="Arial"/>
          <w:color w:val="000000" w:themeColor="text1"/>
        </w:rPr>
        <w:t xml:space="preserve">stado </w:t>
      </w:r>
      <w:r w:rsidRPr="36DAC812">
        <w:rPr>
          <w:rFonts w:ascii="Arial" w:hAnsi="Arial" w:cs="Arial"/>
          <w:color w:val="000000" w:themeColor="text1"/>
        </w:rPr>
        <w:t xml:space="preserve">de São Paulo e </w:t>
      </w:r>
      <w:r>
        <w:rPr>
          <w:rFonts w:ascii="Arial" w:hAnsi="Arial" w:cs="Arial"/>
          <w:color w:val="000000" w:themeColor="text1"/>
        </w:rPr>
        <w:t xml:space="preserve">943,6 </w:t>
      </w:r>
      <w:r w:rsidRPr="36DAC812">
        <w:rPr>
          <w:rFonts w:ascii="Arial" w:hAnsi="Arial" w:cs="Arial"/>
          <w:color w:val="000000" w:themeColor="text1"/>
        </w:rPr>
        <w:t>mil m³ (1</w:t>
      </w:r>
      <w:r>
        <w:rPr>
          <w:rFonts w:ascii="Arial" w:hAnsi="Arial" w:cs="Arial"/>
          <w:color w:val="000000" w:themeColor="text1"/>
        </w:rPr>
        <w:t>6,</w:t>
      </w:r>
      <w:r w:rsidR="008C03D7">
        <w:rPr>
          <w:rFonts w:ascii="Arial" w:hAnsi="Arial" w:cs="Arial"/>
          <w:color w:val="000000" w:themeColor="text1"/>
        </w:rPr>
        <w:t>2</w:t>
      </w:r>
      <w:r w:rsidRPr="36DAC812">
        <w:rPr>
          <w:rFonts w:ascii="Arial" w:hAnsi="Arial" w:cs="Arial"/>
          <w:color w:val="000000" w:themeColor="text1"/>
        </w:rPr>
        <w:t>% do total) no Rio de Janeiro. As refinarias com maior capacidade de armazenamento de petróleo eram Reduc (RJ)</w:t>
      </w:r>
      <w:r>
        <w:rPr>
          <w:rFonts w:ascii="Arial" w:hAnsi="Arial" w:cs="Arial"/>
          <w:color w:val="000000" w:themeColor="text1"/>
        </w:rPr>
        <w:t>,</w:t>
      </w:r>
      <w:r w:rsidRPr="36DAC812">
        <w:rPr>
          <w:rFonts w:ascii="Arial" w:hAnsi="Arial" w:cs="Arial"/>
          <w:color w:val="000000" w:themeColor="text1"/>
        </w:rPr>
        <w:t xml:space="preserve"> Replan (SP)</w:t>
      </w:r>
      <w:r>
        <w:rPr>
          <w:rFonts w:ascii="Arial" w:hAnsi="Arial" w:cs="Arial"/>
          <w:color w:val="000000" w:themeColor="text1"/>
        </w:rPr>
        <w:t xml:space="preserve"> e Rnest (PE)</w:t>
      </w:r>
      <w:r w:rsidRPr="36DAC812">
        <w:rPr>
          <w:rFonts w:ascii="Arial" w:hAnsi="Arial" w:cs="Arial"/>
          <w:color w:val="000000" w:themeColor="text1"/>
        </w:rPr>
        <w:t>, com aproximadamente 943,4</w:t>
      </w:r>
      <w:r>
        <w:rPr>
          <w:rFonts w:ascii="Arial" w:hAnsi="Arial" w:cs="Arial"/>
          <w:color w:val="000000" w:themeColor="text1"/>
        </w:rPr>
        <w:t xml:space="preserve"> </w:t>
      </w:r>
      <w:r w:rsidRPr="36DAC812">
        <w:rPr>
          <w:rFonts w:ascii="Arial" w:hAnsi="Arial" w:cs="Arial"/>
          <w:color w:val="000000" w:themeColor="text1"/>
        </w:rPr>
        <w:t xml:space="preserve">mil </w:t>
      </w:r>
      <w:r>
        <w:rPr>
          <w:rFonts w:ascii="Arial" w:hAnsi="Arial" w:cs="Arial"/>
          <w:color w:val="000000" w:themeColor="text1"/>
        </w:rPr>
        <w:t>m³ (16,</w:t>
      </w:r>
      <w:r w:rsidR="008C03D7">
        <w:rPr>
          <w:rFonts w:ascii="Arial" w:hAnsi="Arial" w:cs="Arial"/>
          <w:color w:val="000000" w:themeColor="text1"/>
        </w:rPr>
        <w:t>2</w:t>
      </w:r>
      <w:r>
        <w:rPr>
          <w:rFonts w:ascii="Arial" w:hAnsi="Arial" w:cs="Arial"/>
          <w:color w:val="000000" w:themeColor="text1"/>
        </w:rPr>
        <w:t xml:space="preserve">% do total), </w:t>
      </w:r>
      <w:r w:rsidRPr="36DAC812">
        <w:rPr>
          <w:rFonts w:ascii="Arial" w:hAnsi="Arial" w:cs="Arial"/>
          <w:color w:val="000000" w:themeColor="text1"/>
        </w:rPr>
        <w:t>876,8</w:t>
      </w:r>
      <w:r w:rsidRPr="005A17C6">
        <w:rPr>
          <w:rFonts w:ascii="Arial" w:hAnsi="Arial" w:cs="Arial"/>
          <w:color w:val="000000" w:themeColor="text1"/>
        </w:rPr>
        <w:t xml:space="preserve"> </w:t>
      </w:r>
      <w:r w:rsidRPr="36DAC812">
        <w:rPr>
          <w:rFonts w:ascii="Arial" w:hAnsi="Arial" w:cs="Arial"/>
          <w:color w:val="000000" w:themeColor="text1"/>
        </w:rPr>
        <w:t xml:space="preserve">mil </w:t>
      </w:r>
      <w:r>
        <w:rPr>
          <w:rFonts w:ascii="Arial" w:hAnsi="Arial" w:cs="Arial"/>
          <w:color w:val="000000" w:themeColor="text1"/>
        </w:rPr>
        <w:t>m³ (15</w:t>
      </w:r>
      <w:r w:rsidR="008C03D7">
        <w:rPr>
          <w:rFonts w:ascii="Arial" w:hAnsi="Arial" w:cs="Arial"/>
          <w:color w:val="000000" w:themeColor="text1"/>
        </w:rPr>
        <w:t>,1</w:t>
      </w:r>
      <w:r>
        <w:rPr>
          <w:rFonts w:ascii="Arial" w:hAnsi="Arial" w:cs="Arial"/>
          <w:color w:val="000000" w:themeColor="text1"/>
        </w:rPr>
        <w:t>% do total) e 803,2</w:t>
      </w:r>
      <w:r w:rsidRPr="36DAC812">
        <w:rPr>
          <w:rFonts w:ascii="Arial" w:hAnsi="Arial" w:cs="Arial"/>
          <w:color w:val="000000" w:themeColor="text1"/>
        </w:rPr>
        <w:t xml:space="preserve"> mil </w:t>
      </w:r>
      <w:r>
        <w:rPr>
          <w:rFonts w:ascii="Arial" w:hAnsi="Arial" w:cs="Arial"/>
          <w:color w:val="000000" w:themeColor="text1"/>
        </w:rPr>
        <w:t>m³ (13,</w:t>
      </w:r>
      <w:r w:rsidR="008C03D7">
        <w:rPr>
          <w:rFonts w:ascii="Arial" w:hAnsi="Arial" w:cs="Arial"/>
          <w:color w:val="000000" w:themeColor="text1"/>
        </w:rPr>
        <w:t>8</w:t>
      </w:r>
      <w:r>
        <w:rPr>
          <w:rFonts w:ascii="Arial" w:hAnsi="Arial" w:cs="Arial"/>
          <w:color w:val="000000" w:themeColor="text1"/>
        </w:rPr>
        <w:t>% do total)</w:t>
      </w:r>
      <w:r w:rsidRPr="36DAC812">
        <w:rPr>
          <w:rFonts w:ascii="Arial" w:hAnsi="Arial" w:cs="Arial"/>
          <w:color w:val="000000" w:themeColor="text1"/>
        </w:rPr>
        <w:t>, respectivamente.</w:t>
      </w:r>
    </w:p>
    <w:p w14:paraId="0ED844F0" w14:textId="77777777" w:rsidR="0041466A" w:rsidRPr="009B13AD" w:rsidRDefault="0041466A" w:rsidP="0041466A">
      <w:pPr>
        <w:autoSpaceDE w:val="0"/>
        <w:autoSpaceDN w:val="0"/>
        <w:adjustRightInd w:val="0"/>
        <w:jc w:val="both"/>
        <w:rPr>
          <w:rFonts w:ascii="Arial" w:hAnsi="Arial" w:cs="Arial"/>
          <w:color w:val="000000"/>
        </w:rPr>
      </w:pPr>
    </w:p>
    <w:p w14:paraId="19D95E97" w14:textId="0AAC8451" w:rsidR="0041466A" w:rsidRPr="009B13AD"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o Sudeste também era a região com maior capacidade de armazenamento de derivados, intermediários e etanol, com</w:t>
      </w:r>
      <w:r>
        <w:rPr>
          <w:rFonts w:ascii="Arial" w:hAnsi="Arial" w:cs="Arial"/>
          <w:color w:val="000000" w:themeColor="text1"/>
        </w:rPr>
        <w:t xml:space="preserve"> pouco menos de</w:t>
      </w:r>
      <w:r w:rsidRPr="36DAC812">
        <w:rPr>
          <w:rFonts w:ascii="Arial" w:hAnsi="Arial" w:cs="Arial"/>
          <w:color w:val="000000" w:themeColor="text1"/>
        </w:rPr>
        <w:t xml:space="preserve"> </w:t>
      </w:r>
      <w:r w:rsidR="008C03D7">
        <w:rPr>
          <w:rFonts w:ascii="Arial" w:hAnsi="Arial" w:cs="Arial"/>
          <w:color w:val="000000" w:themeColor="text1"/>
        </w:rPr>
        <w:t>5</w:t>
      </w:r>
      <w:r w:rsidRPr="36DAC812">
        <w:rPr>
          <w:rFonts w:ascii="Arial" w:hAnsi="Arial" w:cs="Arial"/>
          <w:color w:val="000000" w:themeColor="text1"/>
        </w:rPr>
        <w:t>,</w:t>
      </w:r>
      <w:r w:rsidR="008C03D7">
        <w:rPr>
          <w:rFonts w:ascii="Arial" w:hAnsi="Arial" w:cs="Arial"/>
          <w:color w:val="000000" w:themeColor="text1"/>
        </w:rPr>
        <w:t>2</w:t>
      </w:r>
      <w:r w:rsidRPr="36DAC812">
        <w:rPr>
          <w:rFonts w:ascii="Arial" w:hAnsi="Arial" w:cs="Arial"/>
          <w:color w:val="000000" w:themeColor="text1"/>
        </w:rPr>
        <w:t xml:space="preserve"> milhões de m³ (</w:t>
      </w:r>
      <w:r w:rsidR="008C03D7">
        <w:rPr>
          <w:rFonts w:ascii="Arial" w:hAnsi="Arial" w:cs="Arial"/>
          <w:color w:val="000000" w:themeColor="text1"/>
        </w:rPr>
        <w:t>48,5</w:t>
      </w:r>
      <w:r w:rsidRPr="36DAC812">
        <w:rPr>
          <w:rFonts w:ascii="Arial" w:hAnsi="Arial" w:cs="Arial"/>
          <w:color w:val="000000" w:themeColor="text1"/>
        </w:rPr>
        <w:t xml:space="preserve">% do total), dos quais </w:t>
      </w:r>
      <w:r w:rsidR="008C03D7">
        <w:rPr>
          <w:rFonts w:ascii="Arial" w:hAnsi="Arial" w:cs="Arial"/>
          <w:color w:val="000000" w:themeColor="text1"/>
        </w:rPr>
        <w:t>2,9</w:t>
      </w:r>
      <w:r w:rsidRPr="36DAC812">
        <w:rPr>
          <w:rFonts w:ascii="Arial" w:hAnsi="Arial" w:cs="Arial"/>
          <w:color w:val="000000" w:themeColor="text1"/>
        </w:rPr>
        <w:t xml:space="preserve"> milhões de m³ (</w:t>
      </w:r>
      <w:r w:rsidR="008C03D7">
        <w:rPr>
          <w:rFonts w:ascii="Arial" w:hAnsi="Arial" w:cs="Arial"/>
          <w:color w:val="000000" w:themeColor="text1"/>
        </w:rPr>
        <w:t>27,5</w:t>
      </w:r>
      <w:r w:rsidRPr="36DAC812">
        <w:rPr>
          <w:rFonts w:ascii="Arial" w:hAnsi="Arial" w:cs="Arial"/>
          <w:color w:val="000000" w:themeColor="text1"/>
        </w:rPr>
        <w:t xml:space="preserve">%) no estado de São Paulo e </w:t>
      </w:r>
      <w:r w:rsidR="008C03D7">
        <w:rPr>
          <w:rFonts w:ascii="Arial" w:hAnsi="Arial" w:cs="Arial"/>
          <w:color w:val="000000" w:themeColor="text1"/>
        </w:rPr>
        <w:t>1,4</w:t>
      </w:r>
      <w:r w:rsidRPr="36DAC812">
        <w:rPr>
          <w:rFonts w:ascii="Arial" w:hAnsi="Arial" w:cs="Arial"/>
          <w:color w:val="000000" w:themeColor="text1"/>
        </w:rPr>
        <w:t xml:space="preserve"> milh</w:t>
      </w:r>
      <w:r w:rsidR="008C03D7">
        <w:rPr>
          <w:rFonts w:ascii="Arial" w:hAnsi="Arial" w:cs="Arial"/>
          <w:color w:val="000000" w:themeColor="text1"/>
        </w:rPr>
        <w:t>ão</w:t>
      </w:r>
      <w:r w:rsidRPr="36DAC812">
        <w:rPr>
          <w:rFonts w:ascii="Arial" w:hAnsi="Arial" w:cs="Arial"/>
          <w:color w:val="000000" w:themeColor="text1"/>
        </w:rPr>
        <w:t xml:space="preserve"> de m³ (1</w:t>
      </w:r>
      <w:r w:rsidR="008C03D7">
        <w:rPr>
          <w:rFonts w:ascii="Arial" w:hAnsi="Arial" w:cs="Arial"/>
          <w:color w:val="000000" w:themeColor="text1"/>
        </w:rPr>
        <w:t>3,6</w:t>
      </w:r>
      <w:r w:rsidRPr="36DAC812">
        <w:rPr>
          <w:rFonts w:ascii="Arial" w:hAnsi="Arial" w:cs="Arial"/>
          <w:color w:val="000000" w:themeColor="text1"/>
        </w:rPr>
        <w:t xml:space="preserve">%) no Rio de Janeiro. A refinaria com maior capacidade de armazenamento era a </w:t>
      </w:r>
      <w:r w:rsidR="008C03D7">
        <w:rPr>
          <w:rFonts w:ascii="Arial" w:hAnsi="Arial" w:cs="Arial"/>
          <w:color w:val="000000" w:themeColor="text1"/>
        </w:rPr>
        <w:t>Riograndense</w:t>
      </w:r>
      <w:r w:rsidRPr="36DAC812">
        <w:rPr>
          <w:rFonts w:ascii="Arial" w:hAnsi="Arial" w:cs="Arial"/>
          <w:color w:val="000000" w:themeColor="text1"/>
        </w:rPr>
        <w:t xml:space="preserve"> (</w:t>
      </w:r>
      <w:r>
        <w:rPr>
          <w:rFonts w:ascii="Arial" w:hAnsi="Arial" w:cs="Arial"/>
          <w:color w:val="000000" w:themeColor="text1"/>
        </w:rPr>
        <w:t>1,9</w:t>
      </w:r>
      <w:r w:rsidRPr="36DAC812">
        <w:rPr>
          <w:rFonts w:ascii="Arial" w:hAnsi="Arial" w:cs="Arial"/>
          <w:color w:val="000000" w:themeColor="text1"/>
        </w:rPr>
        <w:t xml:space="preserve"> milh</w:t>
      </w:r>
      <w:r w:rsidR="008C03D7">
        <w:rPr>
          <w:rFonts w:ascii="Arial" w:hAnsi="Arial" w:cs="Arial"/>
          <w:color w:val="000000" w:themeColor="text1"/>
        </w:rPr>
        <w:t>ão</w:t>
      </w:r>
      <w:r w:rsidRPr="36DAC812">
        <w:rPr>
          <w:rFonts w:ascii="Arial" w:hAnsi="Arial" w:cs="Arial"/>
          <w:color w:val="000000" w:themeColor="text1"/>
        </w:rPr>
        <w:t xml:space="preserve"> de m³</w:t>
      </w:r>
      <w:r>
        <w:rPr>
          <w:rFonts w:ascii="Arial" w:hAnsi="Arial" w:cs="Arial"/>
          <w:color w:val="000000" w:themeColor="text1"/>
        </w:rPr>
        <w:t>;</w:t>
      </w:r>
      <w:r w:rsidRPr="36DAC812">
        <w:rPr>
          <w:rFonts w:ascii="Arial" w:hAnsi="Arial" w:cs="Arial"/>
          <w:color w:val="000000" w:themeColor="text1"/>
        </w:rPr>
        <w:t xml:space="preserve"> 1</w:t>
      </w:r>
      <w:r>
        <w:rPr>
          <w:rFonts w:ascii="Arial" w:hAnsi="Arial" w:cs="Arial"/>
          <w:color w:val="000000" w:themeColor="text1"/>
        </w:rPr>
        <w:t>8</w:t>
      </w:r>
      <w:r w:rsidRPr="36DAC812">
        <w:rPr>
          <w:rFonts w:ascii="Arial" w:hAnsi="Arial" w:cs="Arial"/>
          <w:color w:val="000000" w:themeColor="text1"/>
        </w:rPr>
        <w:t>,</w:t>
      </w:r>
      <w:r>
        <w:rPr>
          <w:rFonts w:ascii="Arial" w:hAnsi="Arial" w:cs="Arial"/>
          <w:color w:val="000000" w:themeColor="text1"/>
        </w:rPr>
        <w:t>2</w:t>
      </w:r>
      <w:r w:rsidRPr="36DAC812">
        <w:rPr>
          <w:rFonts w:ascii="Arial" w:hAnsi="Arial" w:cs="Arial"/>
          <w:color w:val="000000" w:themeColor="text1"/>
        </w:rPr>
        <w:t xml:space="preserve">%), seguida da </w:t>
      </w:r>
      <w:r w:rsidR="008C03D7">
        <w:rPr>
          <w:rFonts w:ascii="Arial" w:hAnsi="Arial" w:cs="Arial"/>
          <w:color w:val="000000" w:themeColor="text1"/>
        </w:rPr>
        <w:t>RPBC</w:t>
      </w:r>
      <w:r w:rsidRPr="36DAC812">
        <w:rPr>
          <w:rFonts w:ascii="Arial" w:hAnsi="Arial" w:cs="Arial"/>
          <w:color w:val="000000" w:themeColor="text1"/>
        </w:rPr>
        <w:t xml:space="preserve"> (1</w:t>
      </w:r>
      <w:r>
        <w:rPr>
          <w:rFonts w:ascii="Arial" w:hAnsi="Arial" w:cs="Arial"/>
          <w:color w:val="000000" w:themeColor="text1"/>
        </w:rPr>
        <w:t>,7</w:t>
      </w:r>
      <w:r w:rsidRPr="36DAC812">
        <w:rPr>
          <w:rFonts w:ascii="Arial" w:hAnsi="Arial" w:cs="Arial"/>
          <w:color w:val="000000" w:themeColor="text1"/>
        </w:rPr>
        <w:t xml:space="preserve"> milhão de m³</w:t>
      </w:r>
      <w:r>
        <w:rPr>
          <w:rFonts w:ascii="Arial" w:hAnsi="Arial" w:cs="Arial"/>
          <w:color w:val="000000" w:themeColor="text1"/>
        </w:rPr>
        <w:t>;</w:t>
      </w:r>
      <w:r w:rsidRPr="36DAC812">
        <w:rPr>
          <w:rFonts w:ascii="Arial" w:hAnsi="Arial" w:cs="Arial"/>
          <w:color w:val="000000" w:themeColor="text1"/>
        </w:rPr>
        <w:t xml:space="preserve"> 1</w:t>
      </w:r>
      <w:r>
        <w:rPr>
          <w:rFonts w:ascii="Arial" w:hAnsi="Arial" w:cs="Arial"/>
          <w:color w:val="000000" w:themeColor="text1"/>
        </w:rPr>
        <w:t>6</w:t>
      </w:r>
      <w:r w:rsidRPr="36DAC812">
        <w:rPr>
          <w:rFonts w:ascii="Arial" w:hAnsi="Arial" w:cs="Arial"/>
          <w:color w:val="000000" w:themeColor="text1"/>
        </w:rPr>
        <w:t>,</w:t>
      </w:r>
      <w:r>
        <w:rPr>
          <w:rFonts w:ascii="Arial" w:hAnsi="Arial" w:cs="Arial"/>
          <w:color w:val="000000" w:themeColor="text1"/>
        </w:rPr>
        <w:t>1</w:t>
      </w:r>
      <w:r w:rsidRPr="36DAC812">
        <w:rPr>
          <w:rFonts w:ascii="Arial" w:hAnsi="Arial" w:cs="Arial"/>
          <w:color w:val="000000" w:themeColor="text1"/>
        </w:rPr>
        <w:t xml:space="preserve">%) e da </w:t>
      </w:r>
      <w:r w:rsidR="008C03D7">
        <w:rPr>
          <w:rFonts w:ascii="Arial" w:hAnsi="Arial" w:cs="Arial"/>
          <w:color w:val="000000" w:themeColor="text1"/>
        </w:rPr>
        <w:t>Manguinhos</w:t>
      </w:r>
      <w:r w:rsidRPr="36DAC812">
        <w:rPr>
          <w:rFonts w:ascii="Arial" w:hAnsi="Arial" w:cs="Arial"/>
          <w:color w:val="000000" w:themeColor="text1"/>
        </w:rPr>
        <w:t xml:space="preserve"> (1,2 milhão de m³</w:t>
      </w:r>
      <w:r>
        <w:rPr>
          <w:rFonts w:ascii="Arial" w:hAnsi="Arial" w:cs="Arial"/>
          <w:color w:val="000000" w:themeColor="text1"/>
        </w:rPr>
        <w:t>;</w:t>
      </w:r>
      <w:r w:rsidRPr="36DAC812">
        <w:rPr>
          <w:rFonts w:ascii="Arial" w:hAnsi="Arial" w:cs="Arial"/>
          <w:color w:val="000000" w:themeColor="text1"/>
        </w:rPr>
        <w:t xml:space="preserve"> 1</w:t>
      </w:r>
      <w:r>
        <w:rPr>
          <w:rFonts w:ascii="Arial" w:hAnsi="Arial" w:cs="Arial"/>
          <w:color w:val="000000" w:themeColor="text1"/>
        </w:rPr>
        <w:t>1</w:t>
      </w:r>
      <w:r w:rsidRPr="36DAC812">
        <w:rPr>
          <w:rFonts w:ascii="Arial" w:hAnsi="Arial" w:cs="Arial"/>
          <w:color w:val="000000" w:themeColor="text1"/>
        </w:rPr>
        <w:t>,</w:t>
      </w:r>
      <w:r w:rsidR="008C03D7">
        <w:rPr>
          <w:rFonts w:ascii="Arial" w:hAnsi="Arial" w:cs="Arial"/>
          <w:color w:val="000000" w:themeColor="text1"/>
        </w:rPr>
        <w:t>2</w:t>
      </w:r>
      <w:r w:rsidRPr="36DAC812">
        <w:rPr>
          <w:rFonts w:ascii="Arial" w:hAnsi="Arial" w:cs="Arial"/>
          <w:color w:val="000000" w:themeColor="text1"/>
        </w:rPr>
        <w:t>%</w:t>
      </w:r>
      <w:r w:rsidR="008C03D7">
        <w:rPr>
          <w:rFonts w:ascii="Arial" w:hAnsi="Arial" w:cs="Arial"/>
          <w:color w:val="000000" w:themeColor="text1"/>
        </w:rPr>
        <w:t>).</w:t>
      </w:r>
    </w:p>
    <w:p w14:paraId="430E918F" w14:textId="77777777" w:rsidR="0041466A" w:rsidRPr="00C854C9" w:rsidRDefault="0041466A" w:rsidP="0041466A">
      <w:pPr>
        <w:autoSpaceDE w:val="0"/>
        <w:autoSpaceDN w:val="0"/>
        <w:adjustRightInd w:val="0"/>
        <w:jc w:val="both"/>
        <w:rPr>
          <w:rFonts w:ascii="Arial" w:hAnsi="Arial" w:cs="Arial"/>
          <w:b/>
          <w:bCs/>
        </w:rPr>
      </w:pPr>
    </w:p>
    <w:p w14:paraId="20F2F876" w14:textId="2877E23B"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3</w:t>
      </w:r>
      <w:r w:rsidR="00BA21BB">
        <w:rPr>
          <w:rFonts w:ascii="Arial" w:hAnsi="Arial" w:cs="Arial"/>
          <w:b/>
          <w:bCs/>
          <w:color w:val="FF0000"/>
        </w:rPr>
        <w:t>8</w:t>
      </w:r>
    </w:p>
    <w:p w14:paraId="243294B8" w14:textId="2009ED74" w:rsidR="0041466A" w:rsidRDefault="0041466A" w:rsidP="0041466A">
      <w:pPr>
        <w:autoSpaceDE w:val="0"/>
        <w:autoSpaceDN w:val="0"/>
        <w:adjustRightInd w:val="0"/>
        <w:jc w:val="both"/>
        <w:rPr>
          <w:rFonts w:ascii="Arial" w:hAnsi="Arial" w:cs="Arial"/>
          <w:b/>
          <w:bCs/>
        </w:rPr>
      </w:pPr>
    </w:p>
    <w:p w14:paraId="4380261E" w14:textId="77777777" w:rsidR="0041466A" w:rsidRPr="00C854C9" w:rsidRDefault="0041466A" w:rsidP="0041466A">
      <w:pPr>
        <w:autoSpaceDE w:val="0"/>
        <w:autoSpaceDN w:val="0"/>
        <w:adjustRightInd w:val="0"/>
        <w:jc w:val="both"/>
        <w:rPr>
          <w:rFonts w:ascii="Arial" w:hAnsi="Arial" w:cs="Arial"/>
          <w:b/>
          <w:bCs/>
        </w:rPr>
      </w:pPr>
    </w:p>
    <w:p w14:paraId="26432D7C" w14:textId="5263AF1D" w:rsidR="0041466A" w:rsidRPr="00C854C9" w:rsidRDefault="0041466A" w:rsidP="0041466A">
      <w:pPr>
        <w:autoSpaceDE w:val="0"/>
        <w:autoSpaceDN w:val="0"/>
        <w:adjustRightInd w:val="0"/>
        <w:jc w:val="both"/>
        <w:rPr>
          <w:rFonts w:ascii="Arial" w:hAnsi="Arial" w:cs="Arial"/>
          <w:b/>
          <w:bCs/>
          <w:color w:val="000000"/>
        </w:rPr>
      </w:pPr>
      <w:r w:rsidRPr="00C854C9">
        <w:rPr>
          <w:rFonts w:ascii="Arial" w:hAnsi="Arial" w:cs="Arial"/>
          <w:b/>
          <w:bCs/>
          <w:color w:val="000000"/>
        </w:rPr>
        <w:t>2.</w:t>
      </w:r>
      <w:r w:rsidR="009C714A">
        <w:rPr>
          <w:rFonts w:ascii="Arial" w:hAnsi="Arial" w:cs="Arial"/>
          <w:b/>
          <w:bCs/>
          <w:color w:val="000000"/>
        </w:rPr>
        <w:t>2.2</w:t>
      </w:r>
      <w:r w:rsidRPr="00C854C9">
        <w:rPr>
          <w:rFonts w:ascii="Arial" w:hAnsi="Arial" w:cs="Arial"/>
          <w:b/>
          <w:bCs/>
          <w:color w:val="000000"/>
        </w:rPr>
        <w:t xml:space="preserve"> Pr</w:t>
      </w:r>
      <w:r w:rsidR="009C714A" w:rsidRPr="00C854C9">
        <w:rPr>
          <w:rFonts w:ascii="Arial" w:hAnsi="Arial" w:cs="Arial"/>
          <w:b/>
          <w:bCs/>
          <w:color w:val="000000"/>
        </w:rPr>
        <w:t>ocessamento de gás natural</w:t>
      </w:r>
    </w:p>
    <w:p w14:paraId="7A34A6B0" w14:textId="77777777" w:rsidR="0041466A" w:rsidRPr="00C854C9" w:rsidRDefault="0041466A" w:rsidP="0041466A">
      <w:pPr>
        <w:autoSpaceDE w:val="0"/>
        <w:autoSpaceDN w:val="0"/>
        <w:adjustRightInd w:val="0"/>
        <w:jc w:val="both"/>
        <w:rPr>
          <w:rFonts w:ascii="Arial" w:hAnsi="Arial" w:cs="Arial"/>
          <w:color w:val="000000"/>
        </w:rPr>
      </w:pPr>
    </w:p>
    <w:p w14:paraId="339C1AFD" w14:textId="57DDD6B3" w:rsidR="0081636C" w:rsidRDefault="0041466A" w:rsidP="0081636C">
      <w:pPr>
        <w:autoSpaceDE w:val="0"/>
        <w:autoSpaceDN w:val="0"/>
        <w:adjustRightInd w:val="0"/>
        <w:jc w:val="both"/>
        <w:rPr>
          <w:rFonts w:ascii="Arial" w:hAnsi="Arial" w:cs="Arial"/>
          <w:color w:val="000000"/>
        </w:rPr>
      </w:pPr>
      <w:r w:rsidRPr="36DAC812">
        <w:rPr>
          <w:rFonts w:ascii="Arial" w:hAnsi="Arial" w:cs="Arial"/>
          <w:color w:val="000000" w:themeColor="text1"/>
        </w:rPr>
        <w:t xml:space="preserve">Em </w:t>
      </w:r>
      <w:r>
        <w:rPr>
          <w:rFonts w:ascii="Arial" w:hAnsi="Arial" w:cs="Arial"/>
          <w:color w:val="000000" w:themeColor="text1"/>
        </w:rPr>
        <w:t>2025</w:t>
      </w:r>
      <w:r w:rsidRPr="36DAC812">
        <w:rPr>
          <w:rFonts w:ascii="Arial" w:hAnsi="Arial" w:cs="Arial"/>
          <w:color w:val="000000" w:themeColor="text1"/>
        </w:rPr>
        <w:t xml:space="preserve">, o gás natural foi processado em </w:t>
      </w:r>
      <w:r w:rsidR="004D6204">
        <w:rPr>
          <w:rFonts w:ascii="Arial" w:hAnsi="Arial" w:cs="Arial"/>
          <w:color w:val="000000" w:themeColor="text1"/>
        </w:rPr>
        <w:t>14</w:t>
      </w:r>
      <w:r w:rsidR="004D6204" w:rsidRPr="36DAC812">
        <w:rPr>
          <w:rFonts w:ascii="Arial" w:hAnsi="Arial" w:cs="Arial"/>
          <w:color w:val="000000" w:themeColor="text1"/>
        </w:rPr>
        <w:t xml:space="preserve"> </w:t>
      </w:r>
      <w:r w:rsidRPr="36DAC812">
        <w:rPr>
          <w:rFonts w:ascii="Arial" w:hAnsi="Arial" w:cs="Arial"/>
          <w:color w:val="000000" w:themeColor="text1"/>
        </w:rPr>
        <w:t xml:space="preserve">polos produtores, que, juntos, somavam </w:t>
      </w:r>
      <w:r w:rsidR="0081636C">
        <w:rPr>
          <w:rFonts w:ascii="Arial" w:hAnsi="Arial" w:cs="Arial"/>
          <w:color w:val="000000" w:themeColor="text1"/>
        </w:rPr>
        <w:t>121,9</w:t>
      </w:r>
      <w:r w:rsidRPr="36DAC812">
        <w:rPr>
          <w:rFonts w:ascii="Arial" w:hAnsi="Arial" w:cs="Arial"/>
          <w:color w:val="000000" w:themeColor="text1"/>
        </w:rPr>
        <w:t xml:space="preserve"> milhões de m³/dia de capacidade nominal. A capacidade de processamento </w:t>
      </w:r>
      <w:r>
        <w:rPr>
          <w:rFonts w:ascii="Arial" w:hAnsi="Arial" w:cs="Arial"/>
          <w:color w:val="000000" w:themeColor="text1"/>
        </w:rPr>
        <w:t>aumentou</w:t>
      </w:r>
      <w:r w:rsidRPr="36DAC812">
        <w:rPr>
          <w:rFonts w:ascii="Arial" w:hAnsi="Arial" w:cs="Arial"/>
          <w:color w:val="000000" w:themeColor="text1"/>
        </w:rPr>
        <w:t xml:space="preserve"> </w:t>
      </w:r>
      <w:r>
        <w:rPr>
          <w:rFonts w:ascii="Arial" w:hAnsi="Arial" w:cs="Arial"/>
          <w:color w:val="000000" w:themeColor="text1"/>
        </w:rPr>
        <w:t>11</w:t>
      </w:r>
      <w:r w:rsidR="0081636C">
        <w:rPr>
          <w:rFonts w:ascii="Arial" w:hAnsi="Arial" w:cs="Arial"/>
          <w:color w:val="000000" w:themeColor="text1"/>
        </w:rPr>
        <w:t>,1</w:t>
      </w:r>
      <w:r w:rsidRPr="36DAC812">
        <w:rPr>
          <w:rFonts w:ascii="Arial" w:hAnsi="Arial" w:cs="Arial"/>
          <w:color w:val="000000" w:themeColor="text1"/>
        </w:rPr>
        <w:t xml:space="preserve">% em relação a </w:t>
      </w:r>
      <w:r>
        <w:rPr>
          <w:rFonts w:ascii="Arial" w:hAnsi="Arial" w:cs="Arial"/>
          <w:color w:val="000000" w:themeColor="text1"/>
        </w:rPr>
        <w:t>2024</w:t>
      </w:r>
      <w:r w:rsidRPr="36DAC812">
        <w:rPr>
          <w:rFonts w:ascii="Arial" w:hAnsi="Arial" w:cs="Arial"/>
          <w:color w:val="000000" w:themeColor="text1"/>
        </w:rPr>
        <w:t>.</w:t>
      </w:r>
    </w:p>
    <w:p w14:paraId="50EBBA6D" w14:textId="06C41C6D" w:rsidR="0041466A" w:rsidRDefault="0041466A" w:rsidP="0041466A">
      <w:pPr>
        <w:autoSpaceDE w:val="0"/>
        <w:autoSpaceDN w:val="0"/>
        <w:adjustRightInd w:val="0"/>
        <w:jc w:val="both"/>
        <w:rPr>
          <w:rFonts w:ascii="Arial" w:hAnsi="Arial" w:cs="Arial"/>
          <w:color w:val="000000"/>
        </w:rPr>
      </w:pPr>
    </w:p>
    <w:p w14:paraId="246B9115" w14:textId="06FC7826" w:rsidR="0041466A" w:rsidRDefault="0041466A" w:rsidP="0041466A">
      <w:pPr>
        <w:autoSpaceDE w:val="0"/>
        <w:autoSpaceDN w:val="0"/>
        <w:adjustRightInd w:val="0"/>
        <w:jc w:val="both"/>
        <w:rPr>
          <w:rFonts w:ascii="Arial" w:hAnsi="Arial" w:cs="Arial"/>
          <w:color w:val="000000"/>
        </w:rPr>
      </w:pPr>
      <w:r w:rsidRPr="00333B01">
        <w:rPr>
          <w:rFonts w:ascii="Arial" w:hAnsi="Arial" w:cs="Arial"/>
          <w:color w:val="000000"/>
        </w:rPr>
        <w:t xml:space="preserve">O volume total processado no ano foi de </w:t>
      </w:r>
      <w:r w:rsidR="008D717F">
        <w:rPr>
          <w:rFonts w:ascii="Arial" w:hAnsi="Arial" w:cs="Arial"/>
          <w:color w:val="000000"/>
        </w:rPr>
        <w:t>22,4</w:t>
      </w:r>
      <w:r w:rsidRPr="00333B01">
        <w:rPr>
          <w:rFonts w:ascii="Arial" w:hAnsi="Arial" w:cs="Arial"/>
          <w:color w:val="000000"/>
        </w:rPr>
        <w:t xml:space="preserve"> bilhões de m³ (</w:t>
      </w:r>
      <w:r w:rsidR="008D717F">
        <w:rPr>
          <w:rFonts w:ascii="Arial" w:hAnsi="Arial" w:cs="Arial"/>
          <w:color w:val="000000"/>
        </w:rPr>
        <w:t>61,3</w:t>
      </w:r>
      <w:r w:rsidRPr="00333B01">
        <w:rPr>
          <w:rFonts w:ascii="Arial" w:hAnsi="Arial" w:cs="Arial"/>
          <w:color w:val="000000"/>
        </w:rPr>
        <w:t xml:space="preserve"> milhões de m³/dia), correspondente a </w:t>
      </w:r>
      <w:r w:rsidR="00695D6E">
        <w:rPr>
          <w:rFonts w:ascii="Arial" w:hAnsi="Arial" w:cs="Arial"/>
          <w:color w:val="000000"/>
        </w:rPr>
        <w:t>50,3</w:t>
      </w:r>
      <w:r w:rsidRPr="00333B01">
        <w:rPr>
          <w:rFonts w:ascii="Arial" w:hAnsi="Arial" w:cs="Arial"/>
          <w:color w:val="000000"/>
        </w:rPr>
        <w:t>% da capacidade total i</w:t>
      </w:r>
      <w:r>
        <w:rPr>
          <w:rFonts w:ascii="Arial" w:hAnsi="Arial" w:cs="Arial"/>
          <w:color w:val="000000"/>
        </w:rPr>
        <w:t>nstalada. Na comparação com 2024</w:t>
      </w:r>
      <w:r w:rsidRPr="00333B01">
        <w:rPr>
          <w:rFonts w:ascii="Arial" w:hAnsi="Arial" w:cs="Arial"/>
          <w:color w:val="000000"/>
        </w:rPr>
        <w:t xml:space="preserve">, o processamento de gás natural registrou </w:t>
      </w:r>
      <w:r w:rsidR="00F062D7">
        <w:rPr>
          <w:rFonts w:ascii="Arial" w:hAnsi="Arial" w:cs="Arial"/>
          <w:color w:val="000000"/>
        </w:rPr>
        <w:t>alta</w:t>
      </w:r>
      <w:r>
        <w:rPr>
          <w:rFonts w:ascii="Arial" w:hAnsi="Arial" w:cs="Arial"/>
          <w:color w:val="000000"/>
        </w:rPr>
        <w:t xml:space="preserve"> de </w:t>
      </w:r>
      <w:r w:rsidR="00F062D7">
        <w:rPr>
          <w:rFonts w:ascii="Arial" w:hAnsi="Arial" w:cs="Arial"/>
          <w:color w:val="000000"/>
        </w:rPr>
        <w:t>22</w:t>
      </w:r>
      <w:r>
        <w:rPr>
          <w:rFonts w:ascii="Arial" w:hAnsi="Arial" w:cs="Arial"/>
          <w:color w:val="000000"/>
        </w:rPr>
        <w:t>%.</w:t>
      </w:r>
    </w:p>
    <w:p w14:paraId="4332F053" w14:textId="77777777" w:rsidR="008D717F" w:rsidRPr="00333B01" w:rsidRDefault="008D717F" w:rsidP="0041466A">
      <w:pPr>
        <w:autoSpaceDE w:val="0"/>
        <w:autoSpaceDN w:val="0"/>
        <w:adjustRightInd w:val="0"/>
        <w:jc w:val="both"/>
        <w:rPr>
          <w:rFonts w:ascii="Arial" w:hAnsi="Arial" w:cs="Arial"/>
          <w:color w:val="000000"/>
        </w:rPr>
      </w:pPr>
    </w:p>
    <w:p w14:paraId="58F8DC4B" w14:textId="3AD4BAF0" w:rsidR="008D717F" w:rsidRDefault="008D717F" w:rsidP="008D717F">
      <w:pPr>
        <w:autoSpaceDE w:val="0"/>
        <w:autoSpaceDN w:val="0"/>
        <w:adjustRightInd w:val="0"/>
        <w:jc w:val="both"/>
        <w:rPr>
          <w:rFonts w:ascii="Arial" w:hAnsi="Arial" w:cs="Arial"/>
          <w:color w:val="000000"/>
        </w:rPr>
      </w:pPr>
      <w:r w:rsidRPr="36DAC812">
        <w:rPr>
          <w:rFonts w:ascii="Arial" w:hAnsi="Arial" w:cs="Arial"/>
          <w:color w:val="000000" w:themeColor="text1"/>
        </w:rPr>
        <w:t>Os polos de Cabiúnas</w:t>
      </w:r>
      <w:r>
        <w:rPr>
          <w:rFonts w:ascii="Arial" w:hAnsi="Arial" w:cs="Arial"/>
          <w:color w:val="000000" w:themeColor="text1"/>
        </w:rPr>
        <w:t xml:space="preserve"> </w:t>
      </w:r>
      <w:r w:rsidRPr="36DAC812">
        <w:rPr>
          <w:rFonts w:ascii="Arial" w:hAnsi="Arial" w:cs="Arial"/>
          <w:color w:val="000000" w:themeColor="text1"/>
        </w:rPr>
        <w:t xml:space="preserve">(Rio de Janeiro), </w:t>
      </w:r>
      <w:r w:rsidR="00F062D7">
        <w:rPr>
          <w:rFonts w:ascii="Arial" w:hAnsi="Arial" w:cs="Arial"/>
          <w:color w:val="000000" w:themeColor="text1"/>
        </w:rPr>
        <w:t>Urucu</w:t>
      </w:r>
      <w:r>
        <w:rPr>
          <w:rFonts w:ascii="Arial" w:hAnsi="Arial" w:cs="Arial"/>
          <w:color w:val="000000" w:themeColor="text1"/>
        </w:rPr>
        <w:t xml:space="preserve"> </w:t>
      </w:r>
      <w:r w:rsidRPr="36DAC812">
        <w:rPr>
          <w:rFonts w:ascii="Arial" w:hAnsi="Arial" w:cs="Arial"/>
          <w:color w:val="000000" w:themeColor="text1"/>
        </w:rPr>
        <w:t>(</w:t>
      </w:r>
      <w:r w:rsidR="00F062D7">
        <w:rPr>
          <w:rFonts w:ascii="Arial" w:hAnsi="Arial" w:cs="Arial"/>
          <w:color w:val="000000" w:themeColor="text1"/>
        </w:rPr>
        <w:t>Amazonas</w:t>
      </w:r>
      <w:r w:rsidRPr="36DAC812">
        <w:rPr>
          <w:rFonts w:ascii="Arial" w:hAnsi="Arial" w:cs="Arial"/>
          <w:color w:val="000000" w:themeColor="text1"/>
        </w:rPr>
        <w:t>)</w:t>
      </w:r>
      <w:r>
        <w:rPr>
          <w:rFonts w:ascii="Arial" w:hAnsi="Arial" w:cs="Arial"/>
          <w:color w:val="000000" w:themeColor="text1"/>
        </w:rPr>
        <w:t xml:space="preserve">, </w:t>
      </w:r>
      <w:r w:rsidRPr="36DAC812">
        <w:rPr>
          <w:rFonts w:ascii="Arial" w:hAnsi="Arial" w:cs="Arial"/>
          <w:color w:val="000000" w:themeColor="text1"/>
        </w:rPr>
        <w:t xml:space="preserve">Caraguatatuba (São Paulo) e </w:t>
      </w:r>
      <w:r w:rsidR="00F062D7">
        <w:rPr>
          <w:rFonts w:ascii="Arial" w:hAnsi="Arial" w:cs="Arial"/>
          <w:color w:val="000000" w:themeColor="text1"/>
        </w:rPr>
        <w:t>Complexo Boaventura</w:t>
      </w:r>
      <w:r>
        <w:rPr>
          <w:rFonts w:ascii="Arial" w:hAnsi="Arial" w:cs="Arial"/>
          <w:color w:val="000000" w:themeColor="text1"/>
        </w:rPr>
        <w:t xml:space="preserve"> (</w:t>
      </w:r>
      <w:r w:rsidR="00F062D7">
        <w:rPr>
          <w:rFonts w:ascii="Arial" w:hAnsi="Arial" w:cs="Arial"/>
          <w:color w:val="000000" w:themeColor="text1"/>
        </w:rPr>
        <w:t>Rio de Janeiro</w:t>
      </w:r>
      <w:r>
        <w:rPr>
          <w:rFonts w:ascii="Arial" w:hAnsi="Arial" w:cs="Arial"/>
          <w:color w:val="000000" w:themeColor="text1"/>
        </w:rPr>
        <w:t>)</w:t>
      </w:r>
      <w:r w:rsidRPr="36DAC812">
        <w:rPr>
          <w:rFonts w:ascii="Arial" w:hAnsi="Arial" w:cs="Arial"/>
          <w:color w:val="000000" w:themeColor="text1"/>
        </w:rPr>
        <w:t xml:space="preserve"> </w:t>
      </w:r>
      <w:r w:rsidR="00F062D7">
        <w:rPr>
          <w:rFonts w:ascii="Arial" w:hAnsi="Arial" w:cs="Arial"/>
          <w:color w:val="000000" w:themeColor="text1"/>
        </w:rPr>
        <w:t>foram responsáveis por 85,1% do gás natural processado em 2025.</w:t>
      </w:r>
    </w:p>
    <w:p w14:paraId="20972424" w14:textId="77777777" w:rsidR="0041466A" w:rsidRPr="00333B01" w:rsidRDefault="0041466A" w:rsidP="0041466A">
      <w:pPr>
        <w:autoSpaceDE w:val="0"/>
        <w:autoSpaceDN w:val="0"/>
        <w:adjustRightInd w:val="0"/>
        <w:jc w:val="both"/>
        <w:rPr>
          <w:rFonts w:ascii="Arial" w:hAnsi="Arial" w:cs="Arial"/>
          <w:color w:val="000000"/>
        </w:rPr>
      </w:pPr>
    </w:p>
    <w:p w14:paraId="1FC7BD64" w14:textId="77777777" w:rsidR="00F214B0" w:rsidRDefault="0041466A" w:rsidP="0041466A">
      <w:pPr>
        <w:autoSpaceDE w:val="0"/>
        <w:autoSpaceDN w:val="0"/>
        <w:adjustRightInd w:val="0"/>
        <w:jc w:val="both"/>
        <w:rPr>
          <w:rFonts w:ascii="Arial" w:hAnsi="Arial" w:cs="Arial"/>
          <w:color w:val="000000" w:themeColor="text1"/>
        </w:rPr>
      </w:pPr>
      <w:r w:rsidRPr="36DAC812">
        <w:rPr>
          <w:rFonts w:ascii="Arial" w:hAnsi="Arial" w:cs="Arial"/>
          <w:color w:val="000000" w:themeColor="text1"/>
        </w:rPr>
        <w:t xml:space="preserve">Como resultado do processamento de gás natural, os polos produziram </w:t>
      </w:r>
      <w:r w:rsidR="00F062D7">
        <w:rPr>
          <w:rFonts w:ascii="Arial" w:hAnsi="Arial" w:cs="Arial"/>
          <w:color w:val="000000" w:themeColor="text1"/>
        </w:rPr>
        <w:t>4,1</w:t>
      </w:r>
      <w:r w:rsidRPr="36DAC812">
        <w:rPr>
          <w:rFonts w:ascii="Arial" w:hAnsi="Arial" w:cs="Arial"/>
          <w:color w:val="000000" w:themeColor="text1"/>
        </w:rPr>
        <w:t xml:space="preserve"> milhões de m³ de GLP; </w:t>
      </w:r>
      <w:r w:rsidR="00F062D7">
        <w:rPr>
          <w:rFonts w:ascii="Arial" w:hAnsi="Arial" w:cs="Arial"/>
          <w:color w:val="000000" w:themeColor="text1"/>
        </w:rPr>
        <w:t>1</w:t>
      </w:r>
      <w:r w:rsidRPr="36DAC812">
        <w:rPr>
          <w:rFonts w:ascii="Arial" w:hAnsi="Arial" w:cs="Arial"/>
          <w:color w:val="000000" w:themeColor="text1"/>
        </w:rPr>
        <w:t xml:space="preserve"> mil</w:t>
      </w:r>
      <w:r w:rsidR="00F062D7">
        <w:rPr>
          <w:rFonts w:ascii="Arial" w:hAnsi="Arial" w:cs="Arial"/>
          <w:color w:val="000000" w:themeColor="text1"/>
        </w:rPr>
        <w:t>hão de</w:t>
      </w:r>
      <w:r w:rsidRPr="36DAC812">
        <w:rPr>
          <w:rFonts w:ascii="Arial" w:hAnsi="Arial" w:cs="Arial"/>
          <w:color w:val="000000" w:themeColor="text1"/>
        </w:rPr>
        <w:t xml:space="preserve"> m³ de C</w:t>
      </w:r>
      <w:r w:rsidRPr="36DAC812">
        <w:rPr>
          <w:rFonts w:ascii="Arial" w:hAnsi="Arial" w:cs="Arial"/>
          <w:color w:val="000000" w:themeColor="text1"/>
          <w:vertAlign w:val="subscript"/>
        </w:rPr>
        <w:t>5</w:t>
      </w:r>
      <w:r w:rsidRPr="36DAC812">
        <w:rPr>
          <w:rFonts w:ascii="Arial" w:hAnsi="Arial" w:cs="Arial"/>
          <w:color w:val="000000" w:themeColor="text1"/>
          <w:vertAlign w:val="superscript"/>
        </w:rPr>
        <w:t>+</w:t>
      </w:r>
      <w:r w:rsidRPr="36DAC812">
        <w:rPr>
          <w:rFonts w:ascii="Arial" w:hAnsi="Arial" w:cs="Arial"/>
          <w:color w:val="000000" w:themeColor="text1"/>
        </w:rPr>
        <w:t xml:space="preserve"> (gasolina natural); </w:t>
      </w:r>
      <w:bookmarkStart w:id="0" w:name="_Hlk48825018"/>
      <w:r>
        <w:rPr>
          <w:rFonts w:ascii="Arial" w:hAnsi="Arial" w:cs="Arial"/>
          <w:color w:val="000000" w:themeColor="text1"/>
        </w:rPr>
        <w:t>2</w:t>
      </w:r>
      <w:r w:rsidR="00F062D7">
        <w:rPr>
          <w:rFonts w:ascii="Arial" w:hAnsi="Arial" w:cs="Arial"/>
          <w:color w:val="000000" w:themeColor="text1"/>
        </w:rPr>
        <w:t>66,8</w:t>
      </w:r>
      <w:r w:rsidRPr="36DAC812">
        <w:rPr>
          <w:rFonts w:ascii="Arial" w:hAnsi="Arial" w:cs="Arial"/>
          <w:color w:val="000000" w:themeColor="text1"/>
        </w:rPr>
        <w:t xml:space="preserve"> milhões de m³ de etano</w:t>
      </w:r>
      <w:bookmarkEnd w:id="0"/>
      <w:r w:rsidRPr="36DAC812">
        <w:rPr>
          <w:rFonts w:ascii="Arial" w:hAnsi="Arial" w:cs="Arial"/>
          <w:color w:val="000000" w:themeColor="text1"/>
        </w:rPr>
        <w:t xml:space="preserve">; </w:t>
      </w:r>
      <w:r w:rsidR="00F062D7">
        <w:rPr>
          <w:rFonts w:ascii="Arial" w:hAnsi="Arial" w:cs="Arial"/>
          <w:color w:val="000000" w:themeColor="text1"/>
        </w:rPr>
        <w:t>694,5</w:t>
      </w:r>
      <w:r>
        <w:rPr>
          <w:rFonts w:ascii="Arial" w:hAnsi="Arial" w:cs="Arial"/>
          <w:color w:val="000000" w:themeColor="text1"/>
        </w:rPr>
        <w:t xml:space="preserve"> mil</w:t>
      </w:r>
      <w:r w:rsidRPr="36DAC812">
        <w:rPr>
          <w:rFonts w:ascii="Arial" w:hAnsi="Arial" w:cs="Arial"/>
          <w:color w:val="000000" w:themeColor="text1"/>
        </w:rPr>
        <w:t xml:space="preserve"> </w:t>
      </w:r>
      <w:r>
        <w:rPr>
          <w:rFonts w:ascii="Arial" w:hAnsi="Arial" w:cs="Arial"/>
          <w:color w:val="000000" w:themeColor="text1"/>
        </w:rPr>
        <w:t>m³</w:t>
      </w:r>
      <w:r w:rsidRPr="36DAC812">
        <w:rPr>
          <w:rFonts w:ascii="Arial" w:hAnsi="Arial" w:cs="Arial"/>
          <w:color w:val="000000" w:themeColor="text1"/>
        </w:rPr>
        <w:t xml:space="preserve"> de propano; 1</w:t>
      </w:r>
      <w:r>
        <w:rPr>
          <w:rFonts w:ascii="Arial" w:hAnsi="Arial" w:cs="Arial"/>
          <w:color w:val="000000" w:themeColor="text1"/>
        </w:rPr>
        <w:t>5</w:t>
      </w:r>
      <w:r w:rsidR="00F062D7">
        <w:rPr>
          <w:rFonts w:ascii="Arial" w:hAnsi="Arial" w:cs="Arial"/>
          <w:color w:val="000000" w:themeColor="text1"/>
        </w:rPr>
        <w:t>6</w:t>
      </w:r>
      <w:r>
        <w:rPr>
          <w:rFonts w:ascii="Arial" w:hAnsi="Arial" w:cs="Arial"/>
          <w:color w:val="000000" w:themeColor="text1"/>
        </w:rPr>
        <w:t>,</w:t>
      </w:r>
      <w:r w:rsidR="00F062D7">
        <w:rPr>
          <w:rFonts w:ascii="Arial" w:hAnsi="Arial" w:cs="Arial"/>
          <w:color w:val="000000" w:themeColor="text1"/>
        </w:rPr>
        <w:t>7</w:t>
      </w:r>
      <w:r w:rsidRPr="36DAC812">
        <w:rPr>
          <w:rFonts w:ascii="Arial" w:hAnsi="Arial" w:cs="Arial"/>
          <w:color w:val="000000" w:themeColor="text1"/>
        </w:rPr>
        <w:t xml:space="preserve"> mil </w:t>
      </w:r>
      <w:r>
        <w:rPr>
          <w:rFonts w:ascii="Arial" w:hAnsi="Arial" w:cs="Arial"/>
          <w:color w:val="000000" w:themeColor="text1"/>
        </w:rPr>
        <w:t>m³</w:t>
      </w:r>
      <w:r w:rsidRPr="36DAC812">
        <w:rPr>
          <w:rFonts w:ascii="Arial" w:hAnsi="Arial" w:cs="Arial"/>
          <w:color w:val="000000" w:themeColor="text1"/>
        </w:rPr>
        <w:t xml:space="preserve"> de LGN e </w:t>
      </w:r>
      <w:r w:rsidR="00F062D7">
        <w:rPr>
          <w:rFonts w:ascii="Arial" w:hAnsi="Arial" w:cs="Arial"/>
          <w:color w:val="000000" w:themeColor="text1"/>
        </w:rPr>
        <w:t>20</w:t>
      </w:r>
      <w:r w:rsidRPr="36DAC812">
        <w:rPr>
          <w:rFonts w:ascii="Arial" w:hAnsi="Arial" w:cs="Arial"/>
          <w:color w:val="000000" w:themeColor="text1"/>
        </w:rPr>
        <w:t xml:space="preserve"> bilhões de m³ de gás seco. </w:t>
      </w:r>
    </w:p>
    <w:p w14:paraId="057FBC04" w14:textId="77777777" w:rsidR="00F214B0" w:rsidRDefault="00F214B0" w:rsidP="0041466A">
      <w:pPr>
        <w:autoSpaceDE w:val="0"/>
        <w:autoSpaceDN w:val="0"/>
        <w:adjustRightInd w:val="0"/>
        <w:jc w:val="both"/>
        <w:rPr>
          <w:rFonts w:ascii="Arial" w:hAnsi="Arial" w:cs="Arial"/>
          <w:color w:val="000000" w:themeColor="text1"/>
        </w:rPr>
      </w:pPr>
    </w:p>
    <w:p w14:paraId="6152467A" w14:textId="195DB0D3" w:rsidR="0041466A" w:rsidRPr="00333B01" w:rsidRDefault="00F214B0" w:rsidP="0041466A">
      <w:pPr>
        <w:autoSpaceDE w:val="0"/>
        <w:autoSpaceDN w:val="0"/>
        <w:adjustRightInd w:val="0"/>
        <w:jc w:val="both"/>
        <w:rPr>
          <w:rFonts w:ascii="Arial" w:hAnsi="Arial" w:cs="Arial"/>
          <w:color w:val="000000"/>
        </w:rPr>
      </w:pPr>
      <w:r>
        <w:rPr>
          <w:rFonts w:ascii="Arial" w:hAnsi="Arial" w:cs="Arial"/>
          <w:color w:val="000000" w:themeColor="text1"/>
        </w:rPr>
        <w:t xml:space="preserve">A </w:t>
      </w:r>
      <w:r w:rsidR="0041466A" w:rsidRPr="36DAC812">
        <w:rPr>
          <w:rFonts w:ascii="Arial" w:hAnsi="Arial" w:cs="Arial"/>
          <w:color w:val="000000" w:themeColor="text1"/>
        </w:rPr>
        <w:t xml:space="preserve">Reduc foi responsável por 100% da produção de etano e </w:t>
      </w:r>
      <w:r w:rsidR="0041466A">
        <w:rPr>
          <w:rFonts w:ascii="Arial" w:hAnsi="Arial" w:cs="Arial"/>
          <w:color w:val="000000" w:themeColor="text1"/>
        </w:rPr>
        <w:t>quase 100%</w:t>
      </w:r>
      <w:r w:rsidR="0041466A" w:rsidRPr="36DAC812">
        <w:rPr>
          <w:rFonts w:ascii="Arial" w:hAnsi="Arial" w:cs="Arial"/>
          <w:color w:val="000000" w:themeColor="text1"/>
        </w:rPr>
        <w:t xml:space="preserve"> de propano. </w:t>
      </w:r>
      <w:r w:rsidR="00F062D7">
        <w:rPr>
          <w:rFonts w:ascii="Arial" w:hAnsi="Arial" w:cs="Arial"/>
          <w:color w:val="000000" w:themeColor="text1"/>
        </w:rPr>
        <w:t>O Complexo Boaventura</w:t>
      </w:r>
      <w:r w:rsidR="0041466A">
        <w:rPr>
          <w:rFonts w:ascii="Arial" w:hAnsi="Arial" w:cs="Arial"/>
          <w:color w:val="000000" w:themeColor="text1"/>
        </w:rPr>
        <w:t xml:space="preserve"> e</w:t>
      </w:r>
      <w:r w:rsidR="00F062D7">
        <w:rPr>
          <w:rFonts w:ascii="Arial" w:hAnsi="Arial" w:cs="Arial"/>
          <w:color w:val="000000" w:themeColor="text1"/>
        </w:rPr>
        <w:t xml:space="preserve"> o polo da Reduc</w:t>
      </w:r>
      <w:r w:rsidR="0041466A" w:rsidRPr="36DAC812">
        <w:rPr>
          <w:rFonts w:ascii="Arial" w:hAnsi="Arial" w:cs="Arial"/>
          <w:color w:val="000000" w:themeColor="text1"/>
        </w:rPr>
        <w:t xml:space="preserve"> foram os que mais produziram GLP (2</w:t>
      </w:r>
      <w:r w:rsidR="00F062D7">
        <w:rPr>
          <w:rFonts w:ascii="Arial" w:hAnsi="Arial" w:cs="Arial"/>
          <w:color w:val="000000" w:themeColor="text1"/>
        </w:rPr>
        <w:t>4</w:t>
      </w:r>
      <w:r w:rsidR="0041466A" w:rsidRPr="36DAC812">
        <w:rPr>
          <w:rFonts w:ascii="Arial" w:hAnsi="Arial" w:cs="Arial"/>
          <w:color w:val="000000" w:themeColor="text1"/>
        </w:rPr>
        <w:t>,</w:t>
      </w:r>
      <w:r w:rsidR="00F062D7">
        <w:rPr>
          <w:rFonts w:ascii="Arial" w:hAnsi="Arial" w:cs="Arial"/>
          <w:color w:val="000000" w:themeColor="text1"/>
        </w:rPr>
        <w:t>5</w:t>
      </w:r>
      <w:r w:rsidR="0041466A" w:rsidRPr="36DAC812">
        <w:rPr>
          <w:rFonts w:ascii="Arial" w:hAnsi="Arial" w:cs="Arial"/>
          <w:color w:val="000000" w:themeColor="text1"/>
        </w:rPr>
        <w:t xml:space="preserve">% e </w:t>
      </w:r>
      <w:r w:rsidR="00F062D7">
        <w:rPr>
          <w:rFonts w:ascii="Arial" w:hAnsi="Arial" w:cs="Arial"/>
          <w:color w:val="000000" w:themeColor="text1"/>
        </w:rPr>
        <w:t>16</w:t>
      </w:r>
      <w:r w:rsidR="0041466A">
        <w:rPr>
          <w:rFonts w:ascii="Arial" w:hAnsi="Arial" w:cs="Arial"/>
          <w:color w:val="000000" w:themeColor="text1"/>
        </w:rPr>
        <w:t>,</w:t>
      </w:r>
      <w:r w:rsidR="00F062D7">
        <w:rPr>
          <w:rFonts w:ascii="Arial" w:hAnsi="Arial" w:cs="Arial"/>
          <w:color w:val="000000" w:themeColor="text1"/>
        </w:rPr>
        <w:t>6</w:t>
      </w:r>
      <w:r w:rsidR="0041466A" w:rsidRPr="36DAC812">
        <w:rPr>
          <w:rFonts w:ascii="Arial" w:hAnsi="Arial" w:cs="Arial"/>
          <w:color w:val="000000" w:themeColor="text1"/>
        </w:rPr>
        <w:t xml:space="preserve">% do total, respectivamente). </w:t>
      </w:r>
      <w:r w:rsidR="0041466A">
        <w:rPr>
          <w:rFonts w:ascii="Arial" w:hAnsi="Arial" w:cs="Arial"/>
          <w:color w:val="000000" w:themeColor="text1"/>
        </w:rPr>
        <w:t>Os</w:t>
      </w:r>
      <w:r w:rsidR="0041466A" w:rsidRPr="36DAC812">
        <w:rPr>
          <w:rFonts w:ascii="Arial" w:hAnsi="Arial" w:cs="Arial"/>
          <w:color w:val="000000" w:themeColor="text1"/>
        </w:rPr>
        <w:t xml:space="preserve"> maiores produtores de C</w:t>
      </w:r>
      <w:r w:rsidR="0041466A" w:rsidRPr="36DAC812">
        <w:rPr>
          <w:rFonts w:ascii="Arial" w:hAnsi="Arial" w:cs="Arial"/>
          <w:color w:val="000000" w:themeColor="text1"/>
          <w:vertAlign w:val="subscript"/>
        </w:rPr>
        <w:t>5</w:t>
      </w:r>
      <w:r w:rsidR="0041466A" w:rsidRPr="36DAC812">
        <w:rPr>
          <w:rFonts w:ascii="Arial" w:hAnsi="Arial" w:cs="Arial"/>
          <w:color w:val="000000" w:themeColor="text1"/>
          <w:vertAlign w:val="superscript"/>
        </w:rPr>
        <w:t>+</w:t>
      </w:r>
      <w:r w:rsidR="0041466A" w:rsidRPr="36DAC812">
        <w:rPr>
          <w:rFonts w:ascii="Arial" w:hAnsi="Arial" w:cs="Arial"/>
          <w:color w:val="000000" w:themeColor="text1"/>
        </w:rPr>
        <w:t>, foram Caraguatatuba e Reduc (</w:t>
      </w:r>
      <w:r w:rsidR="0041466A">
        <w:rPr>
          <w:rFonts w:ascii="Arial" w:hAnsi="Arial" w:cs="Arial"/>
          <w:color w:val="000000" w:themeColor="text1"/>
        </w:rPr>
        <w:t>2</w:t>
      </w:r>
      <w:r w:rsidR="00F062D7">
        <w:rPr>
          <w:rFonts w:ascii="Arial" w:hAnsi="Arial" w:cs="Arial"/>
          <w:color w:val="000000" w:themeColor="text1"/>
        </w:rPr>
        <w:t>2</w:t>
      </w:r>
      <w:r w:rsidR="0041466A">
        <w:rPr>
          <w:rFonts w:ascii="Arial" w:hAnsi="Arial" w:cs="Arial"/>
          <w:color w:val="000000" w:themeColor="text1"/>
        </w:rPr>
        <w:t>,</w:t>
      </w:r>
      <w:r w:rsidR="00F062D7">
        <w:rPr>
          <w:rFonts w:ascii="Arial" w:hAnsi="Arial" w:cs="Arial"/>
          <w:color w:val="000000" w:themeColor="text1"/>
        </w:rPr>
        <w:t>2</w:t>
      </w:r>
      <w:r w:rsidR="0041466A" w:rsidRPr="36DAC812">
        <w:rPr>
          <w:rFonts w:ascii="Arial" w:hAnsi="Arial" w:cs="Arial"/>
          <w:color w:val="000000" w:themeColor="text1"/>
        </w:rPr>
        <w:t>% e 2</w:t>
      </w:r>
      <w:r w:rsidR="00F062D7">
        <w:rPr>
          <w:rFonts w:ascii="Arial" w:hAnsi="Arial" w:cs="Arial"/>
          <w:color w:val="000000" w:themeColor="text1"/>
        </w:rPr>
        <w:t>1</w:t>
      </w:r>
      <w:r w:rsidR="0041466A" w:rsidRPr="36DAC812">
        <w:rPr>
          <w:rFonts w:ascii="Arial" w:hAnsi="Arial" w:cs="Arial"/>
          <w:color w:val="000000" w:themeColor="text1"/>
        </w:rPr>
        <w:t>,</w:t>
      </w:r>
      <w:r w:rsidR="00F062D7">
        <w:rPr>
          <w:rFonts w:ascii="Arial" w:hAnsi="Arial" w:cs="Arial"/>
          <w:color w:val="000000" w:themeColor="text1"/>
        </w:rPr>
        <w:t>5</w:t>
      </w:r>
      <w:r w:rsidR="0041466A" w:rsidRPr="36DAC812">
        <w:rPr>
          <w:rFonts w:ascii="Arial" w:hAnsi="Arial" w:cs="Arial"/>
          <w:color w:val="000000" w:themeColor="text1"/>
        </w:rPr>
        <w:t>%, respectivamente).</w:t>
      </w:r>
      <w:r w:rsidR="0041466A">
        <w:rPr>
          <w:rFonts w:ascii="Arial" w:hAnsi="Arial" w:cs="Arial"/>
          <w:color w:val="000000" w:themeColor="text1"/>
        </w:rPr>
        <w:t xml:space="preserve"> Por fim, os maiores produtores de gás seco foram os polos de Cabiúnas e</w:t>
      </w:r>
      <w:r w:rsidR="00F062D7">
        <w:rPr>
          <w:rFonts w:ascii="Arial" w:hAnsi="Arial" w:cs="Arial"/>
          <w:color w:val="000000" w:themeColor="text1"/>
        </w:rPr>
        <w:t xml:space="preserve"> Urucu</w:t>
      </w:r>
      <w:r w:rsidR="0041466A">
        <w:rPr>
          <w:rFonts w:ascii="Arial" w:hAnsi="Arial" w:cs="Arial"/>
          <w:color w:val="000000" w:themeColor="text1"/>
        </w:rPr>
        <w:t xml:space="preserve">, com </w:t>
      </w:r>
      <w:r w:rsidR="00F062D7">
        <w:rPr>
          <w:rFonts w:ascii="Arial" w:hAnsi="Arial" w:cs="Arial"/>
          <w:color w:val="000000" w:themeColor="text1"/>
        </w:rPr>
        <w:t>29</w:t>
      </w:r>
      <w:r w:rsidR="0041466A">
        <w:rPr>
          <w:rFonts w:ascii="Arial" w:hAnsi="Arial" w:cs="Arial"/>
          <w:color w:val="000000" w:themeColor="text1"/>
        </w:rPr>
        <w:t>,4% e 2</w:t>
      </w:r>
      <w:r w:rsidR="00F062D7">
        <w:rPr>
          <w:rFonts w:ascii="Arial" w:hAnsi="Arial" w:cs="Arial"/>
          <w:color w:val="000000" w:themeColor="text1"/>
        </w:rPr>
        <w:t>1</w:t>
      </w:r>
      <w:r w:rsidR="0041466A">
        <w:rPr>
          <w:rFonts w:ascii="Arial" w:hAnsi="Arial" w:cs="Arial"/>
          <w:color w:val="000000" w:themeColor="text1"/>
        </w:rPr>
        <w:t>,</w:t>
      </w:r>
      <w:r w:rsidR="00F062D7">
        <w:rPr>
          <w:rFonts w:ascii="Arial" w:hAnsi="Arial" w:cs="Arial"/>
          <w:color w:val="000000" w:themeColor="text1"/>
        </w:rPr>
        <w:t>7</w:t>
      </w:r>
      <w:r w:rsidR="0041466A">
        <w:rPr>
          <w:rFonts w:ascii="Arial" w:hAnsi="Arial" w:cs="Arial"/>
          <w:color w:val="000000" w:themeColor="text1"/>
        </w:rPr>
        <w:t>%, respectivamente.</w:t>
      </w:r>
    </w:p>
    <w:p w14:paraId="2C66A883" w14:textId="77777777" w:rsidR="0041466A" w:rsidRPr="00C854C9" w:rsidRDefault="0041466A" w:rsidP="0041466A">
      <w:pPr>
        <w:autoSpaceDE w:val="0"/>
        <w:autoSpaceDN w:val="0"/>
        <w:adjustRightInd w:val="0"/>
        <w:jc w:val="both"/>
        <w:rPr>
          <w:rFonts w:ascii="Arial" w:hAnsi="Arial" w:cs="Arial"/>
          <w:b/>
          <w:bCs/>
        </w:rPr>
      </w:pPr>
    </w:p>
    <w:p w14:paraId="795B7C88" w14:textId="4907AE46"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2.3</w:t>
      </w:r>
      <w:r w:rsidR="0081636C">
        <w:rPr>
          <w:rFonts w:ascii="Arial" w:hAnsi="Arial" w:cs="Arial"/>
          <w:b/>
          <w:bCs/>
          <w:color w:val="FF0000"/>
        </w:rPr>
        <w:t>9</w:t>
      </w:r>
    </w:p>
    <w:p w14:paraId="45C57088" w14:textId="429A66BE"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81636C">
        <w:rPr>
          <w:rFonts w:ascii="Arial" w:hAnsi="Arial" w:cs="Arial"/>
          <w:b/>
          <w:bCs/>
          <w:color w:val="FF0000"/>
        </w:rPr>
        <w:t>40</w:t>
      </w:r>
    </w:p>
    <w:p w14:paraId="427AE673" w14:textId="5F5565FB"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81636C">
        <w:rPr>
          <w:rFonts w:ascii="Arial" w:hAnsi="Arial" w:cs="Arial"/>
          <w:b/>
          <w:bCs/>
          <w:color w:val="FF0000"/>
        </w:rPr>
        <w:t>41</w:t>
      </w:r>
    </w:p>
    <w:p w14:paraId="7FE7A9D5" w14:textId="68B22944"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81636C">
        <w:rPr>
          <w:rFonts w:ascii="Arial" w:hAnsi="Arial" w:cs="Arial"/>
          <w:b/>
          <w:bCs/>
          <w:color w:val="FF0000"/>
        </w:rPr>
        <w:t>42</w:t>
      </w:r>
    </w:p>
    <w:p w14:paraId="756B4B55" w14:textId="77777777" w:rsidR="0041466A" w:rsidRPr="00C854C9" w:rsidRDefault="0041466A" w:rsidP="0041466A">
      <w:pPr>
        <w:autoSpaceDE w:val="0"/>
        <w:autoSpaceDN w:val="0"/>
        <w:adjustRightInd w:val="0"/>
        <w:jc w:val="both"/>
        <w:rPr>
          <w:rFonts w:ascii="Arial" w:hAnsi="Arial" w:cs="Arial"/>
          <w:b/>
          <w:bCs/>
        </w:rPr>
      </w:pPr>
    </w:p>
    <w:p w14:paraId="3035FEEE" w14:textId="7777777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Gráfico 2.16</w:t>
      </w:r>
    </w:p>
    <w:p w14:paraId="2281BE77" w14:textId="77777777" w:rsidR="0041466A" w:rsidRPr="00C854C9" w:rsidRDefault="0041466A" w:rsidP="0041466A">
      <w:pPr>
        <w:autoSpaceDE w:val="0"/>
        <w:autoSpaceDN w:val="0"/>
        <w:adjustRightInd w:val="0"/>
        <w:jc w:val="both"/>
        <w:rPr>
          <w:rFonts w:ascii="Arial" w:hAnsi="Arial" w:cs="Arial"/>
          <w:b/>
          <w:bCs/>
        </w:rPr>
      </w:pPr>
    </w:p>
    <w:p w14:paraId="66749213" w14:textId="7777777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Cartograma 2.1</w:t>
      </w:r>
    </w:p>
    <w:p w14:paraId="2114E19C" w14:textId="77777777" w:rsidR="0041466A" w:rsidRDefault="0041466A" w:rsidP="0041466A">
      <w:pPr>
        <w:autoSpaceDE w:val="0"/>
        <w:autoSpaceDN w:val="0"/>
        <w:adjustRightInd w:val="0"/>
        <w:jc w:val="both"/>
        <w:rPr>
          <w:rFonts w:ascii="Arial" w:hAnsi="Arial" w:cs="Arial"/>
          <w:b/>
          <w:bCs/>
          <w:color w:val="000000"/>
        </w:rPr>
      </w:pPr>
    </w:p>
    <w:p w14:paraId="4A0DA21B" w14:textId="77777777" w:rsidR="00D168D1" w:rsidRDefault="00D168D1" w:rsidP="0041466A">
      <w:pPr>
        <w:autoSpaceDE w:val="0"/>
        <w:autoSpaceDN w:val="0"/>
        <w:adjustRightInd w:val="0"/>
        <w:jc w:val="both"/>
        <w:rPr>
          <w:rFonts w:ascii="Arial" w:hAnsi="Arial" w:cs="Arial"/>
          <w:b/>
          <w:bCs/>
          <w:color w:val="000000"/>
        </w:rPr>
      </w:pPr>
    </w:p>
    <w:p w14:paraId="04D2A2FA" w14:textId="77777777" w:rsidR="009C714A" w:rsidRDefault="009C714A" w:rsidP="0041466A">
      <w:pPr>
        <w:autoSpaceDE w:val="0"/>
        <w:autoSpaceDN w:val="0"/>
        <w:adjustRightInd w:val="0"/>
        <w:jc w:val="both"/>
        <w:rPr>
          <w:rFonts w:ascii="Arial" w:hAnsi="Arial" w:cs="Arial"/>
          <w:b/>
          <w:bCs/>
          <w:color w:val="000000"/>
        </w:rPr>
      </w:pPr>
    </w:p>
    <w:p w14:paraId="18D8FA27" w14:textId="77777777" w:rsidR="009C714A" w:rsidRDefault="009C714A" w:rsidP="0041466A">
      <w:pPr>
        <w:autoSpaceDE w:val="0"/>
        <w:autoSpaceDN w:val="0"/>
        <w:adjustRightInd w:val="0"/>
        <w:jc w:val="both"/>
        <w:rPr>
          <w:rFonts w:ascii="Arial" w:hAnsi="Arial" w:cs="Arial"/>
          <w:b/>
          <w:bCs/>
          <w:color w:val="000000"/>
        </w:rPr>
      </w:pPr>
    </w:p>
    <w:p w14:paraId="6CDC58CE" w14:textId="77777777" w:rsidR="009C714A" w:rsidRDefault="009C714A" w:rsidP="0041466A">
      <w:pPr>
        <w:autoSpaceDE w:val="0"/>
        <w:autoSpaceDN w:val="0"/>
        <w:adjustRightInd w:val="0"/>
        <w:jc w:val="both"/>
        <w:rPr>
          <w:rFonts w:ascii="Arial" w:hAnsi="Arial" w:cs="Arial"/>
          <w:b/>
          <w:bCs/>
          <w:color w:val="000000"/>
        </w:rPr>
      </w:pPr>
    </w:p>
    <w:p w14:paraId="7E4D7F12" w14:textId="4EA95D0E" w:rsidR="0041466A" w:rsidRPr="004555A2" w:rsidRDefault="0041466A" w:rsidP="00E15803">
      <w:pPr>
        <w:autoSpaceDE w:val="0"/>
        <w:autoSpaceDN w:val="0"/>
        <w:adjustRightInd w:val="0"/>
        <w:jc w:val="both"/>
        <w:rPr>
          <w:rFonts w:ascii="Arial" w:hAnsi="Arial" w:cs="Arial"/>
          <w:b/>
          <w:bCs/>
          <w:color w:val="000000"/>
        </w:rPr>
      </w:pPr>
      <w:r w:rsidRPr="00BE52C1">
        <w:rPr>
          <w:rFonts w:ascii="Arial" w:hAnsi="Arial" w:cs="Arial"/>
          <w:b/>
          <w:bCs/>
          <w:color w:val="000000"/>
        </w:rPr>
        <w:lastRenderedPageBreak/>
        <w:t>2.</w:t>
      </w:r>
      <w:r w:rsidR="009C714A" w:rsidRPr="00BE52C1">
        <w:rPr>
          <w:rFonts w:ascii="Arial" w:hAnsi="Arial" w:cs="Arial"/>
          <w:b/>
          <w:bCs/>
          <w:color w:val="000000"/>
        </w:rPr>
        <w:t>2.3</w:t>
      </w:r>
      <w:r w:rsidRPr="00BE52C1">
        <w:rPr>
          <w:rFonts w:ascii="Arial" w:hAnsi="Arial" w:cs="Arial"/>
          <w:b/>
          <w:bCs/>
          <w:color w:val="000000"/>
        </w:rPr>
        <w:t xml:space="preserve"> </w:t>
      </w:r>
      <w:r w:rsidR="004555A2" w:rsidRPr="004555A2">
        <w:rPr>
          <w:rFonts w:ascii="Arial" w:hAnsi="Arial" w:cs="Arial"/>
          <w:b/>
          <w:bCs/>
          <w:color w:val="000000"/>
        </w:rPr>
        <w:t>Produção de derivados de petróleo</w:t>
      </w:r>
    </w:p>
    <w:p w14:paraId="15D75577" w14:textId="77777777" w:rsidR="00E15803" w:rsidRPr="004555A2" w:rsidRDefault="00E15803" w:rsidP="00E15803">
      <w:pPr>
        <w:autoSpaceDE w:val="0"/>
        <w:autoSpaceDN w:val="0"/>
        <w:adjustRightInd w:val="0"/>
        <w:jc w:val="both"/>
        <w:rPr>
          <w:rFonts w:ascii="Arial" w:hAnsi="Arial" w:cs="Arial"/>
          <w:color w:val="000000" w:themeColor="text1"/>
        </w:rPr>
      </w:pPr>
    </w:p>
    <w:p w14:paraId="00F67A32" w14:textId="25D188F8" w:rsidR="00E15803" w:rsidRPr="009C714A" w:rsidRDefault="00E15803" w:rsidP="00E15803">
      <w:pPr>
        <w:autoSpaceDE w:val="0"/>
        <w:autoSpaceDN w:val="0"/>
        <w:adjustRightInd w:val="0"/>
        <w:jc w:val="both"/>
        <w:rPr>
          <w:rFonts w:ascii="Arial" w:hAnsi="Arial" w:cs="Arial"/>
          <w:color w:val="000000" w:themeColor="text1"/>
          <w:lang w:val="en-US"/>
        </w:rPr>
      </w:pPr>
      <w:r w:rsidRPr="009C714A">
        <w:rPr>
          <w:rFonts w:ascii="Arial" w:hAnsi="Arial" w:cs="Arial"/>
          <w:color w:val="000000" w:themeColor="text1"/>
          <w:lang w:val="en-US"/>
        </w:rPr>
        <w:t>Em 2025, a produção brasileira de derivados de petróleo foi de cerca de 128,5 milhões de m³, 1,</w:t>
      </w:r>
      <w:r w:rsidR="00506896" w:rsidRPr="009C714A">
        <w:rPr>
          <w:rFonts w:ascii="Arial" w:hAnsi="Arial" w:cs="Arial"/>
          <w:color w:val="000000" w:themeColor="text1"/>
          <w:lang w:val="en-US"/>
        </w:rPr>
        <w:t>4</w:t>
      </w:r>
      <w:r w:rsidRPr="009C714A">
        <w:rPr>
          <w:rFonts w:ascii="Arial" w:hAnsi="Arial" w:cs="Arial"/>
          <w:color w:val="000000" w:themeColor="text1"/>
          <w:lang w:val="en-US"/>
        </w:rPr>
        <w:t>% inferior à de 2024.</w:t>
      </w:r>
    </w:p>
    <w:p w14:paraId="0ABA79FA" w14:textId="77777777" w:rsidR="00E15803" w:rsidRPr="009C714A" w:rsidRDefault="00E15803" w:rsidP="00E15803">
      <w:pPr>
        <w:autoSpaceDE w:val="0"/>
        <w:autoSpaceDN w:val="0"/>
        <w:adjustRightInd w:val="0"/>
        <w:jc w:val="both"/>
        <w:rPr>
          <w:rFonts w:ascii="Arial" w:hAnsi="Arial" w:cs="Arial"/>
          <w:color w:val="000000" w:themeColor="text1"/>
          <w:lang w:val="en-US"/>
        </w:rPr>
      </w:pPr>
    </w:p>
    <w:p w14:paraId="2EE62CEF" w14:textId="714A51FA" w:rsidR="00E15803" w:rsidRPr="009C714A" w:rsidRDefault="00E15803" w:rsidP="00E15803">
      <w:pPr>
        <w:autoSpaceDE w:val="0"/>
        <w:autoSpaceDN w:val="0"/>
        <w:adjustRightInd w:val="0"/>
        <w:jc w:val="both"/>
        <w:rPr>
          <w:rFonts w:ascii="Arial" w:hAnsi="Arial" w:cs="Arial"/>
          <w:color w:val="000000" w:themeColor="text1"/>
          <w:lang w:val="en-US"/>
        </w:rPr>
      </w:pPr>
      <w:r w:rsidRPr="009C714A">
        <w:rPr>
          <w:rFonts w:ascii="Arial" w:hAnsi="Arial" w:cs="Arial"/>
          <w:color w:val="000000" w:themeColor="text1"/>
          <w:lang w:val="en-US"/>
        </w:rPr>
        <w:t xml:space="preserve">Esse valor não inclui o volume de derivados produzidos a partir do xisto betuminoso. Portanto, para se obter o volume total de derivados produzidos no </w:t>
      </w:r>
      <w:r w:rsidR="00876EB4" w:rsidRPr="009C714A">
        <w:rPr>
          <w:rFonts w:ascii="Arial" w:hAnsi="Arial" w:cs="Arial"/>
          <w:color w:val="000000" w:themeColor="text1"/>
          <w:lang w:val="en-US"/>
        </w:rPr>
        <w:t>país</w:t>
      </w:r>
      <w:r w:rsidRPr="009C714A">
        <w:rPr>
          <w:rFonts w:ascii="Arial" w:hAnsi="Arial" w:cs="Arial"/>
          <w:color w:val="000000" w:themeColor="text1"/>
          <w:lang w:val="en-US"/>
        </w:rPr>
        <w:t>, deve-se somar os dados apresentados na Tabela 2.48 (Capítulo 2.13 – Industrialização do Xisto).</w:t>
      </w:r>
    </w:p>
    <w:p w14:paraId="4F56AC3F" w14:textId="77777777" w:rsidR="00E15803" w:rsidRPr="009C714A" w:rsidRDefault="00E15803" w:rsidP="00E15803">
      <w:pPr>
        <w:autoSpaceDE w:val="0"/>
        <w:autoSpaceDN w:val="0"/>
        <w:adjustRightInd w:val="0"/>
        <w:jc w:val="both"/>
        <w:rPr>
          <w:rFonts w:ascii="Arial" w:hAnsi="Arial" w:cs="Arial"/>
          <w:color w:val="000000" w:themeColor="text1"/>
          <w:lang w:val="en-US"/>
        </w:rPr>
      </w:pPr>
    </w:p>
    <w:p w14:paraId="4B1ABFCB" w14:textId="364B38EF" w:rsidR="00E15803" w:rsidRPr="009C714A" w:rsidRDefault="00E15803" w:rsidP="00E15803">
      <w:pPr>
        <w:autoSpaceDE w:val="0"/>
        <w:autoSpaceDN w:val="0"/>
        <w:adjustRightInd w:val="0"/>
        <w:jc w:val="both"/>
        <w:rPr>
          <w:rFonts w:ascii="Arial" w:hAnsi="Arial" w:cs="Arial"/>
          <w:color w:val="000000" w:themeColor="text1"/>
          <w:lang w:val="en-US"/>
        </w:rPr>
      </w:pPr>
      <w:r w:rsidRPr="009C714A">
        <w:rPr>
          <w:rFonts w:ascii="Arial" w:hAnsi="Arial" w:cs="Arial"/>
          <w:color w:val="000000" w:themeColor="text1"/>
          <w:lang w:val="en-US"/>
        </w:rPr>
        <w:t>Os derivados energéticos corresponderam a 88,2% do total produzido, com 113,4 milhões de m³, após queda de 0,9% em relação a 2024. A produção dos não energéticos foi de 15,</w:t>
      </w:r>
      <w:r w:rsidR="00506896" w:rsidRPr="009C714A">
        <w:rPr>
          <w:rFonts w:ascii="Arial" w:hAnsi="Arial" w:cs="Arial"/>
          <w:color w:val="000000" w:themeColor="text1"/>
          <w:lang w:val="en-US"/>
        </w:rPr>
        <w:t>2</w:t>
      </w:r>
      <w:r w:rsidRPr="009C714A">
        <w:rPr>
          <w:rFonts w:ascii="Arial" w:hAnsi="Arial" w:cs="Arial"/>
          <w:color w:val="000000" w:themeColor="text1"/>
          <w:lang w:val="en-US"/>
        </w:rPr>
        <w:t xml:space="preserve"> milhões de m³, </w:t>
      </w:r>
      <w:r w:rsidR="00DD737D" w:rsidRPr="009C714A">
        <w:rPr>
          <w:rFonts w:ascii="Arial" w:hAnsi="Arial" w:cs="Arial"/>
          <w:color w:val="000000" w:themeColor="text1"/>
          <w:lang w:val="en-US"/>
        </w:rPr>
        <w:t>registrando</w:t>
      </w:r>
      <w:r w:rsidRPr="009C714A">
        <w:rPr>
          <w:rFonts w:ascii="Arial" w:hAnsi="Arial" w:cs="Arial"/>
          <w:color w:val="000000" w:themeColor="text1"/>
          <w:lang w:val="en-US"/>
        </w:rPr>
        <w:t xml:space="preserve"> redução de 5,</w:t>
      </w:r>
      <w:r w:rsidR="00506896" w:rsidRPr="009C714A">
        <w:rPr>
          <w:rFonts w:ascii="Arial" w:hAnsi="Arial" w:cs="Arial"/>
          <w:color w:val="000000" w:themeColor="text1"/>
          <w:lang w:val="en-US"/>
        </w:rPr>
        <w:t>1</w:t>
      </w:r>
      <w:r w:rsidRPr="009C714A">
        <w:rPr>
          <w:rFonts w:ascii="Arial" w:hAnsi="Arial" w:cs="Arial"/>
          <w:color w:val="000000" w:themeColor="text1"/>
          <w:lang w:val="en-US"/>
        </w:rPr>
        <w:t>% em comparação ao ano anterior.</w:t>
      </w:r>
    </w:p>
    <w:p w14:paraId="5C3CBB3E" w14:textId="77777777" w:rsidR="00E15803" w:rsidRPr="009C714A" w:rsidRDefault="00E15803" w:rsidP="00E15803">
      <w:pPr>
        <w:autoSpaceDE w:val="0"/>
        <w:autoSpaceDN w:val="0"/>
        <w:adjustRightInd w:val="0"/>
        <w:jc w:val="both"/>
        <w:rPr>
          <w:rFonts w:ascii="Arial" w:hAnsi="Arial" w:cs="Arial"/>
          <w:color w:val="000000" w:themeColor="text1"/>
          <w:lang w:val="en-US"/>
        </w:rPr>
      </w:pPr>
    </w:p>
    <w:p w14:paraId="20E813F7" w14:textId="07F97CCF" w:rsidR="00E15803" w:rsidRPr="009C714A" w:rsidRDefault="00E15803" w:rsidP="00E15803">
      <w:pPr>
        <w:autoSpaceDE w:val="0"/>
        <w:autoSpaceDN w:val="0"/>
        <w:adjustRightInd w:val="0"/>
        <w:jc w:val="both"/>
        <w:rPr>
          <w:rFonts w:ascii="Arial" w:hAnsi="Arial" w:cs="Arial"/>
          <w:color w:val="000000" w:themeColor="text1"/>
          <w:lang w:val="en-US"/>
        </w:rPr>
      </w:pPr>
      <w:r w:rsidRPr="009C714A">
        <w:rPr>
          <w:rFonts w:ascii="Arial" w:hAnsi="Arial" w:cs="Arial"/>
          <w:color w:val="000000" w:themeColor="text1"/>
          <w:lang w:val="en-US"/>
        </w:rPr>
        <w:t>Dentre os derivados energéticos, houve variação na produção de gasolina A (-1,7%), gasolina de aviação (-24,2%), GLP (+6,3%), óleo combustível (+2,5%), óleo diesel (-3,2%), QAV (-0,4%) e querosene iluminante (-71,1%).</w:t>
      </w:r>
    </w:p>
    <w:p w14:paraId="0252A76D" w14:textId="77777777" w:rsidR="00E15803" w:rsidRPr="009C714A" w:rsidRDefault="00E15803" w:rsidP="00E15803">
      <w:pPr>
        <w:autoSpaceDE w:val="0"/>
        <w:autoSpaceDN w:val="0"/>
        <w:adjustRightInd w:val="0"/>
        <w:jc w:val="both"/>
        <w:rPr>
          <w:rFonts w:ascii="Arial" w:hAnsi="Arial" w:cs="Arial"/>
          <w:color w:val="000000" w:themeColor="text1"/>
          <w:lang w:val="en-US"/>
        </w:rPr>
      </w:pPr>
    </w:p>
    <w:p w14:paraId="576DAB3A" w14:textId="517E6DC1" w:rsidR="0041466A" w:rsidRPr="009C714A" w:rsidRDefault="00E15803" w:rsidP="00E15803">
      <w:pPr>
        <w:autoSpaceDE w:val="0"/>
        <w:autoSpaceDN w:val="0"/>
        <w:adjustRightInd w:val="0"/>
        <w:jc w:val="both"/>
        <w:rPr>
          <w:rFonts w:ascii="Arial" w:hAnsi="Arial" w:cs="Arial"/>
          <w:color w:val="000000" w:themeColor="text1"/>
        </w:rPr>
      </w:pPr>
      <w:r w:rsidRPr="00E57DC7">
        <w:rPr>
          <w:rFonts w:ascii="Arial" w:hAnsi="Arial" w:cs="Arial"/>
          <w:color w:val="000000" w:themeColor="text1"/>
        </w:rPr>
        <w:t>No que se refere aos derivados não energéticos, houve alta apenas na produção de coque</w:t>
      </w:r>
      <w:r w:rsidRPr="009C714A">
        <w:rPr>
          <w:rFonts w:ascii="Arial" w:hAnsi="Arial" w:cs="Arial"/>
          <w:color w:val="000000" w:themeColor="text1"/>
          <w:lang w:val="en-US"/>
        </w:rPr>
        <w:t xml:space="preserve"> (+1%). </w:t>
      </w:r>
      <w:r w:rsidRPr="009C714A">
        <w:rPr>
          <w:rFonts w:ascii="Arial" w:hAnsi="Arial" w:cs="Arial"/>
          <w:color w:val="000000" w:themeColor="text1"/>
        </w:rPr>
        <w:t>Por outro lado, houve queda na produção dos seguintes produtos: asfalto (-2</w:t>
      </w:r>
      <w:r w:rsidR="00506896" w:rsidRPr="009C714A">
        <w:rPr>
          <w:rFonts w:ascii="Arial" w:hAnsi="Arial" w:cs="Arial"/>
          <w:color w:val="000000" w:themeColor="text1"/>
        </w:rPr>
        <w:t>2</w:t>
      </w:r>
      <w:r w:rsidRPr="009C714A">
        <w:rPr>
          <w:rFonts w:ascii="Arial" w:hAnsi="Arial" w:cs="Arial"/>
          <w:color w:val="000000" w:themeColor="text1"/>
        </w:rPr>
        <w:t>,</w:t>
      </w:r>
      <w:r w:rsidR="00506896" w:rsidRPr="009C714A">
        <w:rPr>
          <w:rFonts w:ascii="Arial" w:hAnsi="Arial" w:cs="Arial"/>
          <w:color w:val="000000" w:themeColor="text1"/>
        </w:rPr>
        <w:t>9</w:t>
      </w:r>
      <w:r w:rsidRPr="009C714A">
        <w:rPr>
          <w:rFonts w:ascii="Arial" w:hAnsi="Arial" w:cs="Arial"/>
          <w:color w:val="000000" w:themeColor="text1"/>
        </w:rPr>
        <w:t>%), nafta (-0,1%), óleo lubrificante (-4%), parafina (-4,8%), solvente (-14,9%) e outros derivados não energéticos (-6,5%).</w:t>
      </w:r>
    </w:p>
    <w:p w14:paraId="5AC31FEC" w14:textId="77777777" w:rsidR="00B303C4" w:rsidRPr="009C714A" w:rsidRDefault="00B303C4" w:rsidP="00E15803">
      <w:pPr>
        <w:autoSpaceDE w:val="0"/>
        <w:autoSpaceDN w:val="0"/>
        <w:adjustRightInd w:val="0"/>
        <w:jc w:val="both"/>
        <w:rPr>
          <w:rFonts w:ascii="Arial" w:hAnsi="Arial" w:cs="Arial"/>
          <w:b/>
          <w:bCs/>
        </w:rPr>
      </w:pPr>
    </w:p>
    <w:p w14:paraId="254EB347" w14:textId="051FCB42" w:rsidR="0041466A" w:rsidRPr="009C714A" w:rsidRDefault="0041466A" w:rsidP="0041466A">
      <w:pPr>
        <w:autoSpaceDE w:val="0"/>
        <w:autoSpaceDN w:val="0"/>
        <w:adjustRightInd w:val="0"/>
        <w:jc w:val="both"/>
        <w:rPr>
          <w:rFonts w:ascii="Arial" w:hAnsi="Arial" w:cs="Arial"/>
          <w:b/>
          <w:bCs/>
          <w:color w:val="FF0000"/>
          <w:u w:val="single"/>
        </w:rPr>
      </w:pPr>
      <w:r w:rsidRPr="009C714A">
        <w:rPr>
          <w:rFonts w:ascii="Arial" w:hAnsi="Arial" w:cs="Arial"/>
          <w:b/>
          <w:bCs/>
          <w:color w:val="FF0000"/>
        </w:rPr>
        <w:t>Tabela 2.</w:t>
      </w:r>
      <w:r w:rsidR="00BA23AF" w:rsidRPr="009C714A">
        <w:rPr>
          <w:rFonts w:ascii="Arial" w:hAnsi="Arial" w:cs="Arial"/>
          <w:b/>
          <w:bCs/>
          <w:color w:val="FF0000"/>
        </w:rPr>
        <w:t>43</w:t>
      </w:r>
    </w:p>
    <w:p w14:paraId="57407126" w14:textId="41010AED" w:rsidR="0041466A" w:rsidRPr="009C714A" w:rsidRDefault="0041466A" w:rsidP="0041466A">
      <w:pPr>
        <w:autoSpaceDE w:val="0"/>
        <w:autoSpaceDN w:val="0"/>
        <w:adjustRightInd w:val="0"/>
        <w:jc w:val="both"/>
        <w:rPr>
          <w:rFonts w:ascii="Arial" w:hAnsi="Arial" w:cs="Arial"/>
          <w:b/>
          <w:bCs/>
          <w:color w:val="FF0000"/>
        </w:rPr>
      </w:pPr>
      <w:r w:rsidRPr="009C714A">
        <w:rPr>
          <w:rFonts w:ascii="Arial" w:hAnsi="Arial" w:cs="Arial"/>
          <w:b/>
          <w:bCs/>
          <w:color w:val="FF0000"/>
        </w:rPr>
        <w:t>Tabela 2.</w:t>
      </w:r>
      <w:r w:rsidR="00BA23AF" w:rsidRPr="009C714A">
        <w:rPr>
          <w:rFonts w:ascii="Arial" w:hAnsi="Arial" w:cs="Arial"/>
          <w:b/>
          <w:bCs/>
          <w:color w:val="FF0000"/>
        </w:rPr>
        <w:t>44</w:t>
      </w:r>
    </w:p>
    <w:p w14:paraId="5E41AE26" w14:textId="77777777" w:rsidR="0041466A" w:rsidRPr="009C714A" w:rsidRDefault="0041466A" w:rsidP="0041466A">
      <w:pPr>
        <w:autoSpaceDE w:val="0"/>
        <w:autoSpaceDN w:val="0"/>
        <w:adjustRightInd w:val="0"/>
        <w:jc w:val="both"/>
        <w:rPr>
          <w:rFonts w:ascii="Arial" w:hAnsi="Arial" w:cs="Arial"/>
          <w:b/>
          <w:bCs/>
        </w:rPr>
      </w:pPr>
    </w:p>
    <w:p w14:paraId="18C2BE80" w14:textId="77777777" w:rsidR="0041466A" w:rsidRPr="009C714A" w:rsidRDefault="0041466A" w:rsidP="0041466A">
      <w:pPr>
        <w:autoSpaceDE w:val="0"/>
        <w:autoSpaceDN w:val="0"/>
        <w:adjustRightInd w:val="0"/>
        <w:jc w:val="both"/>
        <w:rPr>
          <w:rFonts w:ascii="Arial" w:hAnsi="Arial" w:cs="Arial"/>
          <w:b/>
          <w:bCs/>
          <w:color w:val="FF0000"/>
        </w:rPr>
      </w:pPr>
      <w:r w:rsidRPr="009C714A">
        <w:rPr>
          <w:rFonts w:ascii="Arial" w:hAnsi="Arial" w:cs="Arial"/>
          <w:b/>
          <w:bCs/>
          <w:color w:val="FF0000"/>
        </w:rPr>
        <w:t>Gráfico 2.17</w:t>
      </w:r>
    </w:p>
    <w:p w14:paraId="0212EE0D" w14:textId="77777777" w:rsidR="0041466A" w:rsidRPr="009C714A" w:rsidRDefault="0041466A" w:rsidP="0041466A">
      <w:pPr>
        <w:autoSpaceDE w:val="0"/>
        <w:autoSpaceDN w:val="0"/>
        <w:adjustRightInd w:val="0"/>
        <w:jc w:val="both"/>
        <w:rPr>
          <w:rFonts w:ascii="Arial" w:hAnsi="Arial" w:cs="Arial"/>
          <w:b/>
          <w:bCs/>
          <w:color w:val="FF0000"/>
        </w:rPr>
      </w:pPr>
      <w:r w:rsidRPr="009C714A">
        <w:rPr>
          <w:rFonts w:ascii="Arial" w:hAnsi="Arial" w:cs="Arial"/>
          <w:b/>
          <w:bCs/>
          <w:color w:val="FF0000"/>
        </w:rPr>
        <w:t>Gráfico 2.18</w:t>
      </w:r>
    </w:p>
    <w:p w14:paraId="2B430905" w14:textId="77777777" w:rsidR="0041466A" w:rsidRPr="009C714A" w:rsidRDefault="0041466A" w:rsidP="0041466A">
      <w:pPr>
        <w:autoSpaceDE w:val="0"/>
        <w:autoSpaceDN w:val="0"/>
        <w:adjustRightInd w:val="0"/>
        <w:jc w:val="both"/>
        <w:rPr>
          <w:rFonts w:ascii="Arial" w:hAnsi="Arial" w:cs="Arial"/>
          <w:b/>
          <w:bCs/>
          <w:color w:val="FF0000"/>
        </w:rPr>
      </w:pPr>
      <w:r w:rsidRPr="009C714A">
        <w:rPr>
          <w:rFonts w:ascii="Arial" w:hAnsi="Arial" w:cs="Arial"/>
          <w:b/>
          <w:bCs/>
          <w:color w:val="FF0000"/>
        </w:rPr>
        <w:t>Gráfico 2.19</w:t>
      </w:r>
    </w:p>
    <w:p w14:paraId="7025009C" w14:textId="77777777" w:rsidR="00E116ED" w:rsidRPr="009C714A" w:rsidRDefault="00E116ED" w:rsidP="00E116ED">
      <w:pPr>
        <w:autoSpaceDE w:val="0"/>
        <w:autoSpaceDN w:val="0"/>
        <w:adjustRightInd w:val="0"/>
        <w:jc w:val="both"/>
        <w:rPr>
          <w:rFonts w:ascii="Arial" w:hAnsi="Arial" w:cs="Arial"/>
          <w:color w:val="000000" w:themeColor="text1"/>
        </w:rPr>
      </w:pPr>
    </w:p>
    <w:p w14:paraId="5695576F" w14:textId="33F06D94" w:rsidR="00E116ED" w:rsidRPr="009C714A" w:rsidRDefault="00E116ED" w:rsidP="00E116ED">
      <w:pPr>
        <w:autoSpaceDE w:val="0"/>
        <w:autoSpaceDN w:val="0"/>
        <w:adjustRightInd w:val="0"/>
        <w:jc w:val="both"/>
        <w:rPr>
          <w:rFonts w:ascii="Arial" w:hAnsi="Arial" w:cs="Arial"/>
          <w:color w:val="000000" w:themeColor="text1"/>
        </w:rPr>
      </w:pPr>
      <w:r w:rsidRPr="009C714A">
        <w:rPr>
          <w:rFonts w:ascii="Arial" w:hAnsi="Arial" w:cs="Arial"/>
          <w:color w:val="000000" w:themeColor="text1"/>
        </w:rPr>
        <w:t>As refinarias foram responsáveis pela produção de aproximadamente 123,6 milhões de m³ de derivados de petróleo, ou 96,2% do total, sendo o restante dividido entre centrais petroquímicas (1,4 milhão de m³), UPGNs (3,4 milhões de m³ e outros produtores (3,3 mil m³).</w:t>
      </w:r>
    </w:p>
    <w:p w14:paraId="3A48136B" w14:textId="77777777" w:rsidR="00E116ED" w:rsidRPr="009C714A" w:rsidRDefault="00E116ED" w:rsidP="00E116ED">
      <w:pPr>
        <w:autoSpaceDE w:val="0"/>
        <w:autoSpaceDN w:val="0"/>
        <w:adjustRightInd w:val="0"/>
        <w:jc w:val="both"/>
        <w:rPr>
          <w:rFonts w:ascii="Arial" w:hAnsi="Arial" w:cs="Arial"/>
          <w:color w:val="000000" w:themeColor="text1"/>
        </w:rPr>
      </w:pPr>
    </w:p>
    <w:p w14:paraId="7A1DBE65" w14:textId="77777777" w:rsidR="00E116ED" w:rsidRPr="00E116ED" w:rsidRDefault="00E116ED" w:rsidP="00E116ED">
      <w:pPr>
        <w:autoSpaceDE w:val="0"/>
        <w:autoSpaceDN w:val="0"/>
        <w:adjustRightInd w:val="0"/>
        <w:jc w:val="both"/>
        <w:rPr>
          <w:rFonts w:ascii="Arial" w:hAnsi="Arial" w:cs="Arial"/>
          <w:color w:val="000000" w:themeColor="text1"/>
        </w:rPr>
      </w:pPr>
      <w:r w:rsidRPr="009C714A">
        <w:rPr>
          <w:rFonts w:ascii="Arial" w:hAnsi="Arial" w:cs="Arial"/>
          <w:color w:val="000000" w:themeColor="text1"/>
        </w:rPr>
        <w:t>As refinarias q</w:t>
      </w:r>
      <w:r w:rsidRPr="00E116ED">
        <w:rPr>
          <w:rFonts w:ascii="Arial" w:hAnsi="Arial" w:cs="Arial"/>
          <w:color w:val="000000" w:themeColor="text1"/>
        </w:rPr>
        <w:t>ue se localizam na Região Sudeste responderam por 62,4% (77,1 milhões de m³) desse volume, sendo as de São Paulo responsáveis por 41,5% (51,3 milhões de m³) da produção total das refinarias.</w:t>
      </w:r>
    </w:p>
    <w:p w14:paraId="621E1051" w14:textId="77777777" w:rsidR="00E116ED" w:rsidRPr="00E116ED" w:rsidRDefault="00E116ED" w:rsidP="00E116ED">
      <w:pPr>
        <w:autoSpaceDE w:val="0"/>
        <w:autoSpaceDN w:val="0"/>
        <w:adjustRightInd w:val="0"/>
        <w:jc w:val="both"/>
        <w:rPr>
          <w:rFonts w:ascii="Arial" w:hAnsi="Arial" w:cs="Arial"/>
          <w:color w:val="000000" w:themeColor="text1"/>
        </w:rPr>
      </w:pPr>
    </w:p>
    <w:p w14:paraId="3664D55C" w14:textId="4300F6C1" w:rsidR="00E116ED" w:rsidRPr="00E116ED" w:rsidRDefault="00E116ED" w:rsidP="00E116ED">
      <w:pPr>
        <w:autoSpaceDE w:val="0"/>
        <w:autoSpaceDN w:val="0"/>
        <w:adjustRightInd w:val="0"/>
        <w:jc w:val="both"/>
        <w:rPr>
          <w:rFonts w:ascii="Arial" w:hAnsi="Arial" w:cs="Arial"/>
          <w:color w:val="000000" w:themeColor="text1"/>
        </w:rPr>
      </w:pPr>
      <w:r w:rsidRPr="00E116ED">
        <w:rPr>
          <w:rFonts w:ascii="Arial" w:hAnsi="Arial" w:cs="Arial"/>
          <w:color w:val="000000" w:themeColor="text1"/>
        </w:rPr>
        <w:t xml:space="preserve">A Replan (SP) foi a refinaria que produziu o maior volume de derivados de petróleo: 24,1 milhões de m³, o equivalente a 19,5% da produção das refinarias. Destacou-se na produção </w:t>
      </w:r>
      <w:r w:rsidR="00AE28E6">
        <w:rPr>
          <w:rFonts w:ascii="Arial" w:hAnsi="Arial" w:cs="Arial"/>
          <w:color w:val="000000" w:themeColor="text1"/>
        </w:rPr>
        <w:t xml:space="preserve">de </w:t>
      </w:r>
      <w:r w:rsidRPr="00E116ED">
        <w:rPr>
          <w:rFonts w:ascii="Arial" w:hAnsi="Arial" w:cs="Arial"/>
          <w:color w:val="000000" w:themeColor="text1"/>
        </w:rPr>
        <w:t>óleo diesel (21,6% do total deste produto), gasolina A (20,3% do total deste produto)</w:t>
      </w:r>
      <w:r w:rsidR="00F66F09">
        <w:rPr>
          <w:rFonts w:ascii="Arial" w:hAnsi="Arial" w:cs="Arial"/>
          <w:color w:val="000000" w:themeColor="text1"/>
        </w:rPr>
        <w:t>,</w:t>
      </w:r>
      <w:r w:rsidRPr="00E116ED">
        <w:rPr>
          <w:rFonts w:ascii="Arial" w:hAnsi="Arial" w:cs="Arial"/>
          <w:color w:val="000000" w:themeColor="text1"/>
        </w:rPr>
        <w:t xml:space="preserve"> GLP (20,1% do total deste produto)</w:t>
      </w:r>
      <w:r w:rsidR="00E57DC7">
        <w:rPr>
          <w:rFonts w:ascii="Arial" w:hAnsi="Arial" w:cs="Arial"/>
          <w:color w:val="000000" w:themeColor="text1"/>
        </w:rPr>
        <w:t xml:space="preserve"> </w:t>
      </w:r>
      <w:r w:rsidRPr="00E116ED">
        <w:rPr>
          <w:rFonts w:ascii="Arial" w:hAnsi="Arial" w:cs="Arial"/>
          <w:color w:val="000000" w:themeColor="text1"/>
        </w:rPr>
        <w:t xml:space="preserve">energético </w:t>
      </w:r>
      <w:r w:rsidR="00F66F09">
        <w:rPr>
          <w:rFonts w:ascii="Arial" w:hAnsi="Arial" w:cs="Arial"/>
          <w:color w:val="000000" w:themeColor="text1"/>
        </w:rPr>
        <w:t xml:space="preserve">e </w:t>
      </w:r>
      <w:r w:rsidRPr="00E116ED">
        <w:rPr>
          <w:rFonts w:ascii="Arial" w:hAnsi="Arial" w:cs="Arial"/>
          <w:color w:val="000000" w:themeColor="text1"/>
        </w:rPr>
        <w:t>coque (30,7% do total deste produto).</w:t>
      </w:r>
    </w:p>
    <w:p w14:paraId="5559ED68" w14:textId="77777777" w:rsidR="00E116ED" w:rsidRPr="00E116ED" w:rsidRDefault="00E116ED" w:rsidP="00E116ED">
      <w:pPr>
        <w:autoSpaceDE w:val="0"/>
        <w:autoSpaceDN w:val="0"/>
        <w:adjustRightInd w:val="0"/>
        <w:jc w:val="both"/>
        <w:rPr>
          <w:rFonts w:ascii="Arial" w:hAnsi="Arial" w:cs="Arial"/>
          <w:color w:val="000000" w:themeColor="text1"/>
        </w:rPr>
      </w:pPr>
    </w:p>
    <w:p w14:paraId="75F59774" w14:textId="0D43C42D" w:rsidR="00E116ED" w:rsidRPr="00E116ED" w:rsidRDefault="00E116ED" w:rsidP="00E116ED">
      <w:pPr>
        <w:autoSpaceDE w:val="0"/>
        <w:autoSpaceDN w:val="0"/>
        <w:adjustRightInd w:val="0"/>
        <w:jc w:val="both"/>
        <w:rPr>
          <w:rFonts w:ascii="Arial" w:hAnsi="Arial" w:cs="Arial"/>
          <w:color w:val="000000" w:themeColor="text1"/>
        </w:rPr>
      </w:pPr>
      <w:r w:rsidRPr="00E116ED">
        <w:rPr>
          <w:rFonts w:ascii="Arial" w:hAnsi="Arial" w:cs="Arial"/>
          <w:color w:val="000000" w:themeColor="text1"/>
        </w:rPr>
        <w:t>A Revap (SP) foi a principal produtora de QAV (30,7% do total</w:t>
      </w:r>
      <w:r w:rsidR="00E01CBA" w:rsidRPr="00E116ED">
        <w:rPr>
          <w:rFonts w:ascii="Arial" w:hAnsi="Arial" w:cs="Arial"/>
          <w:color w:val="000000" w:themeColor="text1"/>
        </w:rPr>
        <w:t>)</w:t>
      </w:r>
      <w:r w:rsidR="00E01CBA">
        <w:rPr>
          <w:rFonts w:ascii="Arial" w:hAnsi="Arial" w:cs="Arial"/>
          <w:color w:val="000000" w:themeColor="text1"/>
        </w:rPr>
        <w:t>;</w:t>
      </w:r>
      <w:r w:rsidR="00E01CBA" w:rsidRPr="00E116ED">
        <w:rPr>
          <w:rFonts w:ascii="Arial" w:hAnsi="Arial" w:cs="Arial"/>
          <w:color w:val="000000" w:themeColor="text1"/>
        </w:rPr>
        <w:t xml:space="preserve"> </w:t>
      </w:r>
      <w:r w:rsidR="00E01CBA">
        <w:rPr>
          <w:rFonts w:ascii="Arial" w:hAnsi="Arial" w:cs="Arial"/>
          <w:color w:val="000000" w:themeColor="text1"/>
        </w:rPr>
        <w:t>a</w:t>
      </w:r>
      <w:r w:rsidR="00E01CBA" w:rsidRPr="00E116ED">
        <w:rPr>
          <w:rFonts w:ascii="Arial" w:hAnsi="Arial" w:cs="Arial"/>
          <w:color w:val="000000" w:themeColor="text1"/>
        </w:rPr>
        <w:t xml:space="preserve"> </w:t>
      </w:r>
      <w:r w:rsidRPr="00E116ED">
        <w:rPr>
          <w:rFonts w:ascii="Arial" w:hAnsi="Arial" w:cs="Arial"/>
          <w:color w:val="000000" w:themeColor="text1"/>
        </w:rPr>
        <w:t>RPBC (SP) liderou a produção de solvente (43,6% do total) e foi a única refinaria a produzir gasolina de aviação</w:t>
      </w:r>
      <w:r w:rsidR="00E01CBA">
        <w:rPr>
          <w:rFonts w:ascii="Arial" w:hAnsi="Arial" w:cs="Arial"/>
          <w:color w:val="000000" w:themeColor="text1"/>
        </w:rPr>
        <w:t>; a</w:t>
      </w:r>
      <w:r w:rsidRPr="00E116ED">
        <w:rPr>
          <w:rFonts w:ascii="Arial" w:hAnsi="Arial" w:cs="Arial"/>
          <w:color w:val="000000" w:themeColor="text1"/>
        </w:rPr>
        <w:t xml:space="preserve"> Refmat (BA) </w:t>
      </w:r>
      <w:r w:rsidR="00E01CBA">
        <w:rPr>
          <w:rFonts w:ascii="Arial" w:hAnsi="Arial" w:cs="Arial"/>
          <w:color w:val="000000" w:themeColor="text1"/>
        </w:rPr>
        <w:t>foi a que mais produziu</w:t>
      </w:r>
      <w:r w:rsidRPr="00E116ED">
        <w:rPr>
          <w:rFonts w:ascii="Arial" w:hAnsi="Arial" w:cs="Arial"/>
          <w:color w:val="000000" w:themeColor="text1"/>
        </w:rPr>
        <w:t xml:space="preserve"> parafina (68% do total produzido), querosene iluminante (48,9% do total deste derivado) e óleo combustível (25% do total produzido). A Regap (MG) foi a maior produtora de asfalto (2</w:t>
      </w:r>
      <w:r w:rsidR="001F52D6">
        <w:rPr>
          <w:rFonts w:ascii="Arial" w:hAnsi="Arial" w:cs="Arial"/>
          <w:color w:val="000000" w:themeColor="text1"/>
        </w:rPr>
        <w:t>4</w:t>
      </w:r>
      <w:r w:rsidRPr="00E116ED">
        <w:rPr>
          <w:rFonts w:ascii="Arial" w:hAnsi="Arial" w:cs="Arial"/>
          <w:color w:val="000000" w:themeColor="text1"/>
        </w:rPr>
        <w:t>,</w:t>
      </w:r>
      <w:r w:rsidR="001F52D6">
        <w:rPr>
          <w:rFonts w:ascii="Arial" w:hAnsi="Arial" w:cs="Arial"/>
          <w:color w:val="000000" w:themeColor="text1"/>
        </w:rPr>
        <w:t>5</w:t>
      </w:r>
      <w:r w:rsidRPr="00E116ED">
        <w:rPr>
          <w:rFonts w:ascii="Arial" w:hAnsi="Arial" w:cs="Arial"/>
          <w:color w:val="000000" w:themeColor="text1"/>
        </w:rPr>
        <w:t>% do total produzido)</w:t>
      </w:r>
      <w:r w:rsidR="001E7BF3">
        <w:rPr>
          <w:rFonts w:ascii="Arial" w:hAnsi="Arial" w:cs="Arial"/>
          <w:color w:val="000000" w:themeColor="text1"/>
        </w:rPr>
        <w:t xml:space="preserve"> e</w:t>
      </w:r>
      <w:r w:rsidRPr="00E116ED">
        <w:rPr>
          <w:rFonts w:ascii="Arial" w:hAnsi="Arial" w:cs="Arial"/>
          <w:color w:val="000000" w:themeColor="text1"/>
        </w:rPr>
        <w:t xml:space="preserve"> a Reduc (RJ)destacou-se na produção de óleo lubrificante (81,6% do total produzido), de outros derivados não energéticos (36,6%) e de nafta (26,1% do total produzido).</w:t>
      </w:r>
    </w:p>
    <w:p w14:paraId="69C033D3" w14:textId="77777777" w:rsidR="00E116ED" w:rsidRPr="00E116ED" w:rsidRDefault="00E116ED" w:rsidP="00E116ED">
      <w:pPr>
        <w:autoSpaceDE w:val="0"/>
        <w:autoSpaceDN w:val="0"/>
        <w:adjustRightInd w:val="0"/>
        <w:jc w:val="both"/>
        <w:rPr>
          <w:rFonts w:ascii="Arial" w:hAnsi="Arial" w:cs="Arial"/>
          <w:color w:val="000000" w:themeColor="text1"/>
        </w:rPr>
      </w:pPr>
    </w:p>
    <w:p w14:paraId="5AB50ED6" w14:textId="0D911B12" w:rsidR="0041466A" w:rsidRDefault="00E116ED" w:rsidP="00E116ED">
      <w:pPr>
        <w:autoSpaceDE w:val="0"/>
        <w:autoSpaceDN w:val="0"/>
        <w:adjustRightInd w:val="0"/>
        <w:jc w:val="both"/>
        <w:rPr>
          <w:rFonts w:ascii="Arial" w:hAnsi="Arial" w:cs="Arial"/>
          <w:color w:val="000000" w:themeColor="text1"/>
        </w:rPr>
      </w:pPr>
      <w:r w:rsidRPr="00E116ED">
        <w:rPr>
          <w:rFonts w:ascii="Arial" w:hAnsi="Arial" w:cs="Arial"/>
          <w:color w:val="000000" w:themeColor="text1"/>
        </w:rPr>
        <w:t>Em relação às centrais petroquímicas, sua produção de combustíveis atingiu pouco mais de 1,4 milhão de m³, registrando alta de 0,4% em relação a 2024. A maior parte da produção das centrais foi de gasolina A (87,5%; queda de 1,5%) e de GLP (12,5%; alta de 16,4%).</w:t>
      </w:r>
    </w:p>
    <w:p w14:paraId="72D18EE7" w14:textId="77777777" w:rsidR="00B303C4" w:rsidRPr="00C854C9" w:rsidRDefault="00B303C4" w:rsidP="00E116ED">
      <w:pPr>
        <w:autoSpaceDE w:val="0"/>
        <w:autoSpaceDN w:val="0"/>
        <w:adjustRightInd w:val="0"/>
        <w:jc w:val="both"/>
        <w:rPr>
          <w:rFonts w:ascii="Arial" w:hAnsi="Arial" w:cs="Arial"/>
        </w:rPr>
      </w:pPr>
    </w:p>
    <w:p w14:paraId="6F070AB8" w14:textId="0B750CAC"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E15803">
        <w:rPr>
          <w:rFonts w:ascii="Arial" w:hAnsi="Arial" w:cs="Arial"/>
          <w:b/>
          <w:bCs/>
          <w:color w:val="FF0000"/>
        </w:rPr>
        <w:t>45</w:t>
      </w:r>
    </w:p>
    <w:p w14:paraId="7C333305" w14:textId="23876492"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E116ED">
        <w:rPr>
          <w:rFonts w:ascii="Arial" w:hAnsi="Arial" w:cs="Arial"/>
          <w:b/>
          <w:bCs/>
          <w:color w:val="FF0000"/>
        </w:rPr>
        <w:t>46</w:t>
      </w:r>
    </w:p>
    <w:p w14:paraId="53394286" w14:textId="77777777" w:rsidR="0041466A" w:rsidRPr="00C854C9" w:rsidRDefault="0041466A" w:rsidP="0041466A">
      <w:pPr>
        <w:autoSpaceDE w:val="0"/>
        <w:autoSpaceDN w:val="0"/>
        <w:adjustRightInd w:val="0"/>
        <w:jc w:val="both"/>
        <w:rPr>
          <w:rFonts w:ascii="Arial" w:hAnsi="Arial" w:cs="Arial"/>
          <w:b/>
          <w:bCs/>
        </w:rPr>
      </w:pPr>
    </w:p>
    <w:p w14:paraId="56B9E452" w14:textId="77777777" w:rsidR="0041466A" w:rsidRPr="00C854C9" w:rsidRDefault="0041466A" w:rsidP="0041466A">
      <w:pPr>
        <w:autoSpaceDE w:val="0"/>
        <w:autoSpaceDN w:val="0"/>
        <w:adjustRightInd w:val="0"/>
        <w:jc w:val="both"/>
        <w:rPr>
          <w:rFonts w:ascii="Arial" w:hAnsi="Arial" w:cs="Arial"/>
          <w:b/>
          <w:bCs/>
        </w:rPr>
      </w:pPr>
    </w:p>
    <w:p w14:paraId="34790F3B" w14:textId="263EB4C3" w:rsidR="0041466A" w:rsidRPr="00C854C9" w:rsidRDefault="0041466A" w:rsidP="0041466A">
      <w:pPr>
        <w:autoSpaceDE w:val="0"/>
        <w:autoSpaceDN w:val="0"/>
        <w:adjustRightInd w:val="0"/>
        <w:jc w:val="both"/>
        <w:rPr>
          <w:rFonts w:ascii="Arial" w:hAnsi="Arial" w:cs="Arial"/>
          <w:b/>
          <w:bCs/>
          <w:color w:val="000000"/>
        </w:rPr>
      </w:pPr>
      <w:r w:rsidRPr="00C854C9">
        <w:rPr>
          <w:rFonts w:ascii="Arial" w:hAnsi="Arial" w:cs="Arial"/>
          <w:b/>
          <w:bCs/>
          <w:color w:val="000000"/>
        </w:rPr>
        <w:t>2.</w:t>
      </w:r>
      <w:r w:rsidR="004555A2">
        <w:rPr>
          <w:rFonts w:ascii="Arial" w:hAnsi="Arial" w:cs="Arial"/>
          <w:b/>
          <w:bCs/>
          <w:color w:val="000000"/>
        </w:rPr>
        <w:t>2.4</w:t>
      </w:r>
      <w:r w:rsidRPr="00C854C9">
        <w:rPr>
          <w:rFonts w:ascii="Arial" w:hAnsi="Arial" w:cs="Arial"/>
          <w:b/>
          <w:bCs/>
          <w:color w:val="000000"/>
        </w:rPr>
        <w:t xml:space="preserve"> P</w:t>
      </w:r>
      <w:r w:rsidR="004555A2" w:rsidRPr="00C854C9">
        <w:rPr>
          <w:rFonts w:ascii="Arial" w:hAnsi="Arial" w:cs="Arial"/>
          <w:b/>
          <w:bCs/>
          <w:color w:val="000000"/>
        </w:rPr>
        <w:t>reços dos produtores e importadores de derivados de petróleo</w:t>
      </w:r>
    </w:p>
    <w:p w14:paraId="234A246D" w14:textId="77777777" w:rsidR="0041466A" w:rsidRPr="00C854C9" w:rsidRDefault="0041466A" w:rsidP="0041466A">
      <w:pPr>
        <w:autoSpaceDE w:val="0"/>
        <w:autoSpaceDN w:val="0"/>
        <w:adjustRightInd w:val="0"/>
        <w:jc w:val="both"/>
        <w:rPr>
          <w:rFonts w:ascii="Arial" w:hAnsi="Arial" w:cs="Arial"/>
          <w:color w:val="000000"/>
        </w:rPr>
      </w:pPr>
    </w:p>
    <w:p w14:paraId="6E6422D7" w14:textId="77777777" w:rsidR="0041466A" w:rsidRPr="005F39C2" w:rsidRDefault="0041466A" w:rsidP="0041466A">
      <w:pPr>
        <w:autoSpaceDE w:val="0"/>
        <w:autoSpaceDN w:val="0"/>
        <w:adjustRightInd w:val="0"/>
        <w:jc w:val="both"/>
        <w:rPr>
          <w:rFonts w:ascii="Arial" w:hAnsi="Arial" w:cs="Arial"/>
          <w:color w:val="000000"/>
        </w:rPr>
      </w:pPr>
      <w:r w:rsidRPr="005F39C2">
        <w:rPr>
          <w:rFonts w:ascii="Arial" w:hAnsi="Arial" w:cs="Arial"/>
          <w:color w:val="000000"/>
        </w:rPr>
        <w:t xml:space="preserve">Os preços médios ponderados semanais praticados pelos produtores (refinarias, centrais petroquímicas e formuladores) e importadores de gasolina A, óleo diesel, QAV, GLP e óleo combustível são publicados no </w:t>
      </w:r>
      <w:r w:rsidRPr="005F39C2">
        <w:rPr>
          <w:rFonts w:ascii="Arial" w:hAnsi="Arial" w:cs="Arial"/>
          <w:b/>
          <w:color w:val="000000"/>
        </w:rPr>
        <w:t>Anuário Estatístico</w:t>
      </w:r>
      <w:r w:rsidRPr="005F39C2">
        <w:rPr>
          <w:rFonts w:ascii="Arial" w:hAnsi="Arial" w:cs="Arial"/>
          <w:color w:val="000000"/>
        </w:rPr>
        <w:t xml:space="preserve"> desde a edição de 2003, em substituição às séries de preços de realização e faturamento dos derivados de petróleo. A partir da abertura do mercado nacional de derivados, em janeiro </w:t>
      </w:r>
      <w:r w:rsidRPr="005F39C2">
        <w:rPr>
          <w:rFonts w:ascii="Arial" w:hAnsi="Arial" w:cs="Arial"/>
          <w:color w:val="000000"/>
        </w:rPr>
        <w:lastRenderedPageBreak/>
        <w:t>de 2002, os preços de realização e faturamento deixaram de existir e os preços passaram a flutuar de acordo com as condições econômicas do mercado nacional.</w:t>
      </w:r>
    </w:p>
    <w:p w14:paraId="1299899F" w14:textId="77777777" w:rsidR="0041466A" w:rsidRPr="005F39C2" w:rsidRDefault="0041466A" w:rsidP="0041466A">
      <w:pPr>
        <w:autoSpaceDE w:val="0"/>
        <w:autoSpaceDN w:val="0"/>
        <w:adjustRightInd w:val="0"/>
        <w:jc w:val="both"/>
        <w:rPr>
          <w:rFonts w:ascii="Arial" w:hAnsi="Arial" w:cs="Arial"/>
          <w:color w:val="000000"/>
        </w:rPr>
      </w:pPr>
    </w:p>
    <w:p w14:paraId="27414173" w14:textId="77777777" w:rsidR="0041466A" w:rsidRPr="005F39C2" w:rsidRDefault="0041466A" w:rsidP="0041466A">
      <w:pPr>
        <w:autoSpaceDE w:val="0"/>
        <w:autoSpaceDN w:val="0"/>
        <w:adjustRightInd w:val="0"/>
        <w:jc w:val="both"/>
        <w:rPr>
          <w:rFonts w:ascii="Arial" w:hAnsi="Arial" w:cs="Arial"/>
          <w:color w:val="000000"/>
        </w:rPr>
      </w:pPr>
      <w:r w:rsidRPr="36DAC812">
        <w:rPr>
          <w:rFonts w:ascii="Arial" w:hAnsi="Arial" w:cs="Arial"/>
          <w:color w:val="000000" w:themeColor="text1"/>
        </w:rPr>
        <w:t xml:space="preserve">Vale ressaltar que, nos preços dos produtores e importadores publicados </w:t>
      </w:r>
      <w:r>
        <w:rPr>
          <w:rFonts w:ascii="Arial" w:hAnsi="Arial" w:cs="Arial"/>
          <w:color w:val="000000" w:themeColor="text1"/>
        </w:rPr>
        <w:t>n</w:t>
      </w:r>
      <w:r w:rsidRPr="36DAC812">
        <w:rPr>
          <w:rFonts w:ascii="Arial" w:hAnsi="Arial" w:cs="Arial"/>
          <w:color w:val="000000" w:themeColor="text1"/>
        </w:rPr>
        <w:t>este capítulo, estão incluídas as parcelas relativas à Contribuição de Intervenção no Domínio Econômico (Cide), instituída pela Lei nº 10.336/2001; aos Programas de Integração Social e de Formação do Patrimônio do Servidor Público (PIS/Pasep); e ao financiamento da Seguridade Social (Cofins), conforme a Lei nº 9.990/2000. Não estão computados os valores do ICMS, que dependem de legislação de cada Unidade da Federação.</w:t>
      </w:r>
    </w:p>
    <w:p w14:paraId="0D78A475" w14:textId="77777777" w:rsidR="0041466A" w:rsidRPr="005F39C2" w:rsidRDefault="0041466A" w:rsidP="0041466A">
      <w:pPr>
        <w:autoSpaceDE w:val="0"/>
        <w:autoSpaceDN w:val="0"/>
        <w:adjustRightInd w:val="0"/>
        <w:jc w:val="both"/>
        <w:rPr>
          <w:rFonts w:ascii="Arial" w:hAnsi="Arial" w:cs="Arial"/>
          <w:color w:val="000000"/>
        </w:rPr>
      </w:pPr>
    </w:p>
    <w:p w14:paraId="6849E183" w14:textId="77777777" w:rsidR="0041466A" w:rsidRPr="005F39C2" w:rsidRDefault="0041466A" w:rsidP="0041466A">
      <w:pPr>
        <w:autoSpaceDE w:val="0"/>
        <w:autoSpaceDN w:val="0"/>
        <w:adjustRightInd w:val="0"/>
        <w:jc w:val="both"/>
        <w:rPr>
          <w:rFonts w:ascii="Arial" w:hAnsi="Arial" w:cs="Arial"/>
          <w:color w:val="000000"/>
        </w:rPr>
      </w:pPr>
      <w:r w:rsidRPr="005F39C2">
        <w:rPr>
          <w:rFonts w:ascii="Arial" w:hAnsi="Arial" w:cs="Arial"/>
          <w:color w:val="000000"/>
        </w:rPr>
        <w:t>Os preços divulgados neste capítulo são reportados semanalmente pelos produtores e importadores à ANP, que, por meio da Portaria ANP nº 297/2001, instituiu a obrigatoriedade da apresentação das informações relativas à comercialização de gasolina A, óleo diesel, QAV, GLP e óleo combustível. Esses valores são frequentemente atualizados e encontram-se disponíveis para consulta no portal da ANP na internet.</w:t>
      </w:r>
    </w:p>
    <w:p w14:paraId="755D4397" w14:textId="77777777" w:rsidR="0041466A" w:rsidRPr="00360370" w:rsidRDefault="0041466A" w:rsidP="0041466A">
      <w:pPr>
        <w:autoSpaceDE w:val="0"/>
        <w:autoSpaceDN w:val="0"/>
        <w:adjustRightInd w:val="0"/>
        <w:jc w:val="both"/>
        <w:rPr>
          <w:rFonts w:ascii="Arial" w:hAnsi="Arial" w:cs="Arial"/>
          <w:color w:val="000000"/>
          <w:highlight w:val="yellow"/>
        </w:rPr>
      </w:pPr>
    </w:p>
    <w:p w14:paraId="3DBCB306" w14:textId="203E0163" w:rsidR="0041466A" w:rsidRDefault="00186478" w:rsidP="0041466A">
      <w:pPr>
        <w:autoSpaceDE w:val="0"/>
        <w:autoSpaceDN w:val="0"/>
        <w:adjustRightInd w:val="0"/>
        <w:jc w:val="both"/>
        <w:rPr>
          <w:rFonts w:ascii="Arial" w:hAnsi="Arial" w:cs="Arial"/>
          <w:color w:val="000000" w:themeColor="text1"/>
        </w:rPr>
      </w:pPr>
      <w:r w:rsidRPr="00186478">
        <w:rPr>
          <w:rFonts w:ascii="Arial" w:hAnsi="Arial" w:cs="Arial"/>
          <w:color w:val="000000" w:themeColor="text1"/>
        </w:rPr>
        <w:t>No ano de 2025, os preços médios ponderados, em reais, de produtores e importadores de derivados para o Brasil apresentaram as seguintes variações em relação a 2024: gasolina A (-2,2%), óleo diesel (-3,8%); GLP (+7,5%); QAV (-4%); óleo combustível A1 (-15,7%), e óleo combustível B1 (-12,7%).</w:t>
      </w:r>
    </w:p>
    <w:p w14:paraId="65471C06" w14:textId="77777777" w:rsidR="00186478" w:rsidRPr="00C854C9" w:rsidRDefault="00186478" w:rsidP="0041466A">
      <w:pPr>
        <w:autoSpaceDE w:val="0"/>
        <w:autoSpaceDN w:val="0"/>
        <w:adjustRightInd w:val="0"/>
        <w:jc w:val="both"/>
        <w:rPr>
          <w:rFonts w:ascii="Arial" w:hAnsi="Arial" w:cs="Arial"/>
          <w:color w:val="000000"/>
        </w:rPr>
      </w:pPr>
    </w:p>
    <w:p w14:paraId="0B2CD3D6" w14:textId="2158A19E" w:rsidR="0041466A" w:rsidRPr="00C854C9" w:rsidRDefault="0041466A" w:rsidP="0041466A">
      <w:pPr>
        <w:tabs>
          <w:tab w:val="left" w:pos="4368"/>
        </w:tabs>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4</w:t>
      </w:r>
      <w:r w:rsidR="00AB7710">
        <w:rPr>
          <w:rFonts w:ascii="Arial" w:hAnsi="Arial" w:cs="Arial"/>
          <w:b/>
          <w:bCs/>
          <w:color w:val="FF0000"/>
        </w:rPr>
        <w:t>7</w:t>
      </w:r>
    </w:p>
    <w:p w14:paraId="51C7665F" w14:textId="1A356AC2" w:rsidR="0041466A" w:rsidRPr="00C854C9" w:rsidRDefault="0041466A" w:rsidP="0041466A">
      <w:pPr>
        <w:tabs>
          <w:tab w:val="left" w:pos="4368"/>
        </w:tabs>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4</w:t>
      </w:r>
      <w:r w:rsidR="00AB7710">
        <w:rPr>
          <w:rFonts w:ascii="Arial" w:hAnsi="Arial" w:cs="Arial"/>
          <w:b/>
          <w:bCs/>
          <w:color w:val="FF0000"/>
        </w:rPr>
        <w:t>8</w:t>
      </w:r>
    </w:p>
    <w:p w14:paraId="69AF3C1A" w14:textId="454FB301" w:rsidR="0041466A" w:rsidRPr="00C854C9" w:rsidRDefault="0041466A" w:rsidP="0041466A">
      <w:pPr>
        <w:tabs>
          <w:tab w:val="left" w:pos="4368"/>
        </w:tabs>
        <w:autoSpaceDE w:val="0"/>
        <w:autoSpaceDN w:val="0"/>
        <w:adjustRightInd w:val="0"/>
        <w:jc w:val="both"/>
        <w:rPr>
          <w:rFonts w:ascii="Arial" w:hAnsi="Arial" w:cs="Arial"/>
          <w:color w:val="FF0000"/>
        </w:rPr>
      </w:pPr>
      <w:r w:rsidRPr="00C854C9">
        <w:rPr>
          <w:rFonts w:ascii="Arial" w:hAnsi="Arial" w:cs="Arial"/>
          <w:b/>
          <w:bCs/>
          <w:color w:val="FF0000"/>
        </w:rPr>
        <w:t>Tabela 2.4</w:t>
      </w:r>
      <w:r w:rsidR="00AB7710">
        <w:rPr>
          <w:rFonts w:ascii="Arial" w:hAnsi="Arial" w:cs="Arial"/>
          <w:b/>
          <w:bCs/>
          <w:color w:val="FF0000"/>
        </w:rPr>
        <w:t>9</w:t>
      </w:r>
    </w:p>
    <w:p w14:paraId="02A19960" w14:textId="46034203" w:rsidR="0041466A" w:rsidRPr="00C854C9" w:rsidRDefault="0041466A" w:rsidP="0041466A">
      <w:pPr>
        <w:tabs>
          <w:tab w:val="left" w:pos="4368"/>
        </w:tabs>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AB7710">
        <w:rPr>
          <w:rFonts w:ascii="Arial" w:hAnsi="Arial" w:cs="Arial"/>
          <w:b/>
          <w:bCs/>
          <w:color w:val="FF0000"/>
        </w:rPr>
        <w:t>50</w:t>
      </w:r>
    </w:p>
    <w:p w14:paraId="0C85A8E2" w14:textId="454831E6" w:rsidR="0041466A" w:rsidRPr="00C854C9" w:rsidRDefault="0041466A" w:rsidP="0041466A">
      <w:pPr>
        <w:tabs>
          <w:tab w:val="left" w:pos="4368"/>
        </w:tabs>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AB7710">
        <w:rPr>
          <w:rFonts w:ascii="Arial" w:hAnsi="Arial" w:cs="Arial"/>
          <w:b/>
          <w:bCs/>
          <w:color w:val="FF0000"/>
        </w:rPr>
        <w:t>51</w:t>
      </w:r>
    </w:p>
    <w:p w14:paraId="7EAC91A2" w14:textId="2AB3C2B0"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sidR="00AB7710">
        <w:rPr>
          <w:rFonts w:ascii="Arial" w:hAnsi="Arial" w:cs="Arial"/>
          <w:b/>
          <w:bCs/>
          <w:color w:val="FF0000"/>
        </w:rPr>
        <w:t>52</w:t>
      </w:r>
    </w:p>
    <w:p w14:paraId="3D5BF924" w14:textId="77777777" w:rsidR="0041466A" w:rsidRPr="00C854C9" w:rsidRDefault="0041466A" w:rsidP="0041466A">
      <w:pPr>
        <w:autoSpaceDE w:val="0"/>
        <w:autoSpaceDN w:val="0"/>
        <w:adjustRightInd w:val="0"/>
        <w:jc w:val="both"/>
        <w:rPr>
          <w:rFonts w:ascii="Arial" w:hAnsi="Arial" w:cs="Arial"/>
          <w:b/>
          <w:bCs/>
          <w:color w:val="000000"/>
        </w:rPr>
      </w:pPr>
    </w:p>
    <w:p w14:paraId="0C71AA08" w14:textId="77777777" w:rsidR="0041466A" w:rsidRPr="00C854C9" w:rsidRDefault="0041466A" w:rsidP="0041466A">
      <w:pPr>
        <w:autoSpaceDE w:val="0"/>
        <w:autoSpaceDN w:val="0"/>
        <w:adjustRightInd w:val="0"/>
        <w:jc w:val="both"/>
        <w:rPr>
          <w:rFonts w:ascii="Arial" w:hAnsi="Arial" w:cs="Arial"/>
          <w:b/>
          <w:bCs/>
          <w:color w:val="000000"/>
        </w:rPr>
      </w:pPr>
    </w:p>
    <w:p w14:paraId="7F94A11C" w14:textId="634A9AC6" w:rsidR="0041466A" w:rsidRPr="00C854C9" w:rsidRDefault="004555A2" w:rsidP="0041466A">
      <w:pPr>
        <w:autoSpaceDE w:val="0"/>
        <w:autoSpaceDN w:val="0"/>
        <w:adjustRightInd w:val="0"/>
        <w:jc w:val="both"/>
        <w:rPr>
          <w:rFonts w:ascii="Arial" w:hAnsi="Arial" w:cs="Arial"/>
          <w:b/>
          <w:bCs/>
          <w:color w:val="000000"/>
        </w:rPr>
      </w:pPr>
      <w:r>
        <w:rPr>
          <w:rFonts w:ascii="Arial" w:hAnsi="Arial" w:cs="Arial"/>
          <w:b/>
          <w:bCs/>
          <w:color w:val="000000"/>
        </w:rPr>
        <w:t xml:space="preserve">2.3 </w:t>
      </w:r>
      <w:r w:rsidRPr="00C854C9">
        <w:rPr>
          <w:rFonts w:ascii="Arial" w:hAnsi="Arial" w:cs="Arial"/>
          <w:b/>
          <w:bCs/>
          <w:color w:val="000000"/>
        </w:rPr>
        <w:t>INDUSTRIALIZAÇÃO DO XISTO</w:t>
      </w:r>
    </w:p>
    <w:p w14:paraId="03F5B5D2" w14:textId="77777777" w:rsidR="0041466A" w:rsidRPr="00C854C9" w:rsidRDefault="0041466A" w:rsidP="0041466A">
      <w:pPr>
        <w:autoSpaceDE w:val="0"/>
        <w:autoSpaceDN w:val="0"/>
        <w:adjustRightInd w:val="0"/>
        <w:jc w:val="both"/>
        <w:rPr>
          <w:rFonts w:ascii="Arial" w:hAnsi="Arial" w:cs="Arial"/>
          <w:b/>
          <w:bCs/>
          <w:color w:val="000000"/>
        </w:rPr>
      </w:pPr>
    </w:p>
    <w:p w14:paraId="044CFC81" w14:textId="3024263F" w:rsidR="0041466A" w:rsidRPr="00C854C9" w:rsidRDefault="0041466A" w:rsidP="0041466A">
      <w:pPr>
        <w:autoSpaceDE w:val="0"/>
        <w:autoSpaceDN w:val="0"/>
        <w:adjustRightInd w:val="0"/>
        <w:jc w:val="both"/>
        <w:rPr>
          <w:rFonts w:ascii="Arial" w:hAnsi="Arial" w:cs="Arial"/>
          <w:b/>
          <w:bCs/>
        </w:rPr>
      </w:pPr>
      <w:r w:rsidRPr="00C854C9">
        <w:rPr>
          <w:rFonts w:ascii="Arial" w:hAnsi="Arial" w:cs="Arial"/>
          <w:b/>
          <w:bCs/>
          <w:color w:val="000000"/>
        </w:rPr>
        <w:t>2.</w:t>
      </w:r>
      <w:r>
        <w:rPr>
          <w:rFonts w:ascii="Arial" w:hAnsi="Arial" w:cs="Arial"/>
          <w:b/>
          <w:bCs/>
          <w:color w:val="000000"/>
        </w:rPr>
        <w:t>3</w:t>
      </w:r>
      <w:r w:rsidRPr="00C854C9">
        <w:rPr>
          <w:rFonts w:ascii="Arial" w:hAnsi="Arial" w:cs="Arial"/>
          <w:b/>
          <w:bCs/>
          <w:color w:val="000000"/>
        </w:rPr>
        <w:t>.</w:t>
      </w:r>
      <w:r w:rsidR="004555A2">
        <w:rPr>
          <w:rFonts w:ascii="Arial" w:hAnsi="Arial" w:cs="Arial"/>
          <w:b/>
          <w:bCs/>
          <w:color w:val="000000"/>
        </w:rPr>
        <w:t>1</w:t>
      </w:r>
      <w:r w:rsidRPr="00C854C9">
        <w:rPr>
          <w:rFonts w:ascii="Arial" w:hAnsi="Arial" w:cs="Arial"/>
          <w:b/>
          <w:bCs/>
          <w:color w:val="000000"/>
        </w:rPr>
        <w:t xml:space="preserve"> Industrialização do </w:t>
      </w:r>
      <w:r w:rsidR="004555A2">
        <w:rPr>
          <w:rFonts w:ascii="Arial" w:hAnsi="Arial" w:cs="Arial"/>
          <w:b/>
          <w:bCs/>
          <w:color w:val="000000"/>
        </w:rPr>
        <w:t>x</w:t>
      </w:r>
      <w:r w:rsidRPr="00C854C9">
        <w:rPr>
          <w:rFonts w:ascii="Arial" w:hAnsi="Arial" w:cs="Arial"/>
          <w:b/>
          <w:bCs/>
          <w:color w:val="000000"/>
        </w:rPr>
        <w:t xml:space="preserve">isto </w:t>
      </w:r>
    </w:p>
    <w:p w14:paraId="187F91B8" w14:textId="77777777" w:rsidR="0041466A" w:rsidRPr="00C854C9" w:rsidRDefault="0041466A" w:rsidP="0041466A">
      <w:pPr>
        <w:pStyle w:val="Corpodetexto3"/>
        <w:rPr>
          <w:sz w:val="20"/>
          <w:szCs w:val="20"/>
        </w:rPr>
      </w:pPr>
    </w:p>
    <w:p w14:paraId="710603CD" w14:textId="77777777" w:rsidR="0041466A" w:rsidRPr="00D7680B" w:rsidRDefault="0041466A" w:rsidP="0041466A">
      <w:pPr>
        <w:pStyle w:val="Corpodetexto3"/>
        <w:rPr>
          <w:sz w:val="20"/>
          <w:szCs w:val="20"/>
        </w:rPr>
      </w:pPr>
      <w:r w:rsidRPr="36DAC812">
        <w:rPr>
          <w:sz w:val="20"/>
          <w:szCs w:val="20"/>
        </w:rPr>
        <w:t>Este tema apresenta, de forma sintética, as atividades relacionadas ao xisto betuminoso que têm interface com a indústria nacional do petróleo. O xisto é uma rocha sedimentar rica em matéria orgânica (querogênio). Quando submetido a temperaturas elevadas, decompõe-se em óleo, água, gás e um resíduo sólido contendo carbono. Por meio de sua transformação, é possível produzir uma série de subprodutos que podem ser aproveitados pelos mais diversos segmentos industriais.</w:t>
      </w:r>
    </w:p>
    <w:p w14:paraId="0ECCC603" w14:textId="77777777" w:rsidR="0041466A" w:rsidRPr="00D7680B" w:rsidRDefault="0041466A" w:rsidP="0041466A">
      <w:pPr>
        <w:pStyle w:val="Corpodetexto3"/>
        <w:rPr>
          <w:sz w:val="20"/>
          <w:szCs w:val="20"/>
        </w:rPr>
      </w:pPr>
    </w:p>
    <w:p w14:paraId="07AA7EC3" w14:textId="77777777" w:rsidR="00627078" w:rsidRPr="00627078" w:rsidRDefault="00627078" w:rsidP="00627078">
      <w:pPr>
        <w:autoSpaceDE w:val="0"/>
        <w:autoSpaceDN w:val="0"/>
        <w:adjustRightInd w:val="0"/>
        <w:jc w:val="both"/>
        <w:rPr>
          <w:rFonts w:ascii="Arial" w:hAnsi="Arial" w:cs="Arial"/>
          <w:color w:val="000000" w:themeColor="text1"/>
        </w:rPr>
      </w:pPr>
      <w:r w:rsidRPr="00627078">
        <w:rPr>
          <w:rFonts w:ascii="Arial" w:hAnsi="Arial" w:cs="Arial"/>
          <w:color w:val="000000" w:themeColor="text1"/>
        </w:rPr>
        <w:t>Em 2025, o volume de xisto bruto processado foi de cerca de 1,8 milhão de toneladas, 5,2% inferior ao de 2024.</w:t>
      </w:r>
    </w:p>
    <w:p w14:paraId="32CDC13A" w14:textId="77777777" w:rsidR="00627078" w:rsidRPr="00627078" w:rsidRDefault="00627078" w:rsidP="00627078">
      <w:pPr>
        <w:autoSpaceDE w:val="0"/>
        <w:autoSpaceDN w:val="0"/>
        <w:adjustRightInd w:val="0"/>
        <w:jc w:val="both"/>
        <w:rPr>
          <w:rFonts w:ascii="Arial" w:hAnsi="Arial" w:cs="Arial"/>
          <w:color w:val="000000" w:themeColor="text1"/>
        </w:rPr>
      </w:pPr>
    </w:p>
    <w:p w14:paraId="1A7AA55D" w14:textId="77777777" w:rsidR="00627078" w:rsidRPr="00627078" w:rsidRDefault="00627078" w:rsidP="00627078">
      <w:pPr>
        <w:autoSpaceDE w:val="0"/>
        <w:autoSpaceDN w:val="0"/>
        <w:adjustRightInd w:val="0"/>
        <w:jc w:val="both"/>
        <w:rPr>
          <w:rFonts w:ascii="Arial" w:hAnsi="Arial" w:cs="Arial"/>
          <w:color w:val="000000" w:themeColor="text1"/>
        </w:rPr>
      </w:pPr>
      <w:r w:rsidRPr="00627078">
        <w:rPr>
          <w:rFonts w:ascii="Arial" w:hAnsi="Arial" w:cs="Arial"/>
          <w:color w:val="000000" w:themeColor="text1"/>
        </w:rPr>
        <w:t>Da transformação do xisto, são obtidos os seguintes derivados energéticos: gás de xisto, GLP e óleo combustível. Também é produzida nafta.</w:t>
      </w:r>
    </w:p>
    <w:p w14:paraId="6E26ABB6" w14:textId="77777777" w:rsidR="00627078" w:rsidRPr="00627078" w:rsidRDefault="00627078" w:rsidP="00627078">
      <w:pPr>
        <w:autoSpaceDE w:val="0"/>
        <w:autoSpaceDN w:val="0"/>
        <w:adjustRightInd w:val="0"/>
        <w:jc w:val="both"/>
        <w:rPr>
          <w:rFonts w:ascii="Arial" w:hAnsi="Arial" w:cs="Arial"/>
          <w:color w:val="000000" w:themeColor="text1"/>
        </w:rPr>
      </w:pPr>
    </w:p>
    <w:p w14:paraId="5C965788" w14:textId="77777777" w:rsidR="00627078" w:rsidRPr="00627078" w:rsidRDefault="00627078" w:rsidP="00627078">
      <w:pPr>
        <w:autoSpaceDE w:val="0"/>
        <w:autoSpaceDN w:val="0"/>
        <w:adjustRightInd w:val="0"/>
        <w:jc w:val="both"/>
        <w:rPr>
          <w:rFonts w:ascii="Arial" w:hAnsi="Arial" w:cs="Arial"/>
          <w:color w:val="000000" w:themeColor="text1"/>
        </w:rPr>
      </w:pPr>
      <w:r w:rsidRPr="00627078">
        <w:rPr>
          <w:rFonts w:ascii="Arial" w:hAnsi="Arial" w:cs="Arial"/>
          <w:color w:val="000000" w:themeColor="text1"/>
        </w:rPr>
        <w:t>A produção de gás de xisto, em 2025, somou 36 mil toneladas, registrando alta de 24,6% em relação a 2024. Já o volume de GLP obtido a partir do processamento do xisto apresentou queda de 20,8%, totalizando aproximadamente 11,7 mil m³. O volume de óleo combustível diminuiu 16,3% em relação ao ano anterior, atingindo 217,2 mil m³.</w:t>
      </w:r>
    </w:p>
    <w:p w14:paraId="0EA8E456" w14:textId="77777777" w:rsidR="00627078" w:rsidRPr="00627078" w:rsidRDefault="00627078" w:rsidP="00627078">
      <w:pPr>
        <w:autoSpaceDE w:val="0"/>
        <w:autoSpaceDN w:val="0"/>
        <w:adjustRightInd w:val="0"/>
        <w:jc w:val="both"/>
        <w:rPr>
          <w:rFonts w:ascii="Arial" w:hAnsi="Arial" w:cs="Arial"/>
          <w:color w:val="000000" w:themeColor="text1"/>
        </w:rPr>
      </w:pPr>
    </w:p>
    <w:p w14:paraId="206F71E6" w14:textId="77777777" w:rsidR="00D71E73" w:rsidRDefault="00627078" w:rsidP="00627078">
      <w:pPr>
        <w:autoSpaceDE w:val="0"/>
        <w:autoSpaceDN w:val="0"/>
        <w:adjustRightInd w:val="0"/>
        <w:jc w:val="both"/>
        <w:rPr>
          <w:rFonts w:ascii="Arial" w:hAnsi="Arial" w:cs="Arial"/>
          <w:color w:val="000000" w:themeColor="text1"/>
        </w:rPr>
      </w:pPr>
      <w:r w:rsidRPr="00627078">
        <w:rPr>
          <w:rFonts w:ascii="Arial" w:hAnsi="Arial" w:cs="Arial"/>
          <w:color w:val="000000" w:themeColor="text1"/>
        </w:rPr>
        <w:t>Quanto aos produtos não energéticos, a produção de nafta recuou 10,8%, totalizando 27,5 mil m³. Em 2025, não houve registro de produção de outros derivados não energéticos.</w:t>
      </w:r>
    </w:p>
    <w:p w14:paraId="0AFD7FDF" w14:textId="77777777" w:rsidR="00D71E73" w:rsidRDefault="00D71E73" w:rsidP="00627078">
      <w:pPr>
        <w:autoSpaceDE w:val="0"/>
        <w:autoSpaceDN w:val="0"/>
        <w:adjustRightInd w:val="0"/>
        <w:jc w:val="both"/>
        <w:rPr>
          <w:rFonts w:ascii="Arial" w:hAnsi="Arial" w:cs="Arial"/>
          <w:color w:val="000000" w:themeColor="text1"/>
        </w:rPr>
      </w:pPr>
    </w:p>
    <w:p w14:paraId="173F52F2" w14:textId="38B10A2C" w:rsidR="0041466A" w:rsidRDefault="0041466A" w:rsidP="0041466A">
      <w:pPr>
        <w:autoSpaceDE w:val="0"/>
        <w:autoSpaceDN w:val="0"/>
        <w:adjustRightInd w:val="0"/>
        <w:jc w:val="both"/>
        <w:rPr>
          <w:rFonts w:ascii="Arial" w:hAnsi="Arial" w:cs="Arial"/>
          <w:b/>
          <w:bCs/>
          <w:color w:val="000000"/>
        </w:rPr>
      </w:pPr>
      <w:r w:rsidRPr="00C854C9">
        <w:rPr>
          <w:rFonts w:ascii="Arial" w:hAnsi="Arial" w:cs="Arial"/>
          <w:b/>
          <w:bCs/>
          <w:color w:val="FF0000"/>
        </w:rPr>
        <w:t>Tabela 2.</w:t>
      </w:r>
      <w:r w:rsidR="00186478">
        <w:rPr>
          <w:rFonts w:ascii="Arial" w:hAnsi="Arial" w:cs="Arial"/>
          <w:b/>
          <w:bCs/>
          <w:color w:val="FF0000"/>
        </w:rPr>
        <w:t>53</w:t>
      </w:r>
    </w:p>
    <w:p w14:paraId="50F76C03" w14:textId="77777777" w:rsidR="00B303C4" w:rsidRDefault="00B303C4" w:rsidP="0041466A">
      <w:pPr>
        <w:autoSpaceDE w:val="0"/>
        <w:autoSpaceDN w:val="0"/>
        <w:adjustRightInd w:val="0"/>
        <w:jc w:val="both"/>
        <w:rPr>
          <w:rFonts w:ascii="Arial" w:hAnsi="Arial" w:cs="Arial"/>
          <w:b/>
          <w:bCs/>
          <w:color w:val="000000"/>
        </w:rPr>
      </w:pPr>
    </w:p>
    <w:p w14:paraId="6C4E8EF8" w14:textId="77777777" w:rsidR="002574E3" w:rsidRDefault="002574E3" w:rsidP="0041466A">
      <w:pPr>
        <w:autoSpaceDE w:val="0"/>
        <w:autoSpaceDN w:val="0"/>
        <w:adjustRightInd w:val="0"/>
        <w:jc w:val="both"/>
        <w:rPr>
          <w:rFonts w:ascii="Arial" w:hAnsi="Arial" w:cs="Arial"/>
          <w:b/>
          <w:bCs/>
          <w:color w:val="000000"/>
        </w:rPr>
      </w:pPr>
    </w:p>
    <w:p w14:paraId="735DD6D1" w14:textId="6359EEF6" w:rsidR="0041466A" w:rsidRPr="008369C5" w:rsidRDefault="004555A2" w:rsidP="0041466A">
      <w:pPr>
        <w:autoSpaceDE w:val="0"/>
        <w:autoSpaceDN w:val="0"/>
        <w:adjustRightInd w:val="0"/>
        <w:jc w:val="both"/>
        <w:rPr>
          <w:rFonts w:ascii="Arial" w:hAnsi="Arial" w:cs="Arial"/>
          <w:b/>
          <w:bCs/>
          <w:color w:val="000000"/>
        </w:rPr>
      </w:pPr>
      <w:r>
        <w:rPr>
          <w:rFonts w:ascii="Arial" w:hAnsi="Arial" w:cs="Arial"/>
          <w:b/>
          <w:bCs/>
          <w:color w:val="000000"/>
        </w:rPr>
        <w:t xml:space="preserve">2.4 </w:t>
      </w:r>
      <w:r w:rsidRPr="008369C5">
        <w:rPr>
          <w:rFonts w:ascii="Arial" w:hAnsi="Arial" w:cs="Arial"/>
          <w:b/>
          <w:bCs/>
          <w:color w:val="000000"/>
        </w:rPr>
        <w:t>MOVIMENTAÇÃO DE PETRÓLEO, SEUS DERIVADOS, ETANOL E GÁS NATURAL</w:t>
      </w:r>
    </w:p>
    <w:p w14:paraId="72070603" w14:textId="77777777" w:rsidR="0041466A" w:rsidRPr="008369C5" w:rsidRDefault="0041466A" w:rsidP="0041466A">
      <w:pPr>
        <w:autoSpaceDE w:val="0"/>
        <w:autoSpaceDN w:val="0"/>
        <w:adjustRightInd w:val="0"/>
        <w:jc w:val="both"/>
        <w:rPr>
          <w:rFonts w:ascii="Arial" w:hAnsi="Arial" w:cs="Arial"/>
          <w:b/>
          <w:bCs/>
          <w:color w:val="000000"/>
        </w:rPr>
      </w:pPr>
    </w:p>
    <w:p w14:paraId="127E851F" w14:textId="1CCFB1C3" w:rsidR="0041466A" w:rsidRPr="008369C5" w:rsidRDefault="0041466A" w:rsidP="0041466A">
      <w:pPr>
        <w:autoSpaceDE w:val="0"/>
        <w:autoSpaceDN w:val="0"/>
        <w:adjustRightInd w:val="0"/>
        <w:jc w:val="both"/>
        <w:rPr>
          <w:rFonts w:ascii="Arial" w:hAnsi="Arial" w:cs="Arial"/>
          <w:b/>
          <w:bCs/>
          <w:color w:val="000000"/>
        </w:rPr>
      </w:pPr>
      <w:r w:rsidRPr="008369C5">
        <w:rPr>
          <w:rFonts w:ascii="Arial" w:hAnsi="Arial" w:cs="Arial"/>
          <w:b/>
          <w:bCs/>
          <w:color w:val="000000"/>
        </w:rPr>
        <w:t>2.</w:t>
      </w:r>
      <w:r>
        <w:rPr>
          <w:rFonts w:ascii="Arial" w:hAnsi="Arial" w:cs="Arial"/>
          <w:b/>
          <w:bCs/>
          <w:color w:val="000000"/>
        </w:rPr>
        <w:t>4</w:t>
      </w:r>
      <w:r w:rsidR="004555A2">
        <w:rPr>
          <w:rFonts w:ascii="Arial" w:hAnsi="Arial" w:cs="Arial"/>
          <w:b/>
          <w:bCs/>
          <w:color w:val="000000"/>
        </w:rPr>
        <w:t>.1</w:t>
      </w:r>
      <w:r w:rsidRPr="008369C5">
        <w:rPr>
          <w:rFonts w:ascii="Arial" w:hAnsi="Arial" w:cs="Arial"/>
          <w:b/>
          <w:bCs/>
          <w:color w:val="000000"/>
        </w:rPr>
        <w:t xml:space="preserve"> Terminais</w:t>
      </w:r>
    </w:p>
    <w:p w14:paraId="40F9B29D" w14:textId="77777777" w:rsidR="00D71E73" w:rsidRPr="00D71E73" w:rsidRDefault="00D71E73" w:rsidP="00D71E73">
      <w:pPr>
        <w:pStyle w:val="Corpodetexto3"/>
        <w:rPr>
          <w:sz w:val="20"/>
          <w:szCs w:val="20"/>
        </w:rPr>
      </w:pPr>
    </w:p>
    <w:p w14:paraId="46460F4B" w14:textId="40240D5F" w:rsidR="00D71E73" w:rsidRPr="00D71E73" w:rsidRDefault="00D71E73" w:rsidP="00D71E73">
      <w:pPr>
        <w:pStyle w:val="Corpodetexto3"/>
        <w:rPr>
          <w:sz w:val="20"/>
          <w:szCs w:val="20"/>
        </w:rPr>
      </w:pPr>
      <w:r>
        <w:rPr>
          <w:sz w:val="20"/>
          <w:szCs w:val="20"/>
        </w:rPr>
        <w:t>P</w:t>
      </w:r>
      <w:r w:rsidRPr="00D71E73">
        <w:rPr>
          <w:sz w:val="20"/>
          <w:szCs w:val="20"/>
        </w:rPr>
        <w:t xml:space="preserve">ara viabilizar a movimentação de petróleo, derivados e etanol no território nacional, o Brasil dispunha de 133 terminais autorizados em 2025, sendo 68 terminais aquaviários (com 1.935 tanques) e 65 terminais terrestres (com 695 tanques), totalizando 2.630 tanques. A capacidade nominal de armazenamento era de cerca de 16 milhões de m³, dos quais 5,1 milhões de m³ (32% do total) destinados ao petróleo; 10,5 milhões </w:t>
      </w:r>
      <w:r w:rsidRPr="00D71E73">
        <w:rPr>
          <w:sz w:val="20"/>
          <w:szCs w:val="20"/>
        </w:rPr>
        <w:lastRenderedPageBreak/>
        <w:t>de m³ (65,7% do total) destinados aos derivados (exceto GLP) e ao etanol; e 377,1 mil m³ (2,4% do total) destinados ao GLP.</w:t>
      </w:r>
    </w:p>
    <w:p w14:paraId="08C59D6C" w14:textId="77777777" w:rsidR="00D71E73" w:rsidRPr="00D71E73" w:rsidRDefault="00D71E73" w:rsidP="00D71E73">
      <w:pPr>
        <w:pStyle w:val="Corpodetexto3"/>
        <w:rPr>
          <w:sz w:val="20"/>
          <w:szCs w:val="20"/>
        </w:rPr>
      </w:pPr>
    </w:p>
    <w:p w14:paraId="5772EDFC" w14:textId="61AA7D34" w:rsidR="0041466A" w:rsidRDefault="00D71E73" w:rsidP="00D71E73">
      <w:pPr>
        <w:pStyle w:val="Corpodetexto3"/>
        <w:rPr>
          <w:sz w:val="20"/>
          <w:szCs w:val="20"/>
        </w:rPr>
      </w:pPr>
      <w:r w:rsidRPr="00D71E73">
        <w:rPr>
          <w:sz w:val="20"/>
          <w:szCs w:val="20"/>
        </w:rPr>
        <w:t>Os terminais aquaviários concentraram a maior parte da capacidade nominal de armazenamento (11,4 milhões de m³, 71% do total) e o maior número de tanques autorizados (73,6%</w:t>
      </w:r>
      <w:r w:rsidR="00D168D1">
        <w:rPr>
          <w:sz w:val="20"/>
          <w:szCs w:val="20"/>
        </w:rPr>
        <w:t xml:space="preserve"> do total).</w:t>
      </w:r>
    </w:p>
    <w:p w14:paraId="03C929AC" w14:textId="77777777" w:rsidR="00D168D1" w:rsidRPr="00523BE8" w:rsidRDefault="00D168D1" w:rsidP="00D71E73">
      <w:pPr>
        <w:pStyle w:val="Corpodetexto3"/>
        <w:rPr>
          <w:sz w:val="20"/>
          <w:szCs w:val="20"/>
          <w:highlight w:val="yellow"/>
        </w:rPr>
      </w:pPr>
    </w:p>
    <w:p w14:paraId="56A852A0" w14:textId="3D3F190E" w:rsidR="0041466A" w:rsidRPr="004D1AE1" w:rsidRDefault="0041466A" w:rsidP="0041466A">
      <w:pPr>
        <w:autoSpaceDE w:val="0"/>
        <w:autoSpaceDN w:val="0"/>
        <w:adjustRightInd w:val="0"/>
        <w:jc w:val="both"/>
        <w:rPr>
          <w:rFonts w:ascii="Arial" w:hAnsi="Arial" w:cs="Arial"/>
          <w:b/>
          <w:bCs/>
          <w:color w:val="000000"/>
        </w:rPr>
      </w:pPr>
      <w:r w:rsidRPr="004D1AE1">
        <w:rPr>
          <w:rFonts w:ascii="Arial" w:hAnsi="Arial" w:cs="Arial"/>
          <w:b/>
          <w:bCs/>
          <w:color w:val="FF0000"/>
        </w:rPr>
        <w:t>Tabela 2.</w:t>
      </w:r>
      <w:r w:rsidR="00627078">
        <w:rPr>
          <w:rFonts w:ascii="Arial" w:hAnsi="Arial" w:cs="Arial"/>
          <w:b/>
          <w:bCs/>
          <w:color w:val="FF0000"/>
        </w:rPr>
        <w:t>5</w:t>
      </w:r>
      <w:r w:rsidR="00D71E73">
        <w:rPr>
          <w:rFonts w:ascii="Arial" w:hAnsi="Arial" w:cs="Arial"/>
          <w:b/>
          <w:bCs/>
          <w:color w:val="FF0000"/>
        </w:rPr>
        <w:t>4</w:t>
      </w:r>
    </w:p>
    <w:p w14:paraId="1276A59C" w14:textId="77777777" w:rsidR="0041466A" w:rsidRPr="004D1AE1" w:rsidRDefault="0041466A" w:rsidP="0041466A">
      <w:pPr>
        <w:autoSpaceDE w:val="0"/>
        <w:autoSpaceDN w:val="0"/>
        <w:adjustRightInd w:val="0"/>
        <w:jc w:val="both"/>
        <w:rPr>
          <w:rFonts w:ascii="Arial" w:hAnsi="Arial" w:cs="Arial"/>
          <w:b/>
          <w:bCs/>
          <w:color w:val="000000"/>
        </w:rPr>
      </w:pPr>
    </w:p>
    <w:p w14:paraId="6CBC1135" w14:textId="2CF3F65A" w:rsidR="0041466A" w:rsidRPr="004D1AE1" w:rsidRDefault="0041466A" w:rsidP="0041466A">
      <w:pPr>
        <w:autoSpaceDE w:val="0"/>
        <w:autoSpaceDN w:val="0"/>
        <w:adjustRightInd w:val="0"/>
        <w:jc w:val="both"/>
        <w:rPr>
          <w:rFonts w:ascii="Arial" w:hAnsi="Arial" w:cs="Arial"/>
          <w:b/>
          <w:bCs/>
          <w:color w:val="000000"/>
        </w:rPr>
      </w:pPr>
      <w:r w:rsidRPr="004D1AE1">
        <w:rPr>
          <w:rFonts w:ascii="Arial" w:hAnsi="Arial" w:cs="Arial"/>
          <w:b/>
          <w:bCs/>
          <w:color w:val="000000"/>
        </w:rPr>
        <w:t>2.</w:t>
      </w:r>
      <w:r w:rsidR="004555A2">
        <w:rPr>
          <w:rFonts w:ascii="Arial" w:hAnsi="Arial" w:cs="Arial"/>
          <w:b/>
          <w:bCs/>
          <w:color w:val="000000"/>
        </w:rPr>
        <w:t>4.2</w:t>
      </w:r>
      <w:r w:rsidRPr="004D1AE1">
        <w:rPr>
          <w:rFonts w:ascii="Arial" w:hAnsi="Arial" w:cs="Arial"/>
          <w:b/>
          <w:bCs/>
          <w:color w:val="000000"/>
        </w:rPr>
        <w:t xml:space="preserve"> Dutos </w:t>
      </w:r>
    </w:p>
    <w:p w14:paraId="1A943466" w14:textId="77777777" w:rsidR="00D71E73" w:rsidRPr="00D71E73" w:rsidRDefault="00D71E73" w:rsidP="00D71E73">
      <w:pPr>
        <w:pStyle w:val="Corpodetexto3"/>
        <w:rPr>
          <w:sz w:val="20"/>
          <w:szCs w:val="20"/>
        </w:rPr>
      </w:pPr>
    </w:p>
    <w:p w14:paraId="42AAF403" w14:textId="5A32BC24" w:rsidR="00D71E73" w:rsidRPr="00D71E73" w:rsidRDefault="00807089" w:rsidP="00D71E73">
      <w:pPr>
        <w:pStyle w:val="Corpodetexto3"/>
        <w:rPr>
          <w:sz w:val="20"/>
          <w:szCs w:val="20"/>
        </w:rPr>
      </w:pPr>
      <w:r>
        <w:rPr>
          <w:sz w:val="20"/>
          <w:szCs w:val="20"/>
        </w:rPr>
        <w:t>Em</w:t>
      </w:r>
      <w:r w:rsidR="00D71E73" w:rsidRPr="00D71E73">
        <w:rPr>
          <w:sz w:val="20"/>
          <w:szCs w:val="20"/>
        </w:rPr>
        <w:t xml:space="preserve"> 2025, o Brasil contava com 625 dutos destinados à movimentação de petróleo, derivados, gás natural e etanol, perfazendo 20,5 mil km. Destes, 181 dutos (14,5 mil km) eram destinados ao transporte e 444 (5,9 mil km) à transferência.</w:t>
      </w:r>
    </w:p>
    <w:p w14:paraId="335FF174" w14:textId="77777777" w:rsidR="00D71E73" w:rsidRPr="00D71E73" w:rsidRDefault="00D71E73" w:rsidP="00D71E73">
      <w:pPr>
        <w:pStyle w:val="Corpodetexto3"/>
        <w:rPr>
          <w:sz w:val="20"/>
          <w:szCs w:val="20"/>
        </w:rPr>
      </w:pPr>
    </w:p>
    <w:p w14:paraId="2CC0462B" w14:textId="31FC2372" w:rsidR="001C2803" w:rsidRDefault="00D71E73" w:rsidP="00D71E73">
      <w:pPr>
        <w:pStyle w:val="Corpodetexto3"/>
        <w:rPr>
          <w:sz w:val="20"/>
          <w:szCs w:val="20"/>
        </w:rPr>
      </w:pPr>
      <w:r w:rsidRPr="00D71E73">
        <w:rPr>
          <w:sz w:val="20"/>
          <w:szCs w:val="20"/>
        </w:rPr>
        <w:t xml:space="preserve">Para a movimentação de gás natural, havia 118 dutos, com extensão de 11,8 mil km, enquanto para os derivados </w:t>
      </w:r>
      <w:r w:rsidR="0096607F">
        <w:rPr>
          <w:sz w:val="20"/>
          <w:szCs w:val="20"/>
        </w:rPr>
        <w:t>havia</w:t>
      </w:r>
      <w:r w:rsidR="0096607F" w:rsidRPr="00D71E73">
        <w:rPr>
          <w:sz w:val="20"/>
          <w:szCs w:val="20"/>
        </w:rPr>
        <w:t xml:space="preserve"> </w:t>
      </w:r>
      <w:r w:rsidRPr="00D71E73">
        <w:rPr>
          <w:sz w:val="20"/>
          <w:szCs w:val="20"/>
        </w:rPr>
        <w:t xml:space="preserve">440 dutos, totalizando 5,9 mil km. </w:t>
      </w:r>
    </w:p>
    <w:p w14:paraId="30890D43" w14:textId="77777777" w:rsidR="001C2803" w:rsidRDefault="001C2803" w:rsidP="00D71E73">
      <w:pPr>
        <w:pStyle w:val="Corpodetexto3"/>
        <w:rPr>
          <w:sz w:val="20"/>
          <w:szCs w:val="20"/>
        </w:rPr>
      </w:pPr>
    </w:p>
    <w:p w14:paraId="26AC3AE7" w14:textId="2B4927CF" w:rsidR="00D71E73" w:rsidRDefault="00D71E73" w:rsidP="00D71E73">
      <w:pPr>
        <w:pStyle w:val="Corpodetexto3"/>
        <w:rPr>
          <w:sz w:val="20"/>
          <w:szCs w:val="20"/>
        </w:rPr>
      </w:pPr>
      <w:r w:rsidRPr="00D71E73">
        <w:rPr>
          <w:sz w:val="20"/>
          <w:szCs w:val="20"/>
        </w:rPr>
        <w:t>Havia 31 dutos – totalizando 2,3 mil km – que se destinavam à movimentação de petróleo. E os 491,9 km restantes, compostos por outros 36 dutos, eram reservados à movimentação de etanol.</w:t>
      </w:r>
    </w:p>
    <w:p w14:paraId="4EEA427F" w14:textId="77777777" w:rsidR="00D71E73" w:rsidRPr="004D1AE1" w:rsidRDefault="00D71E73" w:rsidP="0041466A">
      <w:pPr>
        <w:pStyle w:val="Corpodetexto3"/>
        <w:rPr>
          <w:sz w:val="20"/>
          <w:szCs w:val="20"/>
        </w:rPr>
      </w:pPr>
    </w:p>
    <w:p w14:paraId="4E59CCEB" w14:textId="77777777" w:rsidR="0041466A" w:rsidRPr="00C854C9" w:rsidRDefault="0041466A" w:rsidP="0041466A">
      <w:pPr>
        <w:autoSpaceDE w:val="0"/>
        <w:autoSpaceDN w:val="0"/>
        <w:adjustRightInd w:val="0"/>
        <w:jc w:val="both"/>
        <w:rPr>
          <w:rFonts w:ascii="Arial" w:hAnsi="Arial" w:cs="Arial"/>
          <w:color w:val="000000"/>
        </w:rPr>
      </w:pPr>
      <w:r w:rsidRPr="004D1AE1">
        <w:rPr>
          <w:rFonts w:ascii="Arial" w:hAnsi="Arial" w:cs="Arial"/>
          <w:color w:val="000000"/>
        </w:rPr>
        <w:t>Os traçados dos dutos encontram-se ilustrados nos Cartogramas 2.2 e 2.3.</w:t>
      </w:r>
    </w:p>
    <w:p w14:paraId="66174137" w14:textId="77777777" w:rsidR="0041466A" w:rsidRPr="00C854C9" w:rsidRDefault="0041466A" w:rsidP="0041466A">
      <w:pPr>
        <w:autoSpaceDE w:val="0"/>
        <w:autoSpaceDN w:val="0"/>
        <w:adjustRightInd w:val="0"/>
        <w:jc w:val="both"/>
        <w:rPr>
          <w:rFonts w:ascii="Arial" w:hAnsi="Arial" w:cs="Arial"/>
          <w:color w:val="000000"/>
        </w:rPr>
      </w:pPr>
    </w:p>
    <w:p w14:paraId="252DBFC3" w14:textId="5CEF20C5" w:rsidR="0041466A"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Tabela 2</w:t>
      </w:r>
      <w:r>
        <w:rPr>
          <w:rFonts w:ascii="Arial" w:hAnsi="Arial" w:cs="Arial"/>
          <w:b/>
          <w:bCs/>
          <w:color w:val="FF0000"/>
        </w:rPr>
        <w:t>.</w:t>
      </w:r>
      <w:r w:rsidR="00627078">
        <w:rPr>
          <w:rFonts w:ascii="Arial" w:hAnsi="Arial" w:cs="Arial"/>
          <w:b/>
          <w:bCs/>
          <w:color w:val="FF0000"/>
        </w:rPr>
        <w:t>5</w:t>
      </w:r>
      <w:r w:rsidR="00D71E73">
        <w:rPr>
          <w:rFonts w:ascii="Arial" w:hAnsi="Arial" w:cs="Arial"/>
          <w:b/>
          <w:bCs/>
          <w:color w:val="FF0000"/>
        </w:rPr>
        <w:t>5</w:t>
      </w:r>
    </w:p>
    <w:p w14:paraId="67225B14" w14:textId="77777777" w:rsidR="0041466A" w:rsidRPr="00C854C9" w:rsidRDefault="0041466A" w:rsidP="0041466A">
      <w:pPr>
        <w:autoSpaceDE w:val="0"/>
        <w:autoSpaceDN w:val="0"/>
        <w:adjustRightInd w:val="0"/>
        <w:jc w:val="both"/>
        <w:rPr>
          <w:rFonts w:ascii="Arial" w:hAnsi="Arial" w:cs="Arial"/>
          <w:b/>
          <w:bCs/>
        </w:rPr>
      </w:pPr>
      <w:r w:rsidRPr="00C854C9">
        <w:rPr>
          <w:rFonts w:ascii="Arial" w:hAnsi="Arial" w:cs="Arial"/>
          <w:b/>
          <w:bCs/>
        </w:rPr>
        <w:t xml:space="preserve"> </w:t>
      </w:r>
    </w:p>
    <w:p w14:paraId="2C0CF3CC" w14:textId="77777777" w:rsidR="0041466A" w:rsidRPr="00C854C9" w:rsidRDefault="0041466A" w:rsidP="0041466A">
      <w:pPr>
        <w:autoSpaceDE w:val="0"/>
        <w:autoSpaceDN w:val="0"/>
        <w:adjustRightInd w:val="0"/>
        <w:jc w:val="both"/>
        <w:rPr>
          <w:rFonts w:ascii="Arial" w:hAnsi="Arial" w:cs="Arial"/>
          <w:b/>
          <w:bCs/>
          <w:color w:val="FF0000"/>
        </w:rPr>
      </w:pPr>
      <w:r w:rsidRPr="00C854C9">
        <w:rPr>
          <w:rFonts w:ascii="Arial" w:hAnsi="Arial" w:cs="Arial"/>
          <w:b/>
          <w:bCs/>
          <w:color w:val="FF0000"/>
        </w:rPr>
        <w:t>Cartograma 2.2</w:t>
      </w:r>
    </w:p>
    <w:p w14:paraId="59604004" w14:textId="739BDB75" w:rsidR="0041466A" w:rsidRPr="00360370" w:rsidRDefault="0041466A" w:rsidP="0041466A">
      <w:pPr>
        <w:autoSpaceDE w:val="0"/>
        <w:autoSpaceDN w:val="0"/>
        <w:adjustRightInd w:val="0"/>
        <w:jc w:val="both"/>
        <w:rPr>
          <w:rFonts w:ascii="Arial" w:hAnsi="Arial" w:cs="Arial"/>
          <w:bCs/>
          <w:highlight w:val="yellow"/>
        </w:rPr>
      </w:pPr>
      <w:r w:rsidRPr="00C854C9">
        <w:rPr>
          <w:rFonts w:ascii="Arial" w:hAnsi="Arial" w:cs="Arial"/>
          <w:b/>
          <w:bCs/>
          <w:color w:val="FF0000"/>
        </w:rPr>
        <w:t>Cartograma 2.3</w:t>
      </w:r>
    </w:p>
    <w:p w14:paraId="5C84BBC2" w14:textId="77777777" w:rsidR="0041466A" w:rsidRPr="00CB2276" w:rsidRDefault="0041466A" w:rsidP="0041466A">
      <w:pPr>
        <w:autoSpaceDE w:val="0"/>
        <w:autoSpaceDN w:val="0"/>
        <w:adjustRightInd w:val="0"/>
        <w:jc w:val="both"/>
        <w:rPr>
          <w:rFonts w:ascii="Arial" w:hAnsi="Arial" w:cs="Arial"/>
          <w:bCs/>
        </w:rPr>
      </w:pPr>
    </w:p>
    <w:p w14:paraId="6B23E74D" w14:textId="460486CB" w:rsidR="0041466A" w:rsidRPr="00380D92" w:rsidRDefault="004555A2" w:rsidP="0041466A">
      <w:pPr>
        <w:autoSpaceDE w:val="0"/>
        <w:autoSpaceDN w:val="0"/>
        <w:adjustRightInd w:val="0"/>
        <w:jc w:val="both"/>
        <w:rPr>
          <w:rFonts w:ascii="Arial" w:hAnsi="Arial" w:cs="Arial"/>
          <w:b/>
          <w:bCs/>
          <w:color w:val="000000"/>
        </w:rPr>
      </w:pPr>
      <w:r>
        <w:rPr>
          <w:rFonts w:ascii="Arial" w:hAnsi="Arial" w:cs="Arial"/>
          <w:b/>
          <w:bCs/>
          <w:color w:val="000000"/>
        </w:rPr>
        <w:t xml:space="preserve">2.5 </w:t>
      </w:r>
      <w:r w:rsidRPr="00380D92">
        <w:rPr>
          <w:rFonts w:ascii="Arial" w:hAnsi="Arial" w:cs="Arial"/>
          <w:b/>
          <w:bCs/>
          <w:color w:val="000000"/>
        </w:rPr>
        <w:t>COMÉRCIO EXTERIOR</w:t>
      </w:r>
    </w:p>
    <w:p w14:paraId="5B6D6F67" w14:textId="77777777" w:rsidR="0041466A" w:rsidRPr="00380D92" w:rsidRDefault="0041466A" w:rsidP="0041466A">
      <w:pPr>
        <w:autoSpaceDE w:val="0"/>
        <w:autoSpaceDN w:val="0"/>
        <w:adjustRightInd w:val="0"/>
        <w:jc w:val="both"/>
        <w:rPr>
          <w:rFonts w:ascii="Arial" w:hAnsi="Arial" w:cs="Arial"/>
          <w:b/>
          <w:bCs/>
          <w:color w:val="000000"/>
        </w:rPr>
      </w:pPr>
    </w:p>
    <w:p w14:paraId="1057BB21" w14:textId="1047C8ED" w:rsidR="0041466A" w:rsidRDefault="0041466A" w:rsidP="0041466A">
      <w:pPr>
        <w:autoSpaceDE w:val="0"/>
        <w:autoSpaceDN w:val="0"/>
        <w:adjustRightInd w:val="0"/>
        <w:jc w:val="both"/>
        <w:rPr>
          <w:rFonts w:ascii="Arial" w:hAnsi="Arial" w:cs="Arial"/>
          <w:b/>
          <w:bCs/>
          <w:color w:val="000000"/>
        </w:rPr>
      </w:pPr>
      <w:r w:rsidRPr="00380D92">
        <w:rPr>
          <w:rFonts w:ascii="Arial" w:hAnsi="Arial" w:cs="Arial"/>
          <w:b/>
          <w:bCs/>
          <w:color w:val="000000"/>
        </w:rPr>
        <w:t>2.</w:t>
      </w:r>
      <w:r w:rsidR="004555A2">
        <w:rPr>
          <w:rFonts w:ascii="Arial" w:hAnsi="Arial" w:cs="Arial"/>
          <w:b/>
          <w:bCs/>
          <w:color w:val="000000"/>
        </w:rPr>
        <w:t>5.</w:t>
      </w:r>
      <w:r w:rsidRPr="00380D92">
        <w:rPr>
          <w:rFonts w:ascii="Arial" w:hAnsi="Arial" w:cs="Arial"/>
          <w:b/>
          <w:bCs/>
          <w:color w:val="000000"/>
        </w:rPr>
        <w:t xml:space="preserve">1 </w:t>
      </w:r>
      <w:r w:rsidR="004555A2">
        <w:rPr>
          <w:rFonts w:ascii="Arial" w:hAnsi="Arial" w:cs="Arial"/>
          <w:b/>
          <w:bCs/>
          <w:color w:val="000000"/>
        </w:rPr>
        <w:t>I</w:t>
      </w:r>
      <w:r w:rsidR="004555A2" w:rsidRPr="00380D92">
        <w:rPr>
          <w:rFonts w:ascii="Arial" w:hAnsi="Arial" w:cs="Arial"/>
          <w:b/>
          <w:bCs/>
          <w:color w:val="000000"/>
        </w:rPr>
        <w:t>mportação e exportação de petróleo</w:t>
      </w:r>
    </w:p>
    <w:p w14:paraId="28C385A9" w14:textId="77777777" w:rsidR="008B6699" w:rsidRDefault="008B6699" w:rsidP="0041466A">
      <w:pPr>
        <w:autoSpaceDE w:val="0"/>
        <w:autoSpaceDN w:val="0"/>
        <w:adjustRightInd w:val="0"/>
        <w:jc w:val="both"/>
        <w:rPr>
          <w:rFonts w:ascii="Arial" w:hAnsi="Arial" w:cs="Arial"/>
          <w:b/>
          <w:bCs/>
          <w:color w:val="000000"/>
        </w:rPr>
      </w:pPr>
    </w:p>
    <w:p w14:paraId="7FB55A26" w14:textId="3A085C5E" w:rsidR="008B6699" w:rsidRPr="008B6699" w:rsidRDefault="008B6699" w:rsidP="008B6699">
      <w:pPr>
        <w:autoSpaceDE w:val="0"/>
        <w:autoSpaceDN w:val="0"/>
        <w:adjustRightInd w:val="0"/>
        <w:jc w:val="both"/>
        <w:rPr>
          <w:rFonts w:ascii="Arial" w:hAnsi="Arial" w:cs="Arial"/>
          <w:color w:val="000000"/>
        </w:rPr>
      </w:pPr>
      <w:r w:rsidRPr="008B6699">
        <w:rPr>
          <w:rFonts w:ascii="Arial" w:hAnsi="Arial" w:cs="Arial"/>
          <w:color w:val="000000"/>
        </w:rPr>
        <w:t xml:space="preserve">Em 2025, </w:t>
      </w:r>
      <w:r w:rsidR="00717150">
        <w:rPr>
          <w:rFonts w:ascii="Arial" w:hAnsi="Arial" w:cs="Arial"/>
          <w:color w:val="000000"/>
        </w:rPr>
        <w:t>a importação de petróleo n</w:t>
      </w:r>
      <w:r w:rsidRPr="008B6699">
        <w:rPr>
          <w:rFonts w:ascii="Arial" w:hAnsi="Arial" w:cs="Arial"/>
          <w:color w:val="000000"/>
        </w:rPr>
        <w:t xml:space="preserve">o Brasil </w:t>
      </w:r>
      <w:r w:rsidR="00B77B79">
        <w:rPr>
          <w:rFonts w:ascii="Arial" w:hAnsi="Arial" w:cs="Arial"/>
          <w:color w:val="000000"/>
        </w:rPr>
        <w:t>diminuiu</w:t>
      </w:r>
      <w:r w:rsidRPr="008B6699">
        <w:rPr>
          <w:rFonts w:ascii="Arial" w:hAnsi="Arial" w:cs="Arial"/>
          <w:color w:val="000000"/>
        </w:rPr>
        <w:t xml:space="preserve"> 12,9</w:t>
      </w:r>
      <w:r w:rsidR="00B77B79">
        <w:rPr>
          <w:rFonts w:ascii="Arial" w:hAnsi="Arial" w:cs="Arial"/>
          <w:color w:val="000000"/>
        </w:rPr>
        <w:t>%</w:t>
      </w:r>
      <w:r w:rsidR="002574E3">
        <w:rPr>
          <w:rFonts w:ascii="Arial" w:hAnsi="Arial" w:cs="Arial"/>
          <w:color w:val="000000"/>
        </w:rPr>
        <w:t xml:space="preserve"> </w:t>
      </w:r>
      <w:r w:rsidRPr="008B6699">
        <w:rPr>
          <w:rFonts w:ascii="Arial" w:hAnsi="Arial" w:cs="Arial"/>
          <w:color w:val="000000"/>
        </w:rPr>
        <w:t>atingindo 89,9 milhões de barris</w:t>
      </w:r>
      <w:r w:rsidR="00B77B79">
        <w:rPr>
          <w:rFonts w:ascii="Arial" w:hAnsi="Arial" w:cs="Arial"/>
          <w:color w:val="000000"/>
        </w:rPr>
        <w:t>.</w:t>
      </w:r>
    </w:p>
    <w:p w14:paraId="6B506D5F" w14:textId="77777777" w:rsidR="008B6699" w:rsidRPr="008B6699" w:rsidRDefault="008B6699" w:rsidP="008B6699">
      <w:pPr>
        <w:autoSpaceDE w:val="0"/>
        <w:autoSpaceDN w:val="0"/>
        <w:adjustRightInd w:val="0"/>
        <w:jc w:val="both"/>
        <w:rPr>
          <w:rFonts w:ascii="Arial" w:hAnsi="Arial" w:cs="Arial"/>
          <w:color w:val="000000"/>
        </w:rPr>
      </w:pPr>
    </w:p>
    <w:p w14:paraId="0780C23D" w14:textId="2DC0C310" w:rsidR="008B6699" w:rsidRPr="008B6699" w:rsidRDefault="008B6699" w:rsidP="008B6699">
      <w:pPr>
        <w:autoSpaceDE w:val="0"/>
        <w:autoSpaceDN w:val="0"/>
        <w:adjustRightInd w:val="0"/>
        <w:jc w:val="both"/>
        <w:rPr>
          <w:rFonts w:ascii="Arial" w:hAnsi="Arial" w:cs="Arial"/>
          <w:color w:val="000000"/>
        </w:rPr>
      </w:pPr>
      <w:r w:rsidRPr="008B6699">
        <w:rPr>
          <w:rFonts w:ascii="Arial" w:hAnsi="Arial" w:cs="Arial"/>
          <w:color w:val="000000"/>
        </w:rPr>
        <w:t xml:space="preserve">As regiões </w:t>
      </w:r>
      <w:r w:rsidR="00A760DF">
        <w:rPr>
          <w:rFonts w:ascii="Arial" w:hAnsi="Arial" w:cs="Arial"/>
          <w:color w:val="000000"/>
        </w:rPr>
        <w:t xml:space="preserve">das </w:t>
      </w:r>
      <w:r w:rsidR="00A760DF" w:rsidRPr="008B6699">
        <w:rPr>
          <w:rFonts w:ascii="Arial" w:hAnsi="Arial" w:cs="Arial"/>
          <w:color w:val="000000"/>
        </w:rPr>
        <w:t>qu</w:t>
      </w:r>
      <w:r w:rsidR="00A760DF">
        <w:rPr>
          <w:rFonts w:ascii="Arial" w:hAnsi="Arial" w:cs="Arial"/>
          <w:color w:val="000000"/>
        </w:rPr>
        <w:t xml:space="preserve">ais </w:t>
      </w:r>
      <w:r w:rsidRPr="008B6699">
        <w:rPr>
          <w:rFonts w:ascii="Arial" w:hAnsi="Arial" w:cs="Arial"/>
          <w:color w:val="000000"/>
        </w:rPr>
        <w:t xml:space="preserve">mais </w:t>
      </w:r>
      <w:r w:rsidR="00A760DF">
        <w:rPr>
          <w:rFonts w:ascii="Arial" w:hAnsi="Arial" w:cs="Arial"/>
          <w:color w:val="000000"/>
        </w:rPr>
        <w:t>importamos</w:t>
      </w:r>
      <w:r w:rsidRPr="008B6699">
        <w:rPr>
          <w:rFonts w:ascii="Arial" w:hAnsi="Arial" w:cs="Arial"/>
          <w:color w:val="000000"/>
        </w:rPr>
        <w:t xml:space="preserve"> petróleo foram a África e o Oriente Médio: 27,2 milhões de barris (30,2% do total; queda de 34,1%) e 25,5 milhões de barris (28,3% do total; alta de 7,9%), respectivamente. A América do Norte ocupou a terceira posição no ranking, com 23,6 milhões de barris (26,3% do total; alta de 41,6%). Já </w:t>
      </w:r>
      <w:r w:rsidR="009424BE">
        <w:rPr>
          <w:rFonts w:ascii="Arial" w:hAnsi="Arial" w:cs="Arial"/>
          <w:color w:val="000000"/>
        </w:rPr>
        <w:t>d</w:t>
      </w:r>
      <w:r w:rsidRPr="008B6699">
        <w:rPr>
          <w:rFonts w:ascii="Arial" w:hAnsi="Arial" w:cs="Arial"/>
          <w:color w:val="000000"/>
        </w:rPr>
        <w:t xml:space="preserve">as Américas Central e do Sul </w:t>
      </w:r>
      <w:r w:rsidR="009424BE">
        <w:rPr>
          <w:rFonts w:ascii="Arial" w:hAnsi="Arial" w:cs="Arial"/>
          <w:color w:val="000000"/>
        </w:rPr>
        <w:t>importamos</w:t>
      </w:r>
      <w:r w:rsidR="009424BE" w:rsidRPr="008B6699">
        <w:rPr>
          <w:rFonts w:ascii="Arial" w:hAnsi="Arial" w:cs="Arial"/>
          <w:color w:val="000000"/>
        </w:rPr>
        <w:t xml:space="preserve"> </w:t>
      </w:r>
      <w:r w:rsidRPr="008B6699">
        <w:rPr>
          <w:rFonts w:ascii="Arial" w:hAnsi="Arial" w:cs="Arial"/>
          <w:color w:val="000000"/>
        </w:rPr>
        <w:t>12 milhões de barris</w:t>
      </w:r>
      <w:r w:rsidR="001D4101">
        <w:rPr>
          <w:rFonts w:ascii="Arial" w:hAnsi="Arial" w:cs="Arial"/>
          <w:color w:val="000000"/>
        </w:rPr>
        <w:t xml:space="preserve"> para o Brasil</w:t>
      </w:r>
      <w:r w:rsidRPr="008B6699">
        <w:rPr>
          <w:rFonts w:ascii="Arial" w:hAnsi="Arial" w:cs="Arial"/>
          <w:color w:val="000000"/>
        </w:rPr>
        <w:t xml:space="preserve"> (13,3% do total; queda de 31,5%).</w:t>
      </w:r>
    </w:p>
    <w:p w14:paraId="71A840D9" w14:textId="77777777" w:rsidR="008B6699" w:rsidRPr="008B6699" w:rsidRDefault="008B6699" w:rsidP="008B6699">
      <w:pPr>
        <w:autoSpaceDE w:val="0"/>
        <w:autoSpaceDN w:val="0"/>
        <w:adjustRightInd w:val="0"/>
        <w:jc w:val="both"/>
        <w:rPr>
          <w:rFonts w:ascii="Arial" w:hAnsi="Arial" w:cs="Arial"/>
          <w:color w:val="000000"/>
        </w:rPr>
      </w:pPr>
    </w:p>
    <w:p w14:paraId="5ECCC8DB" w14:textId="77777777" w:rsidR="008B6699" w:rsidRPr="008B6699" w:rsidRDefault="008B6699" w:rsidP="008B6699">
      <w:pPr>
        <w:autoSpaceDE w:val="0"/>
        <w:autoSpaceDN w:val="0"/>
        <w:adjustRightInd w:val="0"/>
        <w:jc w:val="both"/>
        <w:rPr>
          <w:rFonts w:ascii="Arial" w:hAnsi="Arial" w:cs="Arial"/>
          <w:color w:val="000000"/>
        </w:rPr>
      </w:pPr>
      <w:r w:rsidRPr="008B6699">
        <w:rPr>
          <w:rFonts w:ascii="Arial" w:hAnsi="Arial" w:cs="Arial"/>
          <w:color w:val="000000"/>
        </w:rPr>
        <w:t>Os países dos quais o Brasil mais importou petróleo foram a Arábia Saudita e os Estados Unidos. Da Arábia Saudita foi importado um volume de 25,5 milhões de barris, o que equivaleu a 28,3% do total, com crescimento de 7,9% em relação a 2024. Dos Estados Unidos, importamos 23,6 milhões de barris de petróleo, o equivalente a 26,3% do total, com alta de 41,6%.</w:t>
      </w:r>
    </w:p>
    <w:p w14:paraId="7142557E" w14:textId="77777777" w:rsidR="008B6699" w:rsidRPr="008B6699" w:rsidRDefault="008B6699" w:rsidP="008B6699">
      <w:pPr>
        <w:autoSpaceDE w:val="0"/>
        <w:autoSpaceDN w:val="0"/>
        <w:adjustRightInd w:val="0"/>
        <w:jc w:val="both"/>
        <w:rPr>
          <w:rFonts w:ascii="Arial" w:hAnsi="Arial" w:cs="Arial"/>
          <w:color w:val="000000"/>
        </w:rPr>
      </w:pPr>
    </w:p>
    <w:p w14:paraId="18D6BE1C" w14:textId="77777777" w:rsidR="008B6699" w:rsidRPr="008B6699" w:rsidRDefault="008B6699" w:rsidP="008B6699">
      <w:pPr>
        <w:autoSpaceDE w:val="0"/>
        <w:autoSpaceDN w:val="0"/>
        <w:adjustRightInd w:val="0"/>
        <w:jc w:val="both"/>
        <w:rPr>
          <w:rFonts w:ascii="Arial" w:hAnsi="Arial" w:cs="Arial"/>
          <w:color w:val="000000"/>
        </w:rPr>
      </w:pPr>
      <w:r w:rsidRPr="008B6699">
        <w:rPr>
          <w:rFonts w:ascii="Arial" w:hAnsi="Arial" w:cs="Arial"/>
          <w:color w:val="000000"/>
        </w:rPr>
        <w:t>O dispêndio com as importações de petróleo diminuiu 23,9%, totalizando aproximadamente US$ 6,6 bilhões em 2025. Parte dessa redução se deveu à queda no preço médio do barril importado, que atingiu US$ 73,56, valor 12,7% menor que o registrado em 2024.</w:t>
      </w:r>
    </w:p>
    <w:p w14:paraId="7DBFE4C5" w14:textId="77777777" w:rsidR="0041466A" w:rsidRDefault="0041466A" w:rsidP="0041466A">
      <w:pPr>
        <w:pStyle w:val="Corpodetexto"/>
        <w:autoSpaceDE w:val="0"/>
        <w:autoSpaceDN w:val="0"/>
        <w:adjustRightInd w:val="0"/>
        <w:spacing w:line="240" w:lineRule="auto"/>
        <w:rPr>
          <w:rFonts w:cs="Arial"/>
          <w:sz w:val="20"/>
        </w:rPr>
      </w:pPr>
    </w:p>
    <w:p w14:paraId="5A9D76A0" w14:textId="3D5DECAD" w:rsidR="00D71E73" w:rsidRDefault="00D71E73" w:rsidP="00D71E73">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56</w:t>
      </w:r>
    </w:p>
    <w:p w14:paraId="65DCAFDD" w14:textId="72838697" w:rsidR="00D71E73" w:rsidRPr="00380D92" w:rsidRDefault="00D71E73" w:rsidP="00D71E73">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57</w:t>
      </w:r>
    </w:p>
    <w:p w14:paraId="49730DAE" w14:textId="101F15FC"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5</w:t>
      </w:r>
      <w:r w:rsidR="00D71E73">
        <w:rPr>
          <w:rFonts w:ascii="Arial" w:hAnsi="Arial" w:cs="Arial"/>
          <w:b/>
          <w:bCs/>
          <w:color w:val="FF0000"/>
        </w:rPr>
        <w:t>8</w:t>
      </w:r>
    </w:p>
    <w:p w14:paraId="5DE0A1A1" w14:textId="77777777" w:rsidR="0041466A" w:rsidRPr="00380D92" w:rsidRDefault="0041466A" w:rsidP="0041466A">
      <w:pPr>
        <w:autoSpaceDE w:val="0"/>
        <w:autoSpaceDN w:val="0"/>
        <w:adjustRightInd w:val="0"/>
        <w:jc w:val="both"/>
        <w:rPr>
          <w:rFonts w:ascii="Arial" w:hAnsi="Arial" w:cs="Arial"/>
          <w:b/>
          <w:bCs/>
        </w:rPr>
      </w:pPr>
    </w:p>
    <w:p w14:paraId="0DA57A07"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2.20</w:t>
      </w:r>
    </w:p>
    <w:p w14:paraId="20471E89"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2.21</w:t>
      </w:r>
    </w:p>
    <w:p w14:paraId="693FB2D1" w14:textId="77777777" w:rsidR="000E3DB6" w:rsidRPr="000E3DB6" w:rsidRDefault="000E3DB6" w:rsidP="000E3DB6">
      <w:pPr>
        <w:autoSpaceDE w:val="0"/>
        <w:autoSpaceDN w:val="0"/>
        <w:adjustRightInd w:val="0"/>
        <w:jc w:val="both"/>
        <w:rPr>
          <w:rFonts w:ascii="Arial" w:hAnsi="Arial" w:cs="Arial"/>
          <w:color w:val="000000" w:themeColor="text1"/>
        </w:rPr>
      </w:pPr>
    </w:p>
    <w:p w14:paraId="4BBBDAB6" w14:textId="672783A4" w:rsidR="000E3DB6" w:rsidRPr="000E3DB6" w:rsidRDefault="000E3DB6" w:rsidP="000E3DB6">
      <w:pPr>
        <w:autoSpaceDE w:val="0"/>
        <w:autoSpaceDN w:val="0"/>
        <w:adjustRightInd w:val="0"/>
        <w:jc w:val="both"/>
        <w:rPr>
          <w:rFonts w:ascii="Arial" w:hAnsi="Arial" w:cs="Arial"/>
          <w:color w:val="000000" w:themeColor="text1"/>
        </w:rPr>
      </w:pPr>
      <w:r w:rsidRPr="000E3DB6">
        <w:rPr>
          <w:rFonts w:ascii="Arial" w:hAnsi="Arial" w:cs="Arial"/>
          <w:color w:val="000000" w:themeColor="text1"/>
        </w:rPr>
        <w:t xml:space="preserve">Em 2025, as exportações brasileiras de petróleo aumentaram 10,1%, alcançando 701,8 milhões de barris. A receita gerada foi 1% menor que em 2024, fixando-se em US$ 44,5 bilhões, </w:t>
      </w:r>
      <w:r w:rsidR="00410687">
        <w:rPr>
          <w:rFonts w:ascii="Arial" w:hAnsi="Arial" w:cs="Arial"/>
          <w:color w:val="000000" w:themeColor="text1"/>
        </w:rPr>
        <w:t>devido à baixa no</w:t>
      </w:r>
      <w:r w:rsidRPr="000E3DB6">
        <w:rPr>
          <w:rFonts w:ascii="Arial" w:hAnsi="Arial" w:cs="Arial"/>
          <w:color w:val="000000" w:themeColor="text1"/>
        </w:rPr>
        <w:t xml:space="preserve"> preço médio do barril</w:t>
      </w:r>
      <w:r w:rsidR="0046707E">
        <w:rPr>
          <w:rFonts w:ascii="Arial" w:hAnsi="Arial" w:cs="Arial"/>
          <w:color w:val="000000" w:themeColor="text1"/>
        </w:rPr>
        <w:t xml:space="preserve"> de petróleo, que</w:t>
      </w:r>
      <w:r w:rsidRPr="000E3DB6">
        <w:rPr>
          <w:rFonts w:ascii="Arial" w:hAnsi="Arial" w:cs="Arial"/>
          <w:color w:val="000000" w:themeColor="text1"/>
        </w:rPr>
        <w:t xml:space="preserve"> passou de US$ 70,55 para US$ 63,46.</w:t>
      </w:r>
    </w:p>
    <w:p w14:paraId="00C24958" w14:textId="77777777" w:rsidR="000E3DB6" w:rsidRPr="000E3DB6" w:rsidRDefault="000E3DB6" w:rsidP="000E3DB6">
      <w:pPr>
        <w:autoSpaceDE w:val="0"/>
        <w:autoSpaceDN w:val="0"/>
        <w:adjustRightInd w:val="0"/>
        <w:jc w:val="both"/>
        <w:rPr>
          <w:rFonts w:ascii="Arial" w:hAnsi="Arial" w:cs="Arial"/>
          <w:color w:val="000000" w:themeColor="text1"/>
        </w:rPr>
      </w:pPr>
    </w:p>
    <w:p w14:paraId="09C10462" w14:textId="0937FB5E" w:rsidR="00F145FE" w:rsidRDefault="000E3DB6" w:rsidP="000E3DB6">
      <w:pPr>
        <w:autoSpaceDE w:val="0"/>
        <w:autoSpaceDN w:val="0"/>
        <w:adjustRightInd w:val="0"/>
        <w:jc w:val="both"/>
        <w:rPr>
          <w:rFonts w:ascii="Arial" w:hAnsi="Arial" w:cs="Arial"/>
          <w:color w:val="000000" w:themeColor="text1"/>
        </w:rPr>
      </w:pPr>
      <w:r w:rsidRPr="000E3DB6">
        <w:rPr>
          <w:rFonts w:ascii="Arial" w:hAnsi="Arial" w:cs="Arial"/>
          <w:color w:val="000000" w:themeColor="text1"/>
        </w:rPr>
        <w:t xml:space="preserve">O principal destino das exportações brasileiras de petróleo em 2025 foi a região Ásia-Pacífico, com 422,2 milhões de barris (60,2% do volume total), </w:t>
      </w:r>
      <w:r w:rsidR="00EF2372">
        <w:rPr>
          <w:rFonts w:ascii="Arial" w:hAnsi="Arial" w:cs="Arial"/>
          <w:color w:val="000000" w:themeColor="text1"/>
        </w:rPr>
        <w:t>uma</w:t>
      </w:r>
      <w:r w:rsidR="00EF2372" w:rsidRPr="000E3DB6">
        <w:rPr>
          <w:rFonts w:ascii="Arial" w:hAnsi="Arial" w:cs="Arial"/>
          <w:color w:val="000000" w:themeColor="text1"/>
        </w:rPr>
        <w:t xml:space="preserve"> </w:t>
      </w:r>
      <w:r w:rsidRPr="000E3DB6">
        <w:rPr>
          <w:rFonts w:ascii="Arial" w:hAnsi="Arial" w:cs="Arial"/>
          <w:color w:val="000000" w:themeColor="text1"/>
        </w:rPr>
        <w:t xml:space="preserve">alta de 18% em comparação a 2024. Em seguida, veio a </w:t>
      </w:r>
      <w:r w:rsidRPr="000E3DB6">
        <w:rPr>
          <w:rFonts w:ascii="Arial" w:hAnsi="Arial" w:cs="Arial"/>
          <w:color w:val="000000" w:themeColor="text1"/>
        </w:rPr>
        <w:lastRenderedPageBreak/>
        <w:t>Europa, com 157,9 milhões de barris de petróleo (22,5% do volume total</w:t>
      </w:r>
      <w:r w:rsidR="00EF2372">
        <w:rPr>
          <w:rFonts w:ascii="Arial" w:hAnsi="Arial" w:cs="Arial"/>
          <w:color w:val="000000" w:themeColor="text1"/>
        </w:rPr>
        <w:t xml:space="preserve"> exportado</w:t>
      </w:r>
      <w:r w:rsidRPr="000E3DB6">
        <w:rPr>
          <w:rFonts w:ascii="Arial" w:hAnsi="Arial" w:cs="Arial"/>
          <w:color w:val="000000" w:themeColor="text1"/>
        </w:rPr>
        <w:t xml:space="preserve">), </w:t>
      </w:r>
      <w:r w:rsidR="00F145FE">
        <w:rPr>
          <w:rFonts w:ascii="Arial" w:hAnsi="Arial" w:cs="Arial"/>
          <w:color w:val="000000" w:themeColor="text1"/>
        </w:rPr>
        <w:t>r aumento</w:t>
      </w:r>
      <w:r w:rsidRPr="000E3DB6">
        <w:rPr>
          <w:rFonts w:ascii="Arial" w:hAnsi="Arial" w:cs="Arial"/>
          <w:color w:val="000000" w:themeColor="text1"/>
        </w:rPr>
        <w:t xml:space="preserve"> de 1,2% em relação a 2024.</w:t>
      </w:r>
    </w:p>
    <w:p w14:paraId="190E1D4F" w14:textId="77777777" w:rsidR="00F145FE" w:rsidRDefault="00F145FE" w:rsidP="000E3DB6">
      <w:pPr>
        <w:autoSpaceDE w:val="0"/>
        <w:autoSpaceDN w:val="0"/>
        <w:adjustRightInd w:val="0"/>
        <w:jc w:val="both"/>
        <w:rPr>
          <w:rFonts w:ascii="Arial" w:hAnsi="Arial" w:cs="Arial"/>
          <w:color w:val="000000" w:themeColor="text1"/>
        </w:rPr>
      </w:pPr>
    </w:p>
    <w:p w14:paraId="3884648D" w14:textId="0A498F09" w:rsidR="000E3DB6" w:rsidRPr="000E3DB6" w:rsidRDefault="000E3DB6" w:rsidP="000E3DB6">
      <w:pPr>
        <w:autoSpaceDE w:val="0"/>
        <w:autoSpaceDN w:val="0"/>
        <w:adjustRightInd w:val="0"/>
        <w:jc w:val="both"/>
        <w:rPr>
          <w:rFonts w:ascii="Arial" w:hAnsi="Arial" w:cs="Arial"/>
          <w:color w:val="000000" w:themeColor="text1"/>
        </w:rPr>
      </w:pPr>
      <w:r w:rsidRPr="000E3DB6">
        <w:rPr>
          <w:rFonts w:ascii="Arial" w:hAnsi="Arial" w:cs="Arial"/>
          <w:color w:val="000000" w:themeColor="text1"/>
        </w:rPr>
        <w:t xml:space="preserve">Registrou-se queda nas exportações para a América do Norte (-13%), que totalizaram 75,8 milhões de barris, correspondendo a 10,8% do volume total. As Américas Central e do Sul importaram do Brasil 41,1 milhões de barris, ou 5,9% do total, após alta de 29,2%. A África respondeu por 4,8 milhões de barris </w:t>
      </w:r>
      <w:r w:rsidR="00FF238F">
        <w:rPr>
          <w:rFonts w:ascii="Arial" w:hAnsi="Arial" w:cs="Arial"/>
          <w:color w:val="000000" w:themeColor="text1"/>
        </w:rPr>
        <w:t>das exportações brasileiras de petróleo</w:t>
      </w:r>
      <w:r w:rsidR="00E57DC7">
        <w:rPr>
          <w:rFonts w:ascii="Arial" w:hAnsi="Arial" w:cs="Arial"/>
          <w:color w:val="000000" w:themeColor="text1"/>
        </w:rPr>
        <w:t xml:space="preserve"> </w:t>
      </w:r>
      <w:r w:rsidRPr="000E3DB6">
        <w:rPr>
          <w:rFonts w:ascii="Arial" w:hAnsi="Arial" w:cs="Arial"/>
          <w:color w:val="000000" w:themeColor="text1"/>
        </w:rPr>
        <w:t>(0,7% do total)</w:t>
      </w:r>
      <w:r w:rsidR="00FF238F">
        <w:rPr>
          <w:rFonts w:ascii="Arial" w:hAnsi="Arial" w:cs="Arial"/>
          <w:color w:val="000000" w:themeColor="text1"/>
        </w:rPr>
        <w:t>.</w:t>
      </w:r>
    </w:p>
    <w:p w14:paraId="4A1235D0" w14:textId="77777777" w:rsidR="000E3DB6" w:rsidRPr="000E3DB6" w:rsidRDefault="000E3DB6" w:rsidP="000E3DB6">
      <w:pPr>
        <w:autoSpaceDE w:val="0"/>
        <w:autoSpaceDN w:val="0"/>
        <w:adjustRightInd w:val="0"/>
        <w:jc w:val="both"/>
        <w:rPr>
          <w:rFonts w:ascii="Arial" w:hAnsi="Arial" w:cs="Arial"/>
          <w:color w:val="000000" w:themeColor="text1"/>
        </w:rPr>
      </w:pPr>
    </w:p>
    <w:p w14:paraId="350E00FA" w14:textId="7404039D" w:rsidR="0041466A" w:rsidRDefault="000E3DB6" w:rsidP="000E3DB6">
      <w:pPr>
        <w:autoSpaceDE w:val="0"/>
        <w:autoSpaceDN w:val="0"/>
        <w:adjustRightInd w:val="0"/>
        <w:jc w:val="both"/>
        <w:rPr>
          <w:rFonts w:ascii="Arial" w:hAnsi="Arial" w:cs="Arial"/>
          <w:color w:val="000000" w:themeColor="text1"/>
        </w:rPr>
      </w:pPr>
      <w:r w:rsidRPr="000E3DB6">
        <w:rPr>
          <w:rFonts w:ascii="Arial" w:hAnsi="Arial" w:cs="Arial"/>
          <w:color w:val="000000" w:themeColor="text1"/>
        </w:rPr>
        <w:t>Por países, a China foi o maior importador de petróleo do Brasil, com volume de 315,7 milhões de barris (45% do total). Em seguida, vieram os Estados Unidos, com 75,8 milhões de barris (10,8% do total)</w:t>
      </w:r>
      <w:r w:rsidR="006B5488">
        <w:rPr>
          <w:rFonts w:ascii="Arial" w:hAnsi="Arial" w:cs="Arial"/>
          <w:color w:val="000000" w:themeColor="text1"/>
        </w:rPr>
        <w:t xml:space="preserve">, </w:t>
      </w:r>
      <w:r w:rsidR="00B65DB0" w:rsidRPr="00B65DB0">
        <w:rPr>
          <w:rFonts w:ascii="Arial" w:hAnsi="Arial" w:cs="Arial"/>
          <w:color w:val="000000" w:themeColor="text1"/>
        </w:rPr>
        <w:t>conforme se pode ver na Tabela 2.57.</w:t>
      </w:r>
    </w:p>
    <w:p w14:paraId="425A8966" w14:textId="77777777" w:rsidR="00D168D1" w:rsidRPr="00380D92" w:rsidRDefault="00D168D1" w:rsidP="000E3DB6">
      <w:pPr>
        <w:autoSpaceDE w:val="0"/>
        <w:autoSpaceDN w:val="0"/>
        <w:adjustRightInd w:val="0"/>
        <w:jc w:val="both"/>
        <w:rPr>
          <w:rFonts w:ascii="Arial" w:hAnsi="Arial" w:cs="Arial"/>
          <w:color w:val="000000"/>
        </w:rPr>
      </w:pPr>
    </w:p>
    <w:p w14:paraId="754839CE" w14:textId="442FB639"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5</w:t>
      </w:r>
      <w:r w:rsidR="00CF0AE5">
        <w:rPr>
          <w:rFonts w:ascii="Arial" w:hAnsi="Arial" w:cs="Arial"/>
          <w:b/>
          <w:bCs/>
          <w:color w:val="FF0000"/>
        </w:rPr>
        <w:t>6</w:t>
      </w:r>
    </w:p>
    <w:p w14:paraId="6EDE7C82" w14:textId="61D592D2"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CF0AE5">
        <w:rPr>
          <w:rFonts w:ascii="Arial" w:hAnsi="Arial" w:cs="Arial"/>
          <w:b/>
          <w:bCs/>
          <w:color w:val="FF0000"/>
        </w:rPr>
        <w:t>57</w:t>
      </w:r>
    </w:p>
    <w:p w14:paraId="685B7DFC" w14:textId="77777777" w:rsidR="0041466A" w:rsidRPr="00380D92" w:rsidRDefault="0041466A" w:rsidP="0041466A">
      <w:pPr>
        <w:autoSpaceDE w:val="0"/>
        <w:autoSpaceDN w:val="0"/>
        <w:adjustRightInd w:val="0"/>
        <w:jc w:val="both"/>
        <w:rPr>
          <w:rFonts w:ascii="Arial" w:hAnsi="Arial" w:cs="Arial"/>
          <w:b/>
          <w:bCs/>
          <w:color w:val="FF0000"/>
        </w:rPr>
      </w:pPr>
    </w:p>
    <w:p w14:paraId="18FD2901"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2.22</w:t>
      </w:r>
    </w:p>
    <w:p w14:paraId="431AD9E3"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2.23</w:t>
      </w:r>
    </w:p>
    <w:p w14:paraId="7825C116" w14:textId="77777777" w:rsidR="0041466A" w:rsidRPr="00380D92" w:rsidRDefault="0041466A" w:rsidP="0041466A">
      <w:pPr>
        <w:autoSpaceDE w:val="0"/>
        <w:autoSpaceDN w:val="0"/>
        <w:adjustRightInd w:val="0"/>
        <w:jc w:val="both"/>
        <w:rPr>
          <w:rFonts w:ascii="Arial" w:hAnsi="Arial" w:cs="Arial"/>
          <w:b/>
          <w:bCs/>
          <w:color w:val="FF0000"/>
        </w:rPr>
      </w:pPr>
    </w:p>
    <w:p w14:paraId="109D0727" w14:textId="7DA665C9" w:rsidR="0041466A" w:rsidRPr="002574E3"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Cartograma 2.4</w:t>
      </w:r>
    </w:p>
    <w:p w14:paraId="7328112C" w14:textId="77777777" w:rsidR="0041466A" w:rsidRDefault="0041466A" w:rsidP="0041466A">
      <w:pPr>
        <w:autoSpaceDE w:val="0"/>
        <w:autoSpaceDN w:val="0"/>
        <w:adjustRightInd w:val="0"/>
        <w:jc w:val="both"/>
        <w:rPr>
          <w:rFonts w:ascii="Arial" w:hAnsi="Arial" w:cs="Arial"/>
          <w:b/>
          <w:bCs/>
          <w:color w:val="000000"/>
        </w:rPr>
      </w:pPr>
    </w:p>
    <w:p w14:paraId="6AA3592C" w14:textId="77777777" w:rsidR="002574E3" w:rsidRPr="00380D92" w:rsidRDefault="002574E3" w:rsidP="0041466A">
      <w:pPr>
        <w:autoSpaceDE w:val="0"/>
        <w:autoSpaceDN w:val="0"/>
        <w:adjustRightInd w:val="0"/>
        <w:jc w:val="both"/>
        <w:rPr>
          <w:rFonts w:ascii="Arial" w:hAnsi="Arial" w:cs="Arial"/>
          <w:b/>
          <w:bCs/>
          <w:color w:val="000000"/>
        </w:rPr>
      </w:pPr>
    </w:p>
    <w:p w14:paraId="6327B30D" w14:textId="7696BFC4" w:rsidR="0041466A" w:rsidRPr="00380D92" w:rsidRDefault="0041466A" w:rsidP="0041466A">
      <w:pPr>
        <w:autoSpaceDE w:val="0"/>
        <w:autoSpaceDN w:val="0"/>
        <w:adjustRightInd w:val="0"/>
        <w:jc w:val="both"/>
        <w:rPr>
          <w:rFonts w:ascii="Arial" w:hAnsi="Arial" w:cs="Arial"/>
          <w:b/>
          <w:bCs/>
          <w:color w:val="000000"/>
        </w:rPr>
      </w:pPr>
      <w:r w:rsidRPr="00380D92">
        <w:rPr>
          <w:rFonts w:ascii="Arial" w:hAnsi="Arial" w:cs="Arial"/>
          <w:b/>
          <w:bCs/>
          <w:color w:val="000000"/>
        </w:rPr>
        <w:t>2.</w:t>
      </w:r>
      <w:r w:rsidR="004555A2">
        <w:rPr>
          <w:rFonts w:ascii="Arial" w:hAnsi="Arial" w:cs="Arial"/>
          <w:b/>
          <w:bCs/>
          <w:color w:val="000000"/>
        </w:rPr>
        <w:t>5.2</w:t>
      </w:r>
      <w:r w:rsidRPr="00380D92">
        <w:rPr>
          <w:rFonts w:ascii="Arial" w:hAnsi="Arial" w:cs="Arial"/>
          <w:b/>
          <w:bCs/>
          <w:color w:val="000000"/>
        </w:rPr>
        <w:t xml:space="preserve"> I</w:t>
      </w:r>
      <w:r w:rsidR="004555A2" w:rsidRPr="00380D92">
        <w:rPr>
          <w:rFonts w:ascii="Arial" w:hAnsi="Arial" w:cs="Arial"/>
          <w:b/>
          <w:bCs/>
          <w:color w:val="000000"/>
        </w:rPr>
        <w:t>mportação e exportação de derivados de petróleo</w:t>
      </w:r>
    </w:p>
    <w:p w14:paraId="050CF37C" w14:textId="77777777" w:rsidR="0041466A" w:rsidRDefault="0041466A" w:rsidP="0041466A">
      <w:pPr>
        <w:autoSpaceDE w:val="0"/>
        <w:autoSpaceDN w:val="0"/>
        <w:adjustRightInd w:val="0"/>
        <w:jc w:val="both"/>
        <w:rPr>
          <w:rFonts w:ascii="Arial" w:hAnsi="Arial" w:cs="Arial"/>
          <w:b/>
          <w:bCs/>
          <w:highlight w:val="yellow"/>
        </w:rPr>
      </w:pPr>
    </w:p>
    <w:p w14:paraId="0E0303BF" w14:textId="212DFB35"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Em 2025, o volume de derivados de petróleo importado pelo Brasil aumentou 7% em relação a 2024, totalizando 36,8 milhões de m³. O dispêndio com a importação cresceu 1,5%, situando-se em aproximadamente US$ 17,3 bilhões.</w:t>
      </w:r>
    </w:p>
    <w:p w14:paraId="24B3721B" w14:textId="77777777" w:rsidR="005A4DCB" w:rsidRPr="005A4DCB" w:rsidRDefault="005A4DCB" w:rsidP="005A4DCB">
      <w:pPr>
        <w:autoSpaceDE w:val="0"/>
        <w:autoSpaceDN w:val="0"/>
        <w:adjustRightInd w:val="0"/>
        <w:jc w:val="both"/>
        <w:rPr>
          <w:rFonts w:ascii="Arial" w:hAnsi="Arial" w:cs="Arial"/>
          <w:bCs/>
        </w:rPr>
      </w:pPr>
    </w:p>
    <w:p w14:paraId="132D46BC" w14:textId="7C0AD66C"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 xml:space="preserve">Os derivados energéticos representaram 68,9% do volume importado, </w:t>
      </w:r>
      <w:r w:rsidR="00D638E1">
        <w:rPr>
          <w:rFonts w:ascii="Arial" w:hAnsi="Arial" w:cs="Arial"/>
          <w:bCs/>
        </w:rPr>
        <w:t>com</w:t>
      </w:r>
      <w:r w:rsidR="00D638E1" w:rsidRPr="005A4DCB">
        <w:rPr>
          <w:rFonts w:ascii="Arial" w:hAnsi="Arial" w:cs="Arial"/>
          <w:bCs/>
        </w:rPr>
        <w:t xml:space="preserve"> </w:t>
      </w:r>
      <w:r w:rsidRPr="005A4DCB">
        <w:rPr>
          <w:rFonts w:ascii="Arial" w:hAnsi="Arial" w:cs="Arial"/>
          <w:bCs/>
        </w:rPr>
        <w:t>alta de 17,1% em relação a 2024, atingindo 25,3 milhões de m³. A importação de não energéticos, por sua vez, recuou 10,2%, somando cerca de 11,4 milhões de m³.</w:t>
      </w:r>
    </w:p>
    <w:p w14:paraId="4AFF545E" w14:textId="77777777" w:rsidR="005A4DCB" w:rsidRPr="005A4DCB" w:rsidRDefault="005A4DCB" w:rsidP="005A4DCB">
      <w:pPr>
        <w:autoSpaceDE w:val="0"/>
        <w:autoSpaceDN w:val="0"/>
        <w:adjustRightInd w:val="0"/>
        <w:jc w:val="both"/>
        <w:rPr>
          <w:rFonts w:ascii="Arial" w:hAnsi="Arial" w:cs="Arial"/>
          <w:bCs/>
        </w:rPr>
      </w:pPr>
    </w:p>
    <w:p w14:paraId="40546B39" w14:textId="43B2EEE2"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Dentre os derivados energéticos, os importados em maior volume foram óleo diesel, gasolina A e GLP, totalizando, respectivamente, 17,1 milhões de m³ (46,5% da importação total), 3,5 milhões de m³ (9,5%) e 2,9 milhões de m³ (7,9%). Também se destacaram as importações de QAV, com 1,6 milhão de m³ (4,4% do total), e de óleo combustível, com 0,2 milhão de m³ (0,6%). Em termos de variação, houve aumento nas importações de gasolina A (+27,6%), óleo diesel (+19,4%), QAV (+43,5%) e óleo combustível (+262,8%), enquanto o GLP apresentou queda (-14,4%).</w:t>
      </w:r>
    </w:p>
    <w:p w14:paraId="01A231B8" w14:textId="77777777" w:rsidR="005A4DCB" w:rsidRPr="005A4DCB" w:rsidRDefault="005A4DCB" w:rsidP="005A4DCB">
      <w:pPr>
        <w:autoSpaceDE w:val="0"/>
        <w:autoSpaceDN w:val="0"/>
        <w:adjustRightInd w:val="0"/>
        <w:jc w:val="both"/>
        <w:rPr>
          <w:rFonts w:ascii="Arial" w:hAnsi="Arial" w:cs="Arial"/>
          <w:bCs/>
        </w:rPr>
      </w:pPr>
    </w:p>
    <w:p w14:paraId="465A0250" w14:textId="5E79C2D6"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Dentre os não energéticos, nafta e coque se sobressaíram, com 4,4 milhões de m³ cada (12% do total, cada um). No grupo dos não energéticos, apenas o coque apresentou alta (+1,9%). Houve queda na importação dos demais produtos, com destaque para solvente (-33%), outros derivados não energéticos (-24%), nafta (-13,4%), parafina (-6,7%) e óleo lubrificante (-5%). O asfalto permaneceu praticamente estável (-0,6%), com volume de 0,3 milhão de m³.</w:t>
      </w:r>
    </w:p>
    <w:p w14:paraId="06177FD3" w14:textId="77777777" w:rsidR="005A4DCB" w:rsidRPr="005A4DCB" w:rsidRDefault="005A4DCB" w:rsidP="005A4DCB">
      <w:pPr>
        <w:autoSpaceDE w:val="0"/>
        <w:autoSpaceDN w:val="0"/>
        <w:adjustRightInd w:val="0"/>
        <w:jc w:val="both"/>
        <w:rPr>
          <w:rFonts w:ascii="Arial" w:hAnsi="Arial" w:cs="Arial"/>
          <w:bCs/>
        </w:rPr>
      </w:pPr>
    </w:p>
    <w:p w14:paraId="4E8F688A" w14:textId="4A82524F"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Com relação ao dispêndio, os montantes gastos com</w:t>
      </w:r>
      <w:r w:rsidR="006C51A9">
        <w:rPr>
          <w:rFonts w:ascii="Arial" w:hAnsi="Arial" w:cs="Arial"/>
          <w:bCs/>
        </w:rPr>
        <w:t xml:space="preserve"> a importação de</w:t>
      </w:r>
      <w:r w:rsidRPr="005A4DCB">
        <w:rPr>
          <w:rFonts w:ascii="Arial" w:hAnsi="Arial" w:cs="Arial"/>
          <w:bCs/>
        </w:rPr>
        <w:t xml:space="preserve"> óleo diesel e nafta foram os </w:t>
      </w:r>
      <w:r w:rsidR="00621E96">
        <w:rPr>
          <w:rFonts w:ascii="Arial" w:hAnsi="Arial" w:cs="Arial"/>
          <w:bCs/>
        </w:rPr>
        <w:t>maiores:</w:t>
      </w:r>
      <w:r w:rsidRPr="005A4DCB">
        <w:rPr>
          <w:rFonts w:ascii="Arial" w:hAnsi="Arial" w:cs="Arial"/>
          <w:bCs/>
        </w:rPr>
        <w:t xml:space="preserve"> US$ 9,5 bilhões (alta de 13,5%) e cerca de US$ 2 bilhões (queda de 25%)</w:t>
      </w:r>
      <w:r w:rsidR="00621E96">
        <w:rPr>
          <w:rFonts w:ascii="Arial" w:hAnsi="Arial" w:cs="Arial"/>
          <w:bCs/>
        </w:rPr>
        <w:t>, respectivamente</w:t>
      </w:r>
      <w:r w:rsidRPr="005A4DCB">
        <w:rPr>
          <w:rFonts w:ascii="Arial" w:hAnsi="Arial" w:cs="Arial"/>
          <w:bCs/>
        </w:rPr>
        <w:t>.</w:t>
      </w:r>
    </w:p>
    <w:p w14:paraId="6EAA5A62" w14:textId="77777777" w:rsidR="005A4DCB" w:rsidRPr="005A4DCB" w:rsidRDefault="005A4DCB" w:rsidP="005A4DCB">
      <w:pPr>
        <w:autoSpaceDE w:val="0"/>
        <w:autoSpaceDN w:val="0"/>
        <w:adjustRightInd w:val="0"/>
        <w:jc w:val="both"/>
        <w:rPr>
          <w:rFonts w:ascii="Arial" w:hAnsi="Arial" w:cs="Arial"/>
          <w:bCs/>
        </w:rPr>
      </w:pPr>
    </w:p>
    <w:p w14:paraId="185A6328" w14:textId="28261BC1"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As importações de derivados de petróleo originaram-se principalmente da América do Norte, com 16,9 milhões de m³ (45,9% do total), seguida pela Comunidade dos Estados Independentes, com 9,5 milhões de m³ (25,7%). Na sequência, destacaram-se as Américas Central e do Sul, com 2,8 milhões de m³ (7,6%), a Europa, com 2,2 milhões de m³ (6%), o Oriente Médio, com 2,2 milhões de m³ (6%), a Ásia-Pacífico, com 2,2 milhões de m³ (5,9%) e a África, com 1,1 milhão de m³ (2,9%).</w:t>
      </w:r>
    </w:p>
    <w:p w14:paraId="5E9AAB41" w14:textId="77777777" w:rsidR="005A4DCB" w:rsidRPr="005A4DCB" w:rsidRDefault="005A4DCB" w:rsidP="005A4DCB">
      <w:pPr>
        <w:autoSpaceDE w:val="0"/>
        <w:autoSpaceDN w:val="0"/>
        <w:adjustRightInd w:val="0"/>
        <w:jc w:val="both"/>
        <w:rPr>
          <w:rFonts w:ascii="Arial" w:hAnsi="Arial" w:cs="Arial"/>
          <w:bCs/>
        </w:rPr>
      </w:pPr>
    </w:p>
    <w:p w14:paraId="6EA8BF84" w14:textId="4959FE2E" w:rsidR="005A4DCB" w:rsidRPr="005A4DCB" w:rsidRDefault="005A4DCB" w:rsidP="005A4DCB">
      <w:pPr>
        <w:autoSpaceDE w:val="0"/>
        <w:autoSpaceDN w:val="0"/>
        <w:adjustRightInd w:val="0"/>
        <w:jc w:val="both"/>
        <w:rPr>
          <w:rFonts w:ascii="Arial" w:hAnsi="Arial" w:cs="Arial"/>
          <w:bCs/>
        </w:rPr>
      </w:pPr>
      <w:r w:rsidRPr="005A4DCB">
        <w:rPr>
          <w:rFonts w:ascii="Arial" w:hAnsi="Arial" w:cs="Arial"/>
          <w:bCs/>
        </w:rPr>
        <w:t>Entre os países, os Estados Unidos responderam por 16,6 milhões de m³ (45,3% do total importado), enquanto a Rússia totalizou 9,4 milhões de m³ (25,6%). No recorte europeu, Espanha e Países Baixos – Holanda tiveram participação semelhante, com 0,9 milhão de m³ cada (2,5% do total, cada um).</w:t>
      </w:r>
    </w:p>
    <w:p w14:paraId="5AC8222A" w14:textId="77777777" w:rsidR="005A4DCB" w:rsidRPr="005A4DCB" w:rsidRDefault="005A4DCB" w:rsidP="005A4DCB">
      <w:pPr>
        <w:autoSpaceDE w:val="0"/>
        <w:autoSpaceDN w:val="0"/>
        <w:adjustRightInd w:val="0"/>
        <w:jc w:val="both"/>
        <w:rPr>
          <w:rFonts w:ascii="Arial" w:hAnsi="Arial" w:cs="Arial"/>
          <w:bCs/>
        </w:rPr>
      </w:pPr>
    </w:p>
    <w:p w14:paraId="45F75D86" w14:textId="4AD37ECC" w:rsidR="00CF0AE5" w:rsidRDefault="005A4DCB" w:rsidP="005A4DCB">
      <w:pPr>
        <w:autoSpaceDE w:val="0"/>
        <w:autoSpaceDN w:val="0"/>
        <w:adjustRightInd w:val="0"/>
        <w:jc w:val="both"/>
        <w:rPr>
          <w:rFonts w:ascii="Arial" w:hAnsi="Arial" w:cs="Arial"/>
          <w:bCs/>
        </w:rPr>
      </w:pPr>
      <w:r w:rsidRPr="005A4DCB">
        <w:rPr>
          <w:rFonts w:ascii="Arial" w:hAnsi="Arial" w:cs="Arial"/>
          <w:bCs/>
        </w:rPr>
        <w:t>Os Estados Unidos foram o principal exportador para o Brasil de coque (86,2% do total importado), óleo lubrificante (69,4%), nafta (72,3%), gasolina A (26,4%) e QAV (35,8%). A Rússia foi o principal exportador de óleo diesel (47,1% do total importado) e de solvente (34,3% do total). Por fim, a Argentina foi o principal exportador de GLP (49,1% do total importado).</w:t>
      </w:r>
    </w:p>
    <w:p w14:paraId="394545A1" w14:textId="77777777" w:rsidR="002574E3" w:rsidRPr="00380D92" w:rsidRDefault="002574E3" w:rsidP="005A4DCB">
      <w:pPr>
        <w:autoSpaceDE w:val="0"/>
        <w:autoSpaceDN w:val="0"/>
        <w:adjustRightInd w:val="0"/>
        <w:jc w:val="both"/>
        <w:rPr>
          <w:rFonts w:ascii="Arial" w:hAnsi="Arial" w:cs="Arial"/>
          <w:b/>
          <w:bCs/>
        </w:rPr>
      </w:pPr>
    </w:p>
    <w:p w14:paraId="6809C30F" w14:textId="390A321E" w:rsidR="0041466A" w:rsidRPr="00380D92" w:rsidRDefault="0041466A" w:rsidP="0041466A">
      <w:pPr>
        <w:pStyle w:val="Corpodetexto3"/>
        <w:rPr>
          <w:b/>
          <w:bCs/>
          <w:color w:val="FF0000"/>
          <w:sz w:val="20"/>
          <w:szCs w:val="20"/>
        </w:rPr>
      </w:pPr>
      <w:r w:rsidRPr="00380D92">
        <w:rPr>
          <w:b/>
          <w:bCs/>
          <w:color w:val="FF0000"/>
          <w:sz w:val="20"/>
          <w:szCs w:val="20"/>
        </w:rPr>
        <w:lastRenderedPageBreak/>
        <w:t>Tabela 2.</w:t>
      </w:r>
      <w:r w:rsidR="000E3DB6">
        <w:rPr>
          <w:b/>
          <w:bCs/>
          <w:color w:val="FF0000"/>
          <w:sz w:val="20"/>
          <w:szCs w:val="20"/>
        </w:rPr>
        <w:t>59</w:t>
      </w:r>
    </w:p>
    <w:p w14:paraId="598CF7C8" w14:textId="0968CC0F" w:rsidR="0041466A" w:rsidRDefault="0041466A" w:rsidP="0041466A">
      <w:pPr>
        <w:pStyle w:val="Corpodetexto3"/>
        <w:rPr>
          <w:b/>
          <w:bCs/>
          <w:color w:val="FF0000"/>
          <w:sz w:val="20"/>
          <w:szCs w:val="20"/>
        </w:rPr>
      </w:pPr>
      <w:r w:rsidRPr="00380D92">
        <w:rPr>
          <w:b/>
          <w:bCs/>
          <w:color w:val="FF0000"/>
          <w:sz w:val="20"/>
          <w:szCs w:val="20"/>
        </w:rPr>
        <w:t>Tabela 2.</w:t>
      </w:r>
      <w:r w:rsidR="000E3DB6">
        <w:rPr>
          <w:b/>
          <w:bCs/>
          <w:color w:val="FF0000"/>
          <w:sz w:val="20"/>
          <w:szCs w:val="20"/>
        </w:rPr>
        <w:t>60</w:t>
      </w:r>
    </w:p>
    <w:p w14:paraId="100A8BA0" w14:textId="3A908234" w:rsidR="0041466A" w:rsidRPr="00380D92" w:rsidRDefault="0041466A" w:rsidP="0041466A">
      <w:pPr>
        <w:pStyle w:val="Corpodetexto3"/>
        <w:rPr>
          <w:b/>
          <w:bCs/>
          <w:color w:val="FF0000"/>
          <w:sz w:val="20"/>
          <w:szCs w:val="20"/>
        </w:rPr>
      </w:pPr>
      <w:r w:rsidRPr="00380D92">
        <w:rPr>
          <w:b/>
          <w:bCs/>
          <w:color w:val="FF0000"/>
          <w:sz w:val="20"/>
          <w:szCs w:val="20"/>
        </w:rPr>
        <w:t>Tabela 2.</w:t>
      </w:r>
      <w:r w:rsidR="00B65DB0">
        <w:rPr>
          <w:b/>
          <w:bCs/>
          <w:color w:val="FF0000"/>
          <w:sz w:val="20"/>
          <w:szCs w:val="20"/>
        </w:rPr>
        <w:t>6</w:t>
      </w:r>
      <w:r w:rsidR="008F47D7">
        <w:rPr>
          <w:b/>
          <w:bCs/>
          <w:color w:val="FF0000"/>
          <w:sz w:val="20"/>
          <w:szCs w:val="20"/>
        </w:rPr>
        <w:t>3</w:t>
      </w:r>
    </w:p>
    <w:p w14:paraId="00751154" w14:textId="77777777" w:rsidR="0041466A" w:rsidRPr="00380D92" w:rsidRDefault="0041466A" w:rsidP="0041466A">
      <w:pPr>
        <w:autoSpaceDE w:val="0"/>
        <w:autoSpaceDN w:val="0"/>
        <w:adjustRightInd w:val="0"/>
        <w:jc w:val="both"/>
        <w:rPr>
          <w:rFonts w:ascii="Arial" w:hAnsi="Arial" w:cs="Arial"/>
          <w:b/>
          <w:bCs/>
        </w:rPr>
      </w:pPr>
    </w:p>
    <w:p w14:paraId="26266203"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2.24</w:t>
      </w:r>
    </w:p>
    <w:p w14:paraId="298AE429"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2.25</w:t>
      </w:r>
    </w:p>
    <w:p w14:paraId="505FBA6B"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2.26</w:t>
      </w:r>
    </w:p>
    <w:p w14:paraId="2BA12B5F" w14:textId="77777777" w:rsidR="008F47D7" w:rsidRPr="008F47D7" w:rsidRDefault="008F47D7" w:rsidP="008F47D7">
      <w:pPr>
        <w:autoSpaceDE w:val="0"/>
        <w:autoSpaceDN w:val="0"/>
        <w:adjustRightInd w:val="0"/>
        <w:jc w:val="both"/>
        <w:rPr>
          <w:rFonts w:ascii="Arial" w:hAnsi="Arial" w:cs="Arial"/>
          <w:color w:val="000000" w:themeColor="text1"/>
        </w:rPr>
      </w:pPr>
    </w:p>
    <w:p w14:paraId="61099AAD" w14:textId="3E117C71" w:rsidR="008F47D7" w:rsidRPr="008F47D7" w:rsidRDefault="008F47D7" w:rsidP="008F47D7">
      <w:pPr>
        <w:autoSpaceDE w:val="0"/>
        <w:autoSpaceDN w:val="0"/>
        <w:adjustRightInd w:val="0"/>
        <w:jc w:val="both"/>
        <w:rPr>
          <w:rFonts w:ascii="Arial" w:hAnsi="Arial" w:cs="Arial"/>
          <w:color w:val="000000" w:themeColor="text1"/>
        </w:rPr>
      </w:pPr>
      <w:r w:rsidRPr="008F47D7">
        <w:rPr>
          <w:rFonts w:ascii="Arial" w:hAnsi="Arial" w:cs="Arial"/>
          <w:color w:val="000000" w:themeColor="text1"/>
        </w:rPr>
        <w:t>Em 2025, a</w:t>
      </w:r>
      <w:r w:rsidR="00D4420A">
        <w:rPr>
          <w:rFonts w:ascii="Arial" w:hAnsi="Arial" w:cs="Arial"/>
          <w:color w:val="000000" w:themeColor="text1"/>
        </w:rPr>
        <w:t>s</w:t>
      </w:r>
      <w:r w:rsidRPr="008F47D7">
        <w:rPr>
          <w:rFonts w:ascii="Arial" w:hAnsi="Arial" w:cs="Arial"/>
          <w:color w:val="000000" w:themeColor="text1"/>
        </w:rPr>
        <w:t xml:space="preserve"> </w:t>
      </w:r>
      <w:r w:rsidR="00D4420A" w:rsidRPr="008F47D7">
        <w:rPr>
          <w:rFonts w:ascii="Arial" w:hAnsi="Arial" w:cs="Arial"/>
          <w:color w:val="000000" w:themeColor="text1"/>
        </w:rPr>
        <w:t>exportaç</w:t>
      </w:r>
      <w:r w:rsidR="00D4420A">
        <w:rPr>
          <w:rFonts w:ascii="Arial" w:hAnsi="Arial" w:cs="Arial"/>
          <w:color w:val="000000" w:themeColor="text1"/>
        </w:rPr>
        <w:t>ões</w:t>
      </w:r>
      <w:r w:rsidR="00D4420A" w:rsidRPr="008F47D7">
        <w:rPr>
          <w:rFonts w:ascii="Arial" w:hAnsi="Arial" w:cs="Arial"/>
          <w:color w:val="000000" w:themeColor="text1"/>
        </w:rPr>
        <w:t xml:space="preserve"> </w:t>
      </w:r>
      <w:r w:rsidRPr="008F47D7">
        <w:rPr>
          <w:rFonts w:ascii="Arial" w:hAnsi="Arial" w:cs="Arial"/>
          <w:color w:val="000000" w:themeColor="text1"/>
        </w:rPr>
        <w:t xml:space="preserve">de derivados de petróleo </w:t>
      </w:r>
      <w:r w:rsidR="00D4420A">
        <w:rPr>
          <w:rFonts w:ascii="Arial" w:hAnsi="Arial" w:cs="Arial"/>
          <w:color w:val="000000" w:themeColor="text1"/>
        </w:rPr>
        <w:t>do Brasil totalizaram</w:t>
      </w:r>
      <w:r w:rsidR="00D4420A" w:rsidRPr="008F47D7">
        <w:rPr>
          <w:rFonts w:ascii="Arial" w:hAnsi="Arial" w:cs="Arial"/>
          <w:color w:val="000000" w:themeColor="text1"/>
        </w:rPr>
        <w:t xml:space="preserve"> </w:t>
      </w:r>
      <w:r w:rsidRPr="008F47D7">
        <w:rPr>
          <w:rFonts w:ascii="Arial" w:hAnsi="Arial" w:cs="Arial"/>
          <w:color w:val="000000" w:themeColor="text1"/>
        </w:rPr>
        <w:t>22,5 milhões de m³, registrando alta de 3% em relação a 2024. Os derivados energéticos representaram 91,4% do total exportado, com destaque para o óleo combustível</w:t>
      </w:r>
      <w:r w:rsidR="004555A2">
        <w:rPr>
          <w:rFonts w:ascii="Arial" w:hAnsi="Arial" w:cs="Arial"/>
          <w:color w:val="000000" w:themeColor="text1"/>
        </w:rPr>
        <w:t xml:space="preserve"> </w:t>
      </w:r>
      <w:r w:rsidRPr="008F47D7">
        <w:rPr>
          <w:rFonts w:ascii="Arial" w:hAnsi="Arial" w:cs="Arial"/>
          <w:color w:val="000000" w:themeColor="text1"/>
        </w:rPr>
        <w:t xml:space="preserve">que </w:t>
      </w:r>
      <w:r w:rsidR="00A22846" w:rsidRPr="008F47D7">
        <w:rPr>
          <w:rFonts w:ascii="Arial" w:hAnsi="Arial" w:cs="Arial"/>
          <w:color w:val="000000" w:themeColor="text1"/>
        </w:rPr>
        <w:t>corresponde</w:t>
      </w:r>
      <w:r w:rsidR="00A22846">
        <w:rPr>
          <w:rFonts w:ascii="Arial" w:hAnsi="Arial" w:cs="Arial"/>
          <w:color w:val="000000" w:themeColor="text1"/>
        </w:rPr>
        <w:t>u</w:t>
      </w:r>
      <w:r w:rsidR="00A22846" w:rsidRPr="008F47D7">
        <w:rPr>
          <w:rFonts w:ascii="Arial" w:hAnsi="Arial" w:cs="Arial"/>
          <w:color w:val="000000" w:themeColor="text1"/>
        </w:rPr>
        <w:t xml:space="preserve"> </w:t>
      </w:r>
      <w:r w:rsidRPr="008F47D7">
        <w:rPr>
          <w:rFonts w:ascii="Arial" w:hAnsi="Arial" w:cs="Arial"/>
          <w:color w:val="000000" w:themeColor="text1"/>
        </w:rPr>
        <w:t>a 69,3% do total. Em seguida, veio a gasolina A, respondendo por 5,5% do volume exportado. A receita total com a exportação de derivados caiu 8,8%, somando cerca de US$ 11,1 bilhões.</w:t>
      </w:r>
    </w:p>
    <w:p w14:paraId="487FBD68" w14:textId="77777777" w:rsidR="008F47D7" w:rsidRPr="008F47D7" w:rsidRDefault="008F47D7" w:rsidP="008F47D7">
      <w:pPr>
        <w:autoSpaceDE w:val="0"/>
        <w:autoSpaceDN w:val="0"/>
        <w:adjustRightInd w:val="0"/>
        <w:jc w:val="both"/>
        <w:rPr>
          <w:rFonts w:ascii="Arial" w:hAnsi="Arial" w:cs="Arial"/>
          <w:color w:val="000000" w:themeColor="text1"/>
        </w:rPr>
      </w:pPr>
    </w:p>
    <w:p w14:paraId="67922176" w14:textId="050DDAEC" w:rsidR="008F47D7" w:rsidRPr="008F47D7" w:rsidRDefault="008F47D7" w:rsidP="008F47D7">
      <w:pPr>
        <w:autoSpaceDE w:val="0"/>
        <w:autoSpaceDN w:val="0"/>
        <w:adjustRightInd w:val="0"/>
        <w:jc w:val="both"/>
        <w:rPr>
          <w:rFonts w:ascii="Arial" w:hAnsi="Arial" w:cs="Arial"/>
          <w:color w:val="000000" w:themeColor="text1"/>
        </w:rPr>
      </w:pPr>
      <w:r w:rsidRPr="008F47D7">
        <w:rPr>
          <w:rFonts w:ascii="Arial" w:hAnsi="Arial" w:cs="Arial"/>
          <w:color w:val="000000" w:themeColor="text1"/>
        </w:rPr>
        <w:t>O principal destino dos derivados de petróleo brasileiros foi a região Ásia-Pacífico, com 44,5% do total. Em seguida, vieram as Américas Central e do Sul (19,8%), a América do Norte (16,9%), a Europa (11,1%), a África (6%) e o Oriente Médio (1,7%). Em 2025, as exportações de derivados de petróleo para a Comunidade dos Estados Independentes apresentaram participação pouco expressiva no total.</w:t>
      </w:r>
    </w:p>
    <w:p w14:paraId="6C1A8E2C" w14:textId="77777777" w:rsidR="008F47D7" w:rsidRPr="008F47D7" w:rsidRDefault="008F47D7" w:rsidP="008F47D7">
      <w:pPr>
        <w:autoSpaceDE w:val="0"/>
        <w:autoSpaceDN w:val="0"/>
        <w:adjustRightInd w:val="0"/>
        <w:jc w:val="both"/>
        <w:rPr>
          <w:rFonts w:ascii="Arial" w:hAnsi="Arial" w:cs="Arial"/>
          <w:color w:val="000000" w:themeColor="text1"/>
        </w:rPr>
      </w:pPr>
    </w:p>
    <w:p w14:paraId="1A45FD5B" w14:textId="4283349C" w:rsidR="0096585B" w:rsidRDefault="008F47D7" w:rsidP="008F47D7">
      <w:pPr>
        <w:autoSpaceDE w:val="0"/>
        <w:autoSpaceDN w:val="0"/>
        <w:adjustRightInd w:val="0"/>
        <w:jc w:val="both"/>
        <w:rPr>
          <w:rFonts w:ascii="Arial" w:hAnsi="Arial" w:cs="Arial"/>
          <w:color w:val="000000" w:themeColor="text1"/>
        </w:rPr>
      </w:pPr>
      <w:r w:rsidRPr="008F47D7">
        <w:rPr>
          <w:rFonts w:ascii="Arial" w:hAnsi="Arial" w:cs="Arial"/>
          <w:color w:val="000000" w:themeColor="text1"/>
        </w:rPr>
        <w:t>Por países, Singapura e Estados Unidos foram os maiores importadores de derivados do Brasil, com 7,7 milhões de m³ (34,3% do total exportado</w:t>
      </w:r>
      <w:r w:rsidR="004A5052">
        <w:rPr>
          <w:rFonts w:ascii="Arial" w:hAnsi="Arial" w:cs="Arial"/>
          <w:color w:val="000000" w:themeColor="text1"/>
        </w:rPr>
        <w:t xml:space="preserve"> pelo Brasil</w:t>
      </w:r>
      <w:r w:rsidRPr="008F47D7">
        <w:rPr>
          <w:rFonts w:ascii="Arial" w:hAnsi="Arial" w:cs="Arial"/>
          <w:color w:val="000000" w:themeColor="text1"/>
        </w:rPr>
        <w:t>) e 3,6 milhões de m³ (16,1% do total), respectivamente. O Panamá ocupou a terceira posição, com 2,6 milhões de m³ (11,6% do total).</w:t>
      </w:r>
    </w:p>
    <w:p w14:paraId="21F78A81" w14:textId="77777777" w:rsidR="0096585B" w:rsidRDefault="0096585B" w:rsidP="008F47D7">
      <w:pPr>
        <w:autoSpaceDE w:val="0"/>
        <w:autoSpaceDN w:val="0"/>
        <w:adjustRightInd w:val="0"/>
        <w:jc w:val="both"/>
        <w:rPr>
          <w:rFonts w:ascii="Arial" w:hAnsi="Arial" w:cs="Arial"/>
          <w:color w:val="000000" w:themeColor="text1"/>
        </w:rPr>
      </w:pPr>
    </w:p>
    <w:p w14:paraId="7442A7D3" w14:textId="68D0D049" w:rsidR="0041466A" w:rsidRDefault="008F47D7" w:rsidP="008F47D7">
      <w:pPr>
        <w:autoSpaceDE w:val="0"/>
        <w:autoSpaceDN w:val="0"/>
        <w:adjustRightInd w:val="0"/>
        <w:jc w:val="both"/>
        <w:rPr>
          <w:rFonts w:ascii="Arial" w:hAnsi="Arial" w:cs="Arial"/>
          <w:color w:val="000000" w:themeColor="text1"/>
        </w:rPr>
      </w:pPr>
      <w:r w:rsidRPr="008F47D7">
        <w:rPr>
          <w:rFonts w:ascii="Arial" w:hAnsi="Arial" w:cs="Arial"/>
          <w:color w:val="000000" w:themeColor="text1"/>
        </w:rPr>
        <w:t>O derivado que o Brasil mais exportou para Singapura foi óleo combustível, que respondeu por 48,9% do total exportado desse derivado. As exportações para os Estados Unidos se concentraram em gasolina A (96% do total exportado desse derivado) e solventes (31,9% do total exportado desse derivado). O Paraguai foi o principal importador de óleo lubrificante brasileiro (24,1% do total exportado desse derivado). A China foi a maior importadora de coque (51,4% do total exportado desse derivado). Togo liderou as exportações de óleo diesel, com 50,5% do total exportado desse derivado. Já o Paraguai foi o principal destino do GLP exportado, embora com participação pouco expressiva no total desse derivado</w:t>
      </w:r>
      <w:r w:rsidR="00D168D1">
        <w:rPr>
          <w:rFonts w:ascii="Arial" w:hAnsi="Arial" w:cs="Arial"/>
          <w:color w:val="000000" w:themeColor="text1"/>
        </w:rPr>
        <w:t>.</w:t>
      </w:r>
    </w:p>
    <w:p w14:paraId="500886EB" w14:textId="77777777" w:rsidR="008F47D7" w:rsidRPr="00380D92" w:rsidRDefault="008F47D7" w:rsidP="008F47D7">
      <w:pPr>
        <w:autoSpaceDE w:val="0"/>
        <w:autoSpaceDN w:val="0"/>
        <w:adjustRightInd w:val="0"/>
        <w:jc w:val="both"/>
        <w:rPr>
          <w:rFonts w:ascii="Arial" w:hAnsi="Arial" w:cs="Arial"/>
          <w:color w:val="000000"/>
        </w:rPr>
      </w:pPr>
    </w:p>
    <w:p w14:paraId="3C2D4330" w14:textId="291104B3"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8F47D7">
        <w:rPr>
          <w:rFonts w:ascii="Arial" w:hAnsi="Arial" w:cs="Arial"/>
          <w:b/>
          <w:bCs/>
          <w:color w:val="FF0000"/>
        </w:rPr>
        <w:t>61</w:t>
      </w:r>
    </w:p>
    <w:p w14:paraId="2F7753E4" w14:textId="493E5EE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8F47D7">
        <w:rPr>
          <w:rFonts w:ascii="Arial" w:hAnsi="Arial" w:cs="Arial"/>
          <w:b/>
          <w:bCs/>
          <w:color w:val="FF0000"/>
        </w:rPr>
        <w:t>62</w:t>
      </w:r>
    </w:p>
    <w:p w14:paraId="0FDA284C" w14:textId="5082FF2C"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8F47D7">
        <w:rPr>
          <w:rFonts w:ascii="Arial" w:hAnsi="Arial" w:cs="Arial"/>
          <w:b/>
          <w:bCs/>
          <w:color w:val="FF0000"/>
        </w:rPr>
        <w:t>63</w:t>
      </w:r>
    </w:p>
    <w:p w14:paraId="3F48B69D" w14:textId="77777777" w:rsidR="0041466A" w:rsidRPr="00380D92" w:rsidRDefault="0041466A" w:rsidP="0041466A">
      <w:pPr>
        <w:autoSpaceDE w:val="0"/>
        <w:autoSpaceDN w:val="0"/>
        <w:adjustRightInd w:val="0"/>
        <w:jc w:val="both"/>
        <w:rPr>
          <w:rFonts w:ascii="Arial" w:hAnsi="Arial" w:cs="Arial"/>
          <w:b/>
          <w:bCs/>
        </w:rPr>
      </w:pPr>
    </w:p>
    <w:p w14:paraId="6392780E"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2.27</w:t>
      </w:r>
    </w:p>
    <w:p w14:paraId="051494D2"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2.28</w:t>
      </w:r>
    </w:p>
    <w:p w14:paraId="019DE6B4" w14:textId="77777777" w:rsidR="0041466A" w:rsidRPr="00380D92" w:rsidRDefault="0041466A" w:rsidP="0041466A">
      <w:pPr>
        <w:autoSpaceDE w:val="0"/>
        <w:autoSpaceDN w:val="0"/>
        <w:adjustRightInd w:val="0"/>
        <w:jc w:val="both"/>
        <w:rPr>
          <w:rFonts w:ascii="Arial" w:hAnsi="Arial" w:cs="Arial"/>
          <w:b/>
          <w:bCs/>
          <w:color w:val="FF0000"/>
        </w:rPr>
      </w:pPr>
    </w:p>
    <w:p w14:paraId="21A83387"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Cartograma 2.5</w:t>
      </w:r>
    </w:p>
    <w:p w14:paraId="4CCD74FF" w14:textId="77777777" w:rsidR="0041466A" w:rsidRPr="00380D92" w:rsidRDefault="0041466A" w:rsidP="0041466A">
      <w:pPr>
        <w:autoSpaceDE w:val="0"/>
        <w:autoSpaceDN w:val="0"/>
        <w:adjustRightInd w:val="0"/>
        <w:jc w:val="both"/>
        <w:rPr>
          <w:rFonts w:ascii="Arial" w:hAnsi="Arial" w:cs="Arial"/>
          <w:b/>
          <w:bCs/>
        </w:rPr>
      </w:pPr>
    </w:p>
    <w:p w14:paraId="17F05A41" w14:textId="3E861CB7" w:rsidR="0041466A" w:rsidRPr="00380D92" w:rsidRDefault="0041466A" w:rsidP="0041466A">
      <w:pPr>
        <w:autoSpaceDE w:val="0"/>
        <w:autoSpaceDN w:val="0"/>
        <w:adjustRightInd w:val="0"/>
        <w:jc w:val="both"/>
        <w:rPr>
          <w:rFonts w:ascii="Arial" w:hAnsi="Arial" w:cs="Arial"/>
          <w:b/>
          <w:bCs/>
          <w:color w:val="000000"/>
        </w:rPr>
      </w:pPr>
      <w:r w:rsidRPr="00380D92">
        <w:rPr>
          <w:rFonts w:ascii="Arial" w:hAnsi="Arial" w:cs="Arial"/>
          <w:b/>
          <w:bCs/>
          <w:color w:val="000000"/>
        </w:rPr>
        <w:t>2.</w:t>
      </w:r>
      <w:r w:rsidR="004555A2">
        <w:rPr>
          <w:rFonts w:ascii="Arial" w:hAnsi="Arial" w:cs="Arial"/>
          <w:b/>
          <w:bCs/>
          <w:color w:val="000000"/>
        </w:rPr>
        <w:t>5.3</w:t>
      </w:r>
      <w:r w:rsidRPr="00380D92">
        <w:rPr>
          <w:rFonts w:ascii="Arial" w:hAnsi="Arial" w:cs="Arial"/>
          <w:b/>
          <w:bCs/>
          <w:color w:val="000000"/>
        </w:rPr>
        <w:t xml:space="preserve"> </w:t>
      </w:r>
      <w:r w:rsidRPr="00C35685">
        <w:rPr>
          <w:rFonts w:ascii="Arial" w:hAnsi="Arial" w:cs="Arial"/>
          <w:b/>
          <w:bCs/>
          <w:iCs/>
          <w:color w:val="000000"/>
        </w:rPr>
        <w:t>S</w:t>
      </w:r>
      <w:r w:rsidR="004555A2" w:rsidRPr="00C35685">
        <w:rPr>
          <w:rFonts w:ascii="Arial" w:hAnsi="Arial" w:cs="Arial"/>
          <w:b/>
          <w:bCs/>
          <w:iCs/>
          <w:color w:val="000000"/>
        </w:rPr>
        <w:t>uperávit</w:t>
      </w:r>
      <w:r w:rsidR="004555A2" w:rsidRPr="00E142FB">
        <w:rPr>
          <w:rFonts w:ascii="Arial" w:hAnsi="Arial" w:cs="Arial"/>
          <w:b/>
          <w:bCs/>
          <w:iCs/>
          <w:color w:val="000000"/>
        </w:rPr>
        <w:t xml:space="preserve"> </w:t>
      </w:r>
      <w:r w:rsidR="004555A2">
        <w:rPr>
          <w:rFonts w:ascii="Arial" w:hAnsi="Arial" w:cs="Arial"/>
          <w:b/>
          <w:bCs/>
          <w:color w:val="000000"/>
        </w:rPr>
        <w:t xml:space="preserve">externo </w:t>
      </w:r>
      <w:r w:rsidR="004555A2" w:rsidRPr="00380D92">
        <w:rPr>
          <w:rFonts w:ascii="Arial" w:hAnsi="Arial" w:cs="Arial"/>
          <w:b/>
          <w:bCs/>
          <w:color w:val="000000"/>
        </w:rPr>
        <w:t>de petróleo e seus derivados</w:t>
      </w:r>
    </w:p>
    <w:p w14:paraId="7AC32BEE" w14:textId="77777777" w:rsidR="0041466A" w:rsidRPr="00380D92" w:rsidRDefault="0041466A" w:rsidP="0041466A">
      <w:pPr>
        <w:autoSpaceDE w:val="0"/>
        <w:autoSpaceDN w:val="0"/>
        <w:adjustRightInd w:val="0"/>
        <w:jc w:val="both"/>
        <w:rPr>
          <w:rFonts w:ascii="Arial" w:hAnsi="Arial" w:cs="Arial"/>
          <w:b/>
          <w:bCs/>
          <w:color w:val="000000"/>
        </w:rPr>
      </w:pPr>
    </w:p>
    <w:p w14:paraId="2C793745" w14:textId="065739DA" w:rsidR="0041466A" w:rsidRPr="00940563" w:rsidRDefault="0041466A" w:rsidP="0041466A">
      <w:pPr>
        <w:autoSpaceDE w:val="0"/>
        <w:autoSpaceDN w:val="0"/>
        <w:adjustRightInd w:val="0"/>
        <w:jc w:val="both"/>
        <w:rPr>
          <w:rFonts w:ascii="Arial" w:hAnsi="Arial" w:cs="Arial"/>
          <w:color w:val="000000"/>
        </w:rPr>
      </w:pPr>
      <w:r w:rsidRPr="00940563">
        <w:rPr>
          <w:rFonts w:ascii="Arial" w:hAnsi="Arial" w:cs="Arial"/>
          <w:color w:val="000000"/>
        </w:rPr>
        <w:t xml:space="preserve">Em </w:t>
      </w:r>
      <w:r>
        <w:rPr>
          <w:rFonts w:ascii="Arial" w:hAnsi="Arial" w:cs="Arial"/>
          <w:color w:val="000000"/>
        </w:rPr>
        <w:t>2025</w:t>
      </w:r>
      <w:r w:rsidRPr="00940563">
        <w:rPr>
          <w:rFonts w:ascii="Arial" w:hAnsi="Arial" w:cs="Arial"/>
          <w:color w:val="000000"/>
        </w:rPr>
        <w:t xml:space="preserve">, o Brasil </w:t>
      </w:r>
      <w:r>
        <w:rPr>
          <w:rFonts w:ascii="Arial" w:hAnsi="Arial" w:cs="Arial"/>
          <w:color w:val="000000"/>
        </w:rPr>
        <w:t>manteve</w:t>
      </w:r>
      <w:r w:rsidRPr="00940563">
        <w:rPr>
          <w:rFonts w:ascii="Arial" w:hAnsi="Arial" w:cs="Arial"/>
          <w:color w:val="000000"/>
        </w:rPr>
        <w:t xml:space="preserve"> o </w:t>
      </w:r>
      <w:r w:rsidRPr="00B77457">
        <w:rPr>
          <w:rFonts w:ascii="Arial" w:hAnsi="Arial" w:cs="Arial"/>
          <w:color w:val="000000"/>
        </w:rPr>
        <w:t>superávit</w:t>
      </w:r>
      <w:r w:rsidRPr="00940563">
        <w:rPr>
          <w:rFonts w:ascii="Arial" w:hAnsi="Arial" w:cs="Arial"/>
          <w:color w:val="000000"/>
        </w:rPr>
        <w:t xml:space="preserve"> no comércio internacional de petróleo e derivados</w:t>
      </w:r>
      <w:r>
        <w:rPr>
          <w:rFonts w:ascii="Arial" w:hAnsi="Arial" w:cs="Arial"/>
          <w:color w:val="000000"/>
        </w:rPr>
        <w:t>,</w:t>
      </w:r>
      <w:r w:rsidRPr="00940563">
        <w:rPr>
          <w:rFonts w:ascii="Arial" w:hAnsi="Arial" w:cs="Arial"/>
          <w:color w:val="000000"/>
        </w:rPr>
        <w:t xml:space="preserve"> já alcançado em 201</w:t>
      </w:r>
      <w:r>
        <w:rPr>
          <w:rFonts w:ascii="Arial" w:hAnsi="Arial" w:cs="Arial"/>
          <w:color w:val="000000"/>
        </w:rPr>
        <w:t>5</w:t>
      </w:r>
      <w:r w:rsidRPr="00940563">
        <w:rPr>
          <w:rFonts w:ascii="Arial" w:hAnsi="Arial" w:cs="Arial"/>
          <w:color w:val="000000"/>
        </w:rPr>
        <w:t>, pois a exportação líquida de petróleo</w:t>
      </w:r>
      <w:r>
        <w:rPr>
          <w:rFonts w:ascii="Arial" w:hAnsi="Arial" w:cs="Arial"/>
          <w:color w:val="000000"/>
        </w:rPr>
        <w:t>,</w:t>
      </w:r>
      <w:r w:rsidRPr="00940563">
        <w:rPr>
          <w:rFonts w:ascii="Arial" w:hAnsi="Arial" w:cs="Arial"/>
          <w:color w:val="000000"/>
        </w:rPr>
        <w:t xml:space="preserve"> em volume</w:t>
      </w:r>
      <w:r>
        <w:rPr>
          <w:rFonts w:ascii="Arial" w:hAnsi="Arial" w:cs="Arial"/>
          <w:color w:val="000000"/>
        </w:rPr>
        <w:t>,</w:t>
      </w:r>
      <w:r w:rsidRPr="00940563">
        <w:rPr>
          <w:rFonts w:ascii="Arial" w:hAnsi="Arial" w:cs="Arial"/>
          <w:color w:val="000000"/>
        </w:rPr>
        <w:t xml:space="preserve"> superou a importação líquida de derivados, como pode ser visto na </w:t>
      </w:r>
      <w:r>
        <w:rPr>
          <w:rFonts w:ascii="Arial" w:hAnsi="Arial" w:cs="Arial"/>
          <w:color w:val="000000"/>
        </w:rPr>
        <w:t>t</w:t>
      </w:r>
      <w:r w:rsidRPr="00940563">
        <w:rPr>
          <w:rFonts w:ascii="Arial" w:hAnsi="Arial" w:cs="Arial"/>
          <w:color w:val="000000"/>
        </w:rPr>
        <w:t>abela 2</w:t>
      </w:r>
      <w:r w:rsidR="008F47D7">
        <w:rPr>
          <w:rFonts w:ascii="Arial" w:hAnsi="Arial" w:cs="Arial"/>
          <w:color w:val="000000"/>
        </w:rPr>
        <w:t>.64</w:t>
      </w:r>
      <w:r w:rsidRPr="00940563">
        <w:rPr>
          <w:rFonts w:ascii="Arial" w:hAnsi="Arial" w:cs="Arial"/>
          <w:color w:val="000000"/>
        </w:rPr>
        <w:t>.</w:t>
      </w:r>
    </w:p>
    <w:p w14:paraId="414A2038" w14:textId="77777777" w:rsidR="0041466A" w:rsidRPr="00380D92" w:rsidRDefault="0041466A" w:rsidP="0041466A">
      <w:pPr>
        <w:pStyle w:val="Corpodetexto3"/>
        <w:rPr>
          <w:sz w:val="20"/>
          <w:szCs w:val="20"/>
        </w:rPr>
      </w:pPr>
    </w:p>
    <w:p w14:paraId="53C2C921" w14:textId="75EE68DE"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8F47D7">
        <w:rPr>
          <w:rFonts w:ascii="Arial" w:hAnsi="Arial" w:cs="Arial"/>
          <w:b/>
          <w:bCs/>
          <w:color w:val="FF0000"/>
        </w:rPr>
        <w:t>64</w:t>
      </w:r>
    </w:p>
    <w:p w14:paraId="72AAC715" w14:textId="77777777" w:rsidR="0041466A" w:rsidRPr="00380D92" w:rsidRDefault="0041466A" w:rsidP="0041466A">
      <w:pPr>
        <w:autoSpaceDE w:val="0"/>
        <w:autoSpaceDN w:val="0"/>
        <w:adjustRightInd w:val="0"/>
        <w:jc w:val="both"/>
        <w:rPr>
          <w:rFonts w:ascii="Arial" w:hAnsi="Arial" w:cs="Arial"/>
          <w:b/>
          <w:bCs/>
        </w:rPr>
      </w:pPr>
    </w:p>
    <w:p w14:paraId="1CA47781" w14:textId="77777777"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Gráfico 2.29</w:t>
      </w:r>
    </w:p>
    <w:p w14:paraId="6C89418A" w14:textId="77777777" w:rsidR="0041466A" w:rsidRDefault="0041466A" w:rsidP="0041466A">
      <w:pPr>
        <w:autoSpaceDE w:val="0"/>
        <w:autoSpaceDN w:val="0"/>
        <w:adjustRightInd w:val="0"/>
        <w:jc w:val="both"/>
        <w:rPr>
          <w:rFonts w:ascii="Arial" w:hAnsi="Arial" w:cs="Arial"/>
          <w:b/>
          <w:bCs/>
        </w:rPr>
      </w:pPr>
    </w:p>
    <w:p w14:paraId="57BFA9CE" w14:textId="77777777" w:rsidR="00B303C4" w:rsidRDefault="00B303C4" w:rsidP="0041466A">
      <w:pPr>
        <w:autoSpaceDE w:val="0"/>
        <w:autoSpaceDN w:val="0"/>
        <w:adjustRightInd w:val="0"/>
        <w:jc w:val="both"/>
        <w:rPr>
          <w:rFonts w:ascii="Arial" w:hAnsi="Arial" w:cs="Arial"/>
          <w:b/>
          <w:bCs/>
        </w:rPr>
      </w:pPr>
    </w:p>
    <w:p w14:paraId="68A43561" w14:textId="1CDCBA4E" w:rsidR="0041466A" w:rsidRPr="00380D92" w:rsidRDefault="0041466A" w:rsidP="0041466A">
      <w:pPr>
        <w:autoSpaceDE w:val="0"/>
        <w:autoSpaceDN w:val="0"/>
        <w:adjustRightInd w:val="0"/>
        <w:jc w:val="both"/>
        <w:rPr>
          <w:rFonts w:ascii="Arial" w:hAnsi="Arial" w:cs="Arial"/>
          <w:b/>
          <w:bCs/>
          <w:color w:val="000000"/>
        </w:rPr>
      </w:pPr>
      <w:r w:rsidRPr="00380D92">
        <w:rPr>
          <w:rFonts w:ascii="Arial" w:hAnsi="Arial" w:cs="Arial"/>
          <w:b/>
          <w:bCs/>
          <w:color w:val="000000"/>
        </w:rPr>
        <w:t>2.</w:t>
      </w:r>
      <w:r w:rsidR="004555A2">
        <w:rPr>
          <w:rFonts w:ascii="Arial" w:hAnsi="Arial" w:cs="Arial"/>
          <w:b/>
          <w:bCs/>
          <w:color w:val="000000"/>
        </w:rPr>
        <w:t>5.4</w:t>
      </w:r>
      <w:r w:rsidRPr="00380D92">
        <w:rPr>
          <w:rFonts w:ascii="Arial" w:hAnsi="Arial" w:cs="Arial"/>
          <w:b/>
          <w:bCs/>
          <w:color w:val="000000"/>
        </w:rPr>
        <w:t xml:space="preserve"> I</w:t>
      </w:r>
      <w:r w:rsidR="004555A2" w:rsidRPr="00380D92">
        <w:rPr>
          <w:rFonts w:ascii="Arial" w:hAnsi="Arial" w:cs="Arial"/>
          <w:b/>
          <w:bCs/>
          <w:color w:val="000000"/>
        </w:rPr>
        <w:t>mportação e exportação de gás natural</w:t>
      </w:r>
    </w:p>
    <w:p w14:paraId="7EA0B9F4" w14:textId="77777777" w:rsidR="0041466A" w:rsidRPr="00380D92" w:rsidRDefault="0041466A" w:rsidP="0041466A">
      <w:pPr>
        <w:pStyle w:val="Corpodetexto3"/>
        <w:rPr>
          <w:sz w:val="20"/>
          <w:szCs w:val="20"/>
        </w:rPr>
      </w:pPr>
    </w:p>
    <w:p w14:paraId="770ABF2C" w14:textId="6D2DEFE8" w:rsidR="0041466A" w:rsidRPr="00380D92" w:rsidRDefault="0041466A" w:rsidP="0041466A">
      <w:pPr>
        <w:autoSpaceDE w:val="0"/>
        <w:autoSpaceDN w:val="0"/>
        <w:adjustRightInd w:val="0"/>
        <w:jc w:val="both"/>
        <w:rPr>
          <w:rFonts w:ascii="Arial" w:hAnsi="Arial" w:cs="Arial"/>
        </w:rPr>
      </w:pPr>
      <w:r>
        <w:rPr>
          <w:rFonts w:ascii="Arial" w:hAnsi="Arial" w:cs="Arial"/>
        </w:rPr>
        <w:t>Em 2025, a</w:t>
      </w:r>
      <w:r w:rsidRPr="36DAC812">
        <w:rPr>
          <w:rFonts w:ascii="Arial" w:hAnsi="Arial" w:cs="Arial"/>
        </w:rPr>
        <w:t xml:space="preserve">s importações brasileiras de gás natural </w:t>
      </w:r>
      <w:r w:rsidR="006B5488">
        <w:rPr>
          <w:rFonts w:ascii="Arial" w:hAnsi="Arial" w:cs="Arial"/>
        </w:rPr>
        <w:t>diminuíram</w:t>
      </w:r>
      <w:r>
        <w:rPr>
          <w:rFonts w:ascii="Arial" w:hAnsi="Arial" w:cs="Arial"/>
        </w:rPr>
        <w:t xml:space="preserve"> </w:t>
      </w:r>
      <w:r w:rsidR="006B5488">
        <w:rPr>
          <w:rFonts w:ascii="Arial" w:hAnsi="Arial" w:cs="Arial"/>
        </w:rPr>
        <w:t>16,9</w:t>
      </w:r>
      <w:r w:rsidRPr="36DAC812">
        <w:rPr>
          <w:rFonts w:ascii="Arial" w:hAnsi="Arial" w:cs="Arial"/>
        </w:rPr>
        <w:t xml:space="preserve">% em comparação a </w:t>
      </w:r>
      <w:r>
        <w:rPr>
          <w:rFonts w:ascii="Arial" w:hAnsi="Arial" w:cs="Arial"/>
        </w:rPr>
        <w:t>2024</w:t>
      </w:r>
      <w:r w:rsidRPr="36DAC812">
        <w:rPr>
          <w:rFonts w:ascii="Arial" w:hAnsi="Arial" w:cs="Arial"/>
        </w:rPr>
        <w:t xml:space="preserve">, totalizando </w:t>
      </w:r>
      <w:r w:rsidR="006B5488">
        <w:rPr>
          <w:rFonts w:ascii="Arial" w:hAnsi="Arial" w:cs="Arial"/>
        </w:rPr>
        <w:t>7</w:t>
      </w:r>
      <w:r w:rsidRPr="36DAC812">
        <w:rPr>
          <w:rFonts w:ascii="Arial" w:hAnsi="Arial" w:cs="Arial"/>
        </w:rPr>
        <w:t xml:space="preserve"> bilhões de m³. Desse volume,</w:t>
      </w:r>
      <w:r>
        <w:rPr>
          <w:rFonts w:ascii="Arial" w:hAnsi="Arial" w:cs="Arial"/>
        </w:rPr>
        <w:t xml:space="preserve"> </w:t>
      </w:r>
      <w:r w:rsidR="006B5488">
        <w:rPr>
          <w:rFonts w:ascii="Arial" w:hAnsi="Arial" w:cs="Arial"/>
        </w:rPr>
        <w:t>2</w:t>
      </w:r>
      <w:r>
        <w:rPr>
          <w:rFonts w:ascii="Arial" w:hAnsi="Arial" w:cs="Arial"/>
        </w:rPr>
        <w:t>,</w:t>
      </w:r>
      <w:r w:rsidR="006B5488">
        <w:rPr>
          <w:rFonts w:ascii="Arial" w:hAnsi="Arial" w:cs="Arial"/>
        </w:rPr>
        <w:t>5</w:t>
      </w:r>
      <w:r w:rsidRPr="36DAC812">
        <w:rPr>
          <w:rFonts w:ascii="Arial" w:hAnsi="Arial" w:cs="Arial"/>
        </w:rPr>
        <w:t xml:space="preserve"> </w:t>
      </w:r>
      <w:r>
        <w:rPr>
          <w:rFonts w:ascii="Arial" w:hAnsi="Arial" w:cs="Arial"/>
        </w:rPr>
        <w:t>b</w:t>
      </w:r>
      <w:r w:rsidRPr="36DAC812">
        <w:rPr>
          <w:rFonts w:ascii="Arial" w:hAnsi="Arial" w:cs="Arial"/>
        </w:rPr>
        <w:t>ilhões de m³ (</w:t>
      </w:r>
      <w:r>
        <w:rPr>
          <w:rFonts w:ascii="Arial" w:hAnsi="Arial" w:cs="Arial"/>
        </w:rPr>
        <w:t>3</w:t>
      </w:r>
      <w:r w:rsidR="006B5488">
        <w:rPr>
          <w:rFonts w:ascii="Arial" w:hAnsi="Arial" w:cs="Arial"/>
        </w:rPr>
        <w:t>6</w:t>
      </w:r>
      <w:r w:rsidRPr="36DAC812">
        <w:rPr>
          <w:rFonts w:ascii="Arial" w:hAnsi="Arial" w:cs="Arial"/>
        </w:rPr>
        <w:t>% do total) corresponderam a importações de gás natural liquefeito (GNL) e</w:t>
      </w:r>
      <w:r>
        <w:rPr>
          <w:rFonts w:ascii="Arial" w:hAnsi="Arial" w:cs="Arial"/>
        </w:rPr>
        <w:t xml:space="preserve"> </w:t>
      </w:r>
      <w:r w:rsidR="006B5488">
        <w:rPr>
          <w:rFonts w:ascii="Arial" w:hAnsi="Arial" w:cs="Arial"/>
        </w:rPr>
        <w:t>4</w:t>
      </w:r>
      <w:r>
        <w:rPr>
          <w:rFonts w:ascii="Arial" w:hAnsi="Arial" w:cs="Arial"/>
        </w:rPr>
        <w:t>,</w:t>
      </w:r>
      <w:r w:rsidR="006B5488">
        <w:rPr>
          <w:rFonts w:ascii="Arial" w:hAnsi="Arial" w:cs="Arial"/>
        </w:rPr>
        <w:t>5</w:t>
      </w:r>
      <w:r w:rsidRPr="36DAC812">
        <w:rPr>
          <w:rFonts w:ascii="Arial" w:hAnsi="Arial" w:cs="Arial"/>
        </w:rPr>
        <w:t xml:space="preserve"> bilhões de m³ a importações de gás natural da Bolívia.</w:t>
      </w:r>
    </w:p>
    <w:p w14:paraId="7254ECCC" w14:textId="77777777" w:rsidR="0041466A" w:rsidRPr="00380D92" w:rsidRDefault="0041466A" w:rsidP="0041466A">
      <w:pPr>
        <w:autoSpaceDE w:val="0"/>
        <w:autoSpaceDN w:val="0"/>
        <w:adjustRightInd w:val="0"/>
        <w:jc w:val="both"/>
        <w:rPr>
          <w:rFonts w:ascii="Arial" w:hAnsi="Arial" w:cs="Arial"/>
          <w:bCs/>
        </w:rPr>
      </w:pPr>
    </w:p>
    <w:p w14:paraId="31B5453C" w14:textId="77777777" w:rsidR="005037AB" w:rsidRDefault="00BA692D" w:rsidP="00BA692D">
      <w:pPr>
        <w:autoSpaceDE w:val="0"/>
        <w:autoSpaceDN w:val="0"/>
        <w:adjustRightInd w:val="0"/>
        <w:jc w:val="both"/>
        <w:rPr>
          <w:rFonts w:ascii="Arial" w:hAnsi="Arial" w:cs="Arial"/>
        </w:rPr>
      </w:pPr>
      <w:r w:rsidRPr="00BA692D">
        <w:rPr>
          <w:rFonts w:ascii="Arial" w:hAnsi="Arial" w:cs="Arial"/>
        </w:rPr>
        <w:t xml:space="preserve">O dispêndio com a importação de gás natural foi de cerca de US$ 1,1 bilhão, o que representou uma queda de 17,1% em relação a 2024. O valor médio do gás natural diminuiu </w:t>
      </w:r>
      <w:r w:rsidR="005821C3">
        <w:rPr>
          <w:rFonts w:ascii="Arial" w:hAnsi="Arial" w:cs="Arial"/>
        </w:rPr>
        <w:t>5</w:t>
      </w:r>
      <w:r w:rsidRPr="00BA692D">
        <w:rPr>
          <w:rFonts w:ascii="Arial" w:hAnsi="Arial" w:cs="Arial"/>
        </w:rPr>
        <w:t>,</w:t>
      </w:r>
      <w:r w:rsidR="005821C3">
        <w:rPr>
          <w:rFonts w:ascii="Arial" w:hAnsi="Arial" w:cs="Arial"/>
        </w:rPr>
        <w:t>2</w:t>
      </w:r>
      <w:r w:rsidRPr="00BA692D">
        <w:rPr>
          <w:rFonts w:ascii="Arial" w:hAnsi="Arial" w:cs="Arial"/>
        </w:rPr>
        <w:t>% em 2025, fixando-se em US$ 23</w:t>
      </w:r>
      <w:r w:rsidR="005821C3">
        <w:rPr>
          <w:rFonts w:ascii="Arial" w:hAnsi="Arial" w:cs="Arial"/>
        </w:rPr>
        <w:t>4</w:t>
      </w:r>
      <w:r w:rsidRPr="00BA692D">
        <w:rPr>
          <w:rFonts w:ascii="Arial" w:hAnsi="Arial" w:cs="Arial"/>
        </w:rPr>
        <w:t>,</w:t>
      </w:r>
      <w:r w:rsidR="005821C3">
        <w:rPr>
          <w:rFonts w:ascii="Arial" w:hAnsi="Arial" w:cs="Arial"/>
        </w:rPr>
        <w:t>73</w:t>
      </w:r>
      <w:r w:rsidRPr="00BA692D">
        <w:rPr>
          <w:rFonts w:ascii="Arial" w:hAnsi="Arial" w:cs="Arial"/>
        </w:rPr>
        <w:t xml:space="preserve">/mil m³. </w:t>
      </w:r>
    </w:p>
    <w:p w14:paraId="5EE8CAC8" w14:textId="77777777" w:rsidR="005037AB" w:rsidRDefault="005037AB" w:rsidP="00BA692D">
      <w:pPr>
        <w:autoSpaceDE w:val="0"/>
        <w:autoSpaceDN w:val="0"/>
        <w:adjustRightInd w:val="0"/>
        <w:jc w:val="both"/>
        <w:rPr>
          <w:rFonts w:ascii="Arial" w:hAnsi="Arial" w:cs="Arial"/>
        </w:rPr>
      </w:pPr>
    </w:p>
    <w:p w14:paraId="5FF3D3C4" w14:textId="165983DB" w:rsidR="00BA692D" w:rsidRPr="00BA692D" w:rsidRDefault="00BA692D" w:rsidP="00BA692D">
      <w:pPr>
        <w:autoSpaceDE w:val="0"/>
        <w:autoSpaceDN w:val="0"/>
        <w:adjustRightInd w:val="0"/>
        <w:jc w:val="both"/>
        <w:rPr>
          <w:rFonts w:ascii="Arial" w:hAnsi="Arial" w:cs="Arial"/>
        </w:rPr>
      </w:pPr>
      <w:r w:rsidRPr="00BA692D">
        <w:rPr>
          <w:rFonts w:ascii="Arial" w:hAnsi="Arial" w:cs="Arial"/>
        </w:rPr>
        <w:lastRenderedPageBreak/>
        <w:t>Por sua vez, o dispêndio com a importação de GNL registrou queda de 21,1%, totalizando US$ 937 milhões. O valor médio do GNL aumentou 3,4% em 2025, alcançando US$ 372,55/mil m³. Os países fornecedores de GNL para o Brasil foram Estados Unidos (90,1%), Trinidad e Tobago (5,2%), Camarões (3,3%) e Reino Unido (1,4%).</w:t>
      </w:r>
    </w:p>
    <w:p w14:paraId="280FFDF1" w14:textId="77777777" w:rsidR="00BA692D" w:rsidRPr="00BA692D" w:rsidRDefault="00BA692D" w:rsidP="00BA692D">
      <w:pPr>
        <w:autoSpaceDE w:val="0"/>
        <w:autoSpaceDN w:val="0"/>
        <w:adjustRightInd w:val="0"/>
        <w:jc w:val="both"/>
        <w:rPr>
          <w:rFonts w:ascii="Arial" w:hAnsi="Arial" w:cs="Arial"/>
        </w:rPr>
      </w:pPr>
    </w:p>
    <w:p w14:paraId="568734B8" w14:textId="032423AE" w:rsidR="00BA692D" w:rsidRDefault="00BA692D" w:rsidP="00BA692D">
      <w:pPr>
        <w:autoSpaceDE w:val="0"/>
        <w:autoSpaceDN w:val="0"/>
        <w:adjustRightInd w:val="0"/>
        <w:jc w:val="both"/>
        <w:rPr>
          <w:rFonts w:ascii="Arial" w:hAnsi="Arial" w:cs="Arial"/>
        </w:rPr>
      </w:pPr>
      <w:r w:rsidRPr="00BA692D">
        <w:rPr>
          <w:rFonts w:ascii="Arial" w:hAnsi="Arial" w:cs="Arial"/>
        </w:rPr>
        <w:t>Em 2025, as exportações brasileiras de GNL totalizaram 114 milhões de m³, destinadas principalmente à Turquia (60,6% do total), Singapura (37,2%) e Estados Unidos (2,1%).</w:t>
      </w:r>
    </w:p>
    <w:p w14:paraId="0672BADD" w14:textId="77777777" w:rsidR="00BA692D" w:rsidRDefault="00BA692D" w:rsidP="00BA692D">
      <w:pPr>
        <w:autoSpaceDE w:val="0"/>
        <w:autoSpaceDN w:val="0"/>
        <w:adjustRightInd w:val="0"/>
        <w:jc w:val="both"/>
        <w:rPr>
          <w:rFonts w:ascii="Arial" w:hAnsi="Arial" w:cs="Arial"/>
        </w:rPr>
      </w:pPr>
    </w:p>
    <w:p w14:paraId="7E2A6055" w14:textId="66CE16B5" w:rsidR="0041466A" w:rsidRDefault="00BA692D" w:rsidP="00BA692D">
      <w:pPr>
        <w:autoSpaceDE w:val="0"/>
        <w:autoSpaceDN w:val="0"/>
        <w:adjustRightInd w:val="0"/>
        <w:jc w:val="both"/>
        <w:rPr>
          <w:rFonts w:ascii="Arial" w:hAnsi="Arial" w:cs="Arial"/>
        </w:rPr>
      </w:pPr>
      <w:r w:rsidRPr="00BA692D">
        <w:rPr>
          <w:rFonts w:ascii="Arial" w:hAnsi="Arial" w:cs="Arial"/>
        </w:rPr>
        <w:t xml:space="preserve">A receita com a exportação </w:t>
      </w:r>
      <w:r w:rsidRPr="005821C3">
        <w:rPr>
          <w:rFonts w:ascii="Arial" w:hAnsi="Arial" w:cs="Arial"/>
        </w:rPr>
        <w:t>de GNL</w:t>
      </w:r>
      <w:r w:rsidRPr="00BA692D">
        <w:rPr>
          <w:rFonts w:ascii="Arial" w:hAnsi="Arial" w:cs="Arial"/>
        </w:rPr>
        <w:t xml:space="preserve"> somou US$ 60,7 milhões em 2025 e, </w:t>
      </w:r>
      <w:r w:rsidR="005821C3">
        <w:rPr>
          <w:rFonts w:ascii="Arial" w:hAnsi="Arial" w:cs="Arial"/>
        </w:rPr>
        <w:t>o</w:t>
      </w:r>
      <w:r w:rsidRPr="00BA692D">
        <w:rPr>
          <w:rFonts w:ascii="Arial" w:hAnsi="Arial" w:cs="Arial"/>
        </w:rPr>
        <w:t xml:space="preserve"> valor médio do GNL exportado foi de US$ 532,73/mil m³ em 2025.</w:t>
      </w:r>
    </w:p>
    <w:p w14:paraId="4E62C4D7" w14:textId="77777777" w:rsidR="00D168D1" w:rsidRPr="00380D92" w:rsidRDefault="00D168D1" w:rsidP="00BA692D">
      <w:pPr>
        <w:autoSpaceDE w:val="0"/>
        <w:autoSpaceDN w:val="0"/>
        <w:adjustRightInd w:val="0"/>
        <w:jc w:val="both"/>
        <w:rPr>
          <w:rFonts w:ascii="Arial" w:hAnsi="Arial" w:cs="Arial"/>
          <w:b/>
          <w:bCs/>
        </w:rPr>
      </w:pPr>
    </w:p>
    <w:p w14:paraId="3ABE8A93" w14:textId="5EDC83D9" w:rsidR="0041466A" w:rsidRPr="00380D92"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sidR="008F47D7">
        <w:rPr>
          <w:rFonts w:ascii="Arial" w:hAnsi="Arial" w:cs="Arial"/>
          <w:b/>
          <w:bCs/>
          <w:color w:val="FF0000"/>
        </w:rPr>
        <w:t>65</w:t>
      </w:r>
    </w:p>
    <w:p w14:paraId="5CF2BE3A" w14:textId="77777777" w:rsidR="008F47D7" w:rsidRDefault="0041466A" w:rsidP="0041466A">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6</w:t>
      </w:r>
      <w:r w:rsidR="008F47D7">
        <w:rPr>
          <w:rFonts w:ascii="Arial" w:hAnsi="Arial" w:cs="Arial"/>
          <w:b/>
          <w:bCs/>
          <w:color w:val="FF0000"/>
        </w:rPr>
        <w:t>6</w:t>
      </w:r>
    </w:p>
    <w:p w14:paraId="6531385E" w14:textId="2966A217" w:rsidR="0041466A" w:rsidRDefault="008F47D7" w:rsidP="0041466A">
      <w:pPr>
        <w:autoSpaceDE w:val="0"/>
        <w:autoSpaceDN w:val="0"/>
        <w:adjustRightInd w:val="0"/>
        <w:jc w:val="both"/>
        <w:rPr>
          <w:rFonts w:ascii="Arial" w:hAnsi="Arial" w:cs="Arial"/>
          <w:b/>
          <w:bCs/>
          <w:color w:val="FF0000"/>
        </w:rPr>
      </w:pPr>
      <w:r>
        <w:rPr>
          <w:rFonts w:ascii="Arial" w:hAnsi="Arial" w:cs="Arial"/>
          <w:b/>
          <w:bCs/>
          <w:color w:val="FF0000"/>
        </w:rPr>
        <w:t>Ta</w:t>
      </w:r>
      <w:r w:rsidR="0041466A" w:rsidRPr="00380D92">
        <w:rPr>
          <w:rFonts w:ascii="Arial" w:hAnsi="Arial" w:cs="Arial"/>
          <w:b/>
          <w:bCs/>
          <w:color w:val="FF0000"/>
        </w:rPr>
        <w:t>bela 2.</w:t>
      </w:r>
      <w:r w:rsidR="0041466A">
        <w:rPr>
          <w:rFonts w:ascii="Arial" w:hAnsi="Arial" w:cs="Arial"/>
          <w:b/>
          <w:bCs/>
          <w:color w:val="FF0000"/>
        </w:rPr>
        <w:t>6</w:t>
      </w:r>
      <w:r>
        <w:rPr>
          <w:rFonts w:ascii="Arial" w:hAnsi="Arial" w:cs="Arial"/>
          <w:b/>
          <w:bCs/>
          <w:color w:val="FF0000"/>
        </w:rPr>
        <w:t>7</w:t>
      </w:r>
    </w:p>
    <w:p w14:paraId="656C10A1" w14:textId="1C7989C1" w:rsidR="001F1194" w:rsidRDefault="0041466A" w:rsidP="008B61B4">
      <w:pPr>
        <w:autoSpaceDE w:val="0"/>
        <w:autoSpaceDN w:val="0"/>
        <w:adjustRightInd w:val="0"/>
        <w:jc w:val="both"/>
        <w:rPr>
          <w:rFonts w:ascii="Arial" w:hAnsi="Arial" w:cs="Arial"/>
          <w:b/>
          <w:bCs/>
          <w:color w:val="FF0000"/>
        </w:rPr>
      </w:pPr>
      <w:r w:rsidRPr="00380D92">
        <w:rPr>
          <w:rFonts w:ascii="Arial" w:hAnsi="Arial" w:cs="Arial"/>
          <w:b/>
          <w:bCs/>
          <w:color w:val="FF0000"/>
        </w:rPr>
        <w:t>Tabela 2.</w:t>
      </w:r>
      <w:r>
        <w:rPr>
          <w:rFonts w:ascii="Arial" w:hAnsi="Arial" w:cs="Arial"/>
          <w:b/>
          <w:bCs/>
          <w:color w:val="FF0000"/>
        </w:rPr>
        <w:t>6</w:t>
      </w:r>
      <w:r w:rsidR="008F47D7">
        <w:rPr>
          <w:rFonts w:ascii="Arial" w:hAnsi="Arial" w:cs="Arial"/>
          <w:b/>
          <w:bCs/>
          <w:color w:val="FF0000"/>
        </w:rPr>
        <w:t>8</w:t>
      </w:r>
    </w:p>
    <w:p w14:paraId="26E69AE3" w14:textId="224FB76C" w:rsidR="002574E3" w:rsidRPr="00380D92" w:rsidRDefault="002574E3" w:rsidP="002574E3">
      <w:pPr>
        <w:autoSpaceDE w:val="0"/>
        <w:autoSpaceDN w:val="0"/>
        <w:adjustRightInd w:val="0"/>
        <w:jc w:val="both"/>
        <w:rPr>
          <w:rFonts w:ascii="Arial" w:hAnsi="Arial" w:cs="Arial"/>
          <w:b/>
          <w:bCs/>
          <w:color w:val="FF0000"/>
        </w:rPr>
      </w:pPr>
      <w:r w:rsidRPr="00380D92">
        <w:rPr>
          <w:rFonts w:ascii="Arial" w:hAnsi="Arial" w:cs="Arial"/>
          <w:b/>
          <w:bCs/>
          <w:color w:val="FF0000"/>
        </w:rPr>
        <w:t>Gráfico 2.</w:t>
      </w:r>
      <w:r>
        <w:rPr>
          <w:rFonts w:ascii="Arial" w:hAnsi="Arial" w:cs="Arial"/>
          <w:b/>
          <w:bCs/>
          <w:color w:val="FF0000"/>
        </w:rPr>
        <w:t>30</w:t>
      </w:r>
    </w:p>
    <w:p w14:paraId="3ECFAA24" w14:textId="6106507A" w:rsidR="002574E3" w:rsidRPr="00380D92" w:rsidRDefault="002574E3" w:rsidP="002574E3">
      <w:pPr>
        <w:autoSpaceDE w:val="0"/>
        <w:autoSpaceDN w:val="0"/>
        <w:adjustRightInd w:val="0"/>
        <w:jc w:val="both"/>
        <w:rPr>
          <w:rFonts w:ascii="Arial" w:hAnsi="Arial" w:cs="Arial"/>
          <w:b/>
          <w:bCs/>
          <w:color w:val="FF0000"/>
        </w:rPr>
      </w:pPr>
      <w:r w:rsidRPr="00380D92">
        <w:rPr>
          <w:rFonts w:ascii="Arial" w:hAnsi="Arial" w:cs="Arial"/>
          <w:b/>
          <w:bCs/>
          <w:color w:val="FF0000"/>
        </w:rPr>
        <w:t>Gráfico 2.</w:t>
      </w:r>
      <w:r>
        <w:rPr>
          <w:rFonts w:ascii="Arial" w:hAnsi="Arial" w:cs="Arial"/>
          <w:b/>
          <w:bCs/>
          <w:color w:val="FF0000"/>
        </w:rPr>
        <w:t>3</w:t>
      </w:r>
      <w:r>
        <w:rPr>
          <w:rFonts w:ascii="Arial" w:hAnsi="Arial" w:cs="Arial"/>
          <w:b/>
          <w:bCs/>
          <w:color w:val="FF0000"/>
        </w:rPr>
        <w:t>1</w:t>
      </w:r>
    </w:p>
    <w:p w14:paraId="32C767D1" w14:textId="77777777" w:rsidR="002574E3" w:rsidRPr="0041466A" w:rsidRDefault="002574E3" w:rsidP="008B61B4">
      <w:pPr>
        <w:autoSpaceDE w:val="0"/>
        <w:autoSpaceDN w:val="0"/>
        <w:adjustRightInd w:val="0"/>
        <w:jc w:val="both"/>
      </w:pPr>
    </w:p>
    <w:sectPr w:rsidR="002574E3" w:rsidRPr="0041466A" w:rsidSect="00A11FD2">
      <w:footerReference w:type="even" r:id="rId8"/>
      <w:footerReference w:type="default" r:id="rId9"/>
      <w:pgSz w:w="11907" w:h="16840" w:code="9"/>
      <w:pgMar w:top="1191" w:right="1191" w:bottom="1191" w:left="1191" w:header="720" w:footer="72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E63389B" w14:textId="77777777" w:rsidR="00DE19C7" w:rsidRDefault="00DE19C7">
      <w:r>
        <w:separator/>
      </w:r>
    </w:p>
  </w:endnote>
  <w:endnote w:type="continuationSeparator" w:id="0">
    <w:p w14:paraId="76987D25" w14:textId="77777777" w:rsidR="00DE19C7" w:rsidRDefault="00DE19C7">
      <w:r>
        <w:continuationSeparator/>
      </w:r>
    </w:p>
  </w:endnote>
  <w:endnote w:type="continuationNotice" w:id="1">
    <w:p w14:paraId="26D7AC12" w14:textId="77777777" w:rsidR="00DE19C7" w:rsidRDefault="00DE19C7"/>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00"/>
    <w:family w:val="roman"/>
    <w:pitch w:val="variable"/>
    <w:sig w:usb0="00000003" w:usb1="00000000" w:usb2="00000000" w:usb3="00000000" w:csb0="00000001"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 w:name="Yu Mincho">
    <w:charset w:val="80"/>
    <w:family w:val="roman"/>
    <w:pitch w:val="variable"/>
    <w:sig w:usb0="800002E7" w:usb1="2AC7FCFF" w:usb2="00000012" w:usb3="00000000" w:csb0="0002009F" w:csb1="00000000"/>
  </w:font>
  <w:font w:name="Calibri">
    <w:panose1 w:val="020F05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10A6" w14:textId="77777777" w:rsidR="00953257" w:rsidRDefault="009532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12</w:t>
    </w:r>
    <w:r>
      <w:rPr>
        <w:rStyle w:val="Nmerodepgina"/>
      </w:rPr>
      <w:fldChar w:fldCharType="end"/>
    </w:r>
  </w:p>
  <w:p w14:paraId="656C10A7" w14:textId="77777777" w:rsidR="00953257" w:rsidRDefault="00953257">
    <w:pPr>
      <w:pStyle w:val="Rodap"/>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6C10A8" w14:textId="77777777" w:rsidR="00953257" w:rsidRDefault="00953257">
    <w:pPr>
      <w:pStyle w:val="Rodap"/>
      <w:framePr w:wrap="around" w:vAnchor="text" w:hAnchor="margin" w:xAlign="right" w:y="1"/>
      <w:rPr>
        <w:rStyle w:val="Nmerodepgina"/>
      </w:rPr>
    </w:pPr>
    <w:r>
      <w:rPr>
        <w:rStyle w:val="Nmerodepgina"/>
      </w:rPr>
      <w:fldChar w:fldCharType="begin"/>
    </w:r>
    <w:r>
      <w:rPr>
        <w:rStyle w:val="Nmerodepgina"/>
      </w:rPr>
      <w:instrText xml:space="preserve">PAGE  </w:instrText>
    </w:r>
    <w:r>
      <w:rPr>
        <w:rStyle w:val="Nmerodepgina"/>
      </w:rPr>
      <w:fldChar w:fldCharType="separate"/>
    </w:r>
    <w:r>
      <w:rPr>
        <w:rStyle w:val="Nmerodepgina"/>
        <w:noProof/>
      </w:rPr>
      <w:t>3</w:t>
    </w:r>
    <w:r>
      <w:rPr>
        <w:rStyle w:val="Nmerodepgina"/>
      </w:rPr>
      <w:fldChar w:fldCharType="end"/>
    </w:r>
  </w:p>
  <w:p w14:paraId="656C10A9" w14:textId="77777777" w:rsidR="00953257" w:rsidRDefault="00953257">
    <w:pPr>
      <w:pStyle w:val="Rodap"/>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B08FF53" w14:textId="77777777" w:rsidR="00DE19C7" w:rsidRDefault="00DE19C7">
      <w:r>
        <w:separator/>
      </w:r>
    </w:p>
  </w:footnote>
  <w:footnote w:type="continuationSeparator" w:id="0">
    <w:p w14:paraId="3DDFFF41" w14:textId="77777777" w:rsidR="00DE19C7" w:rsidRDefault="00DE19C7">
      <w:r>
        <w:continuationSeparator/>
      </w:r>
    </w:p>
  </w:footnote>
  <w:footnote w:type="continuationNotice" w:id="1">
    <w:p w14:paraId="033DF60A" w14:textId="77777777" w:rsidR="00DE19C7" w:rsidRDefault="00DE19C7"/>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2F02EDA"/>
    <w:multiLevelType w:val="multilevel"/>
    <w:tmpl w:val="5B2AB8AA"/>
    <w:lvl w:ilvl="0">
      <w:start w:val="1"/>
      <w:numFmt w:val="decimal"/>
      <w:lvlText w:val="%1."/>
      <w:lvlJc w:val="left"/>
      <w:pPr>
        <w:tabs>
          <w:tab w:val="num" w:pos="360"/>
        </w:tabs>
        <w:ind w:left="360" w:hanging="360"/>
      </w:pPr>
    </w:lvl>
    <w:lvl w:ilvl="1">
      <w:start w:val="1"/>
      <w:numFmt w:val="none"/>
      <w:lvlText w:val="...."/>
      <w:lvlJc w:val="left"/>
      <w:pPr>
        <w:tabs>
          <w:tab w:val="num" w:pos="792"/>
        </w:tabs>
        <w:ind w:left="792" w:hanging="432"/>
      </w:pPr>
    </w:lvl>
    <w:lvl w:ilvl="2">
      <w:start w:val="1"/>
      <w:numFmt w:val="decimal"/>
      <w:lvlText w:val="%1...."/>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3240"/>
        </w:tabs>
        <w:ind w:left="2232" w:hanging="792"/>
      </w:pPr>
    </w:lvl>
    <w:lvl w:ilvl="5">
      <w:start w:val="1"/>
      <w:numFmt w:val="decimal"/>
      <w:lvlText w:val="%1.%2.%3.%4.%5.%6."/>
      <w:lvlJc w:val="left"/>
      <w:pPr>
        <w:tabs>
          <w:tab w:val="num" w:pos="3960"/>
        </w:tabs>
        <w:ind w:left="2736" w:hanging="936"/>
      </w:pPr>
    </w:lvl>
    <w:lvl w:ilvl="6">
      <w:start w:val="1"/>
      <w:numFmt w:val="decimal"/>
      <w:lvlText w:val="%1.%2.%3.%4.%5.%6.%7."/>
      <w:lvlJc w:val="left"/>
      <w:pPr>
        <w:tabs>
          <w:tab w:val="num" w:pos="4320"/>
        </w:tabs>
        <w:ind w:left="3240" w:hanging="1080"/>
      </w:pPr>
    </w:lvl>
    <w:lvl w:ilvl="7">
      <w:start w:val="1"/>
      <w:numFmt w:val="decimal"/>
      <w:lvlText w:val="%1.%2.%3.%4.%5.%6.%7.%8."/>
      <w:lvlJc w:val="left"/>
      <w:pPr>
        <w:tabs>
          <w:tab w:val="num" w:pos="5040"/>
        </w:tabs>
        <w:ind w:left="3744" w:hanging="1224"/>
      </w:pPr>
    </w:lvl>
    <w:lvl w:ilvl="8">
      <w:start w:val="1"/>
      <w:numFmt w:val="decimal"/>
      <w:lvlText w:val="%1.%2.%3.%4.%5.%6.%7.%8.%9."/>
      <w:lvlJc w:val="left"/>
      <w:pPr>
        <w:tabs>
          <w:tab w:val="num" w:pos="5760"/>
        </w:tabs>
        <w:ind w:left="4320" w:hanging="1440"/>
      </w:pPr>
    </w:lvl>
  </w:abstractNum>
  <w:abstractNum w:abstractNumId="1" w15:restartNumberingAfterBreak="0">
    <w:nsid w:val="15296B10"/>
    <w:multiLevelType w:val="hybridMultilevel"/>
    <w:tmpl w:val="4FC83CCC"/>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2" w15:restartNumberingAfterBreak="0">
    <w:nsid w:val="1AF56367"/>
    <w:multiLevelType w:val="hybridMultilevel"/>
    <w:tmpl w:val="69E4E0CA"/>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3" w15:restartNumberingAfterBreak="0">
    <w:nsid w:val="1C5117E0"/>
    <w:multiLevelType w:val="multilevel"/>
    <w:tmpl w:val="5ADABA7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 w15:restartNumberingAfterBreak="0">
    <w:nsid w:val="39606995"/>
    <w:multiLevelType w:val="singleLevel"/>
    <w:tmpl w:val="8F5C5FF4"/>
    <w:lvl w:ilvl="0">
      <w:start w:val="4"/>
      <w:numFmt w:val="decimal"/>
      <w:lvlText w:val="%1."/>
      <w:lvlJc w:val="left"/>
      <w:pPr>
        <w:tabs>
          <w:tab w:val="num" w:pos="360"/>
        </w:tabs>
        <w:ind w:left="360" w:hanging="360"/>
      </w:pPr>
    </w:lvl>
  </w:abstractNum>
  <w:abstractNum w:abstractNumId="5" w15:restartNumberingAfterBreak="0">
    <w:nsid w:val="3B9E66CD"/>
    <w:multiLevelType w:val="hybridMultilevel"/>
    <w:tmpl w:val="15606996"/>
    <w:lvl w:ilvl="0" w:tplc="04160001">
      <w:start w:val="1"/>
      <w:numFmt w:val="bullet"/>
      <w:lvlText w:val=""/>
      <w:lvlJc w:val="left"/>
      <w:pPr>
        <w:ind w:left="360" w:hanging="360"/>
      </w:pPr>
      <w:rPr>
        <w:rFonts w:ascii="Symbol" w:hAnsi="Symbol" w:hint="default"/>
      </w:rPr>
    </w:lvl>
    <w:lvl w:ilvl="1" w:tplc="04160003" w:tentative="1">
      <w:start w:val="1"/>
      <w:numFmt w:val="bullet"/>
      <w:lvlText w:val="o"/>
      <w:lvlJc w:val="left"/>
      <w:pPr>
        <w:ind w:left="1080" w:hanging="360"/>
      </w:pPr>
      <w:rPr>
        <w:rFonts w:ascii="Courier New" w:hAnsi="Courier New" w:cs="Courier New" w:hint="default"/>
      </w:rPr>
    </w:lvl>
    <w:lvl w:ilvl="2" w:tplc="04160005" w:tentative="1">
      <w:start w:val="1"/>
      <w:numFmt w:val="bullet"/>
      <w:lvlText w:val=""/>
      <w:lvlJc w:val="left"/>
      <w:pPr>
        <w:ind w:left="1800" w:hanging="360"/>
      </w:pPr>
      <w:rPr>
        <w:rFonts w:ascii="Wingdings" w:hAnsi="Wingdings" w:hint="default"/>
      </w:rPr>
    </w:lvl>
    <w:lvl w:ilvl="3" w:tplc="04160001" w:tentative="1">
      <w:start w:val="1"/>
      <w:numFmt w:val="bullet"/>
      <w:lvlText w:val=""/>
      <w:lvlJc w:val="left"/>
      <w:pPr>
        <w:ind w:left="2520" w:hanging="360"/>
      </w:pPr>
      <w:rPr>
        <w:rFonts w:ascii="Symbol" w:hAnsi="Symbol" w:hint="default"/>
      </w:rPr>
    </w:lvl>
    <w:lvl w:ilvl="4" w:tplc="04160003" w:tentative="1">
      <w:start w:val="1"/>
      <w:numFmt w:val="bullet"/>
      <w:lvlText w:val="o"/>
      <w:lvlJc w:val="left"/>
      <w:pPr>
        <w:ind w:left="3240" w:hanging="360"/>
      </w:pPr>
      <w:rPr>
        <w:rFonts w:ascii="Courier New" w:hAnsi="Courier New" w:cs="Courier New" w:hint="default"/>
      </w:rPr>
    </w:lvl>
    <w:lvl w:ilvl="5" w:tplc="04160005" w:tentative="1">
      <w:start w:val="1"/>
      <w:numFmt w:val="bullet"/>
      <w:lvlText w:val=""/>
      <w:lvlJc w:val="left"/>
      <w:pPr>
        <w:ind w:left="3960" w:hanging="360"/>
      </w:pPr>
      <w:rPr>
        <w:rFonts w:ascii="Wingdings" w:hAnsi="Wingdings" w:hint="default"/>
      </w:rPr>
    </w:lvl>
    <w:lvl w:ilvl="6" w:tplc="04160001" w:tentative="1">
      <w:start w:val="1"/>
      <w:numFmt w:val="bullet"/>
      <w:lvlText w:val=""/>
      <w:lvlJc w:val="left"/>
      <w:pPr>
        <w:ind w:left="4680" w:hanging="360"/>
      </w:pPr>
      <w:rPr>
        <w:rFonts w:ascii="Symbol" w:hAnsi="Symbol" w:hint="default"/>
      </w:rPr>
    </w:lvl>
    <w:lvl w:ilvl="7" w:tplc="04160003" w:tentative="1">
      <w:start w:val="1"/>
      <w:numFmt w:val="bullet"/>
      <w:lvlText w:val="o"/>
      <w:lvlJc w:val="left"/>
      <w:pPr>
        <w:ind w:left="5400" w:hanging="360"/>
      </w:pPr>
      <w:rPr>
        <w:rFonts w:ascii="Courier New" w:hAnsi="Courier New" w:cs="Courier New" w:hint="default"/>
      </w:rPr>
    </w:lvl>
    <w:lvl w:ilvl="8" w:tplc="04160005" w:tentative="1">
      <w:start w:val="1"/>
      <w:numFmt w:val="bullet"/>
      <w:lvlText w:val=""/>
      <w:lvlJc w:val="left"/>
      <w:pPr>
        <w:ind w:left="6120" w:hanging="360"/>
      </w:pPr>
      <w:rPr>
        <w:rFonts w:ascii="Wingdings" w:hAnsi="Wingdings" w:hint="default"/>
      </w:rPr>
    </w:lvl>
  </w:abstractNum>
  <w:abstractNum w:abstractNumId="6" w15:restartNumberingAfterBreak="0">
    <w:nsid w:val="41F21994"/>
    <w:multiLevelType w:val="multilevel"/>
    <w:tmpl w:val="DD465966"/>
    <w:lvl w:ilvl="0">
      <w:start w:val="2"/>
      <w:numFmt w:val="decimal"/>
      <w:lvlText w:val="%1"/>
      <w:lvlJc w:val="left"/>
      <w:pPr>
        <w:tabs>
          <w:tab w:val="num" w:pos="375"/>
        </w:tabs>
        <w:ind w:left="375" w:hanging="375"/>
      </w:pPr>
      <w:rPr>
        <w:rFonts w:hint="default"/>
      </w:rPr>
    </w:lvl>
    <w:lvl w:ilvl="1">
      <w:start w:val="9"/>
      <w:numFmt w:val="decimal"/>
      <w:lvlText w:val="%1.%2"/>
      <w:lvlJc w:val="left"/>
      <w:pPr>
        <w:tabs>
          <w:tab w:val="num" w:pos="720"/>
        </w:tabs>
        <w:ind w:left="720" w:hanging="72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7" w15:restartNumberingAfterBreak="0">
    <w:nsid w:val="62E82814"/>
    <w:multiLevelType w:val="multilevel"/>
    <w:tmpl w:val="A5AA193C"/>
    <w:lvl w:ilvl="0">
      <w:start w:val="2"/>
      <w:numFmt w:val="decimal"/>
      <w:lvlText w:val="%1."/>
      <w:lvlJc w:val="left"/>
      <w:pPr>
        <w:tabs>
          <w:tab w:val="num" w:pos="705"/>
        </w:tabs>
        <w:ind w:left="705" w:hanging="705"/>
      </w:pPr>
      <w:rPr>
        <w:rFonts w:hint="default"/>
      </w:rPr>
    </w:lvl>
    <w:lvl w:ilvl="1">
      <w:start w:val="14"/>
      <w:numFmt w:val="decimal"/>
      <w:lvlText w:val="%1.%2."/>
      <w:lvlJc w:val="left"/>
      <w:pPr>
        <w:tabs>
          <w:tab w:val="num" w:pos="1429"/>
        </w:tabs>
        <w:ind w:left="1429" w:hanging="720"/>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3207"/>
        </w:tabs>
        <w:ind w:left="3207" w:hanging="108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985"/>
        </w:tabs>
        <w:ind w:left="4985" w:hanging="144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763"/>
        </w:tabs>
        <w:ind w:left="6763" w:hanging="1800"/>
      </w:pPr>
      <w:rPr>
        <w:rFonts w:hint="default"/>
      </w:rPr>
    </w:lvl>
    <w:lvl w:ilvl="8">
      <w:start w:val="1"/>
      <w:numFmt w:val="decimal"/>
      <w:lvlText w:val="%1.%2.%3.%4.%5.%6.%7.%8.%9."/>
      <w:lvlJc w:val="left"/>
      <w:pPr>
        <w:tabs>
          <w:tab w:val="num" w:pos="7832"/>
        </w:tabs>
        <w:ind w:left="7832" w:hanging="2160"/>
      </w:pPr>
      <w:rPr>
        <w:rFonts w:hint="default"/>
      </w:rPr>
    </w:lvl>
  </w:abstractNum>
  <w:abstractNum w:abstractNumId="8" w15:restartNumberingAfterBreak="0">
    <w:nsid w:val="6A021DA5"/>
    <w:multiLevelType w:val="multilevel"/>
    <w:tmpl w:val="E3DC3106"/>
    <w:lvl w:ilvl="0">
      <w:start w:val="2"/>
      <w:numFmt w:val="decimal"/>
      <w:lvlText w:val="%1"/>
      <w:lvlJc w:val="left"/>
      <w:pPr>
        <w:tabs>
          <w:tab w:val="num" w:pos="780"/>
        </w:tabs>
        <w:ind w:left="780" w:hanging="780"/>
      </w:pPr>
      <w:rPr>
        <w:rFonts w:hint="default"/>
      </w:rPr>
    </w:lvl>
    <w:lvl w:ilvl="1">
      <w:start w:val="5"/>
      <w:numFmt w:val="decimal"/>
      <w:lvlText w:val="%1.%2"/>
      <w:lvlJc w:val="left"/>
      <w:pPr>
        <w:tabs>
          <w:tab w:val="num" w:pos="780"/>
        </w:tabs>
        <w:ind w:left="780" w:hanging="7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9" w15:restartNumberingAfterBreak="0">
    <w:nsid w:val="6A27370A"/>
    <w:multiLevelType w:val="multilevel"/>
    <w:tmpl w:val="58C4C2A8"/>
    <w:lvl w:ilvl="0">
      <w:start w:val="2"/>
      <w:numFmt w:val="decimal"/>
      <w:lvlText w:val="%1"/>
      <w:lvlJc w:val="left"/>
      <w:pPr>
        <w:tabs>
          <w:tab w:val="num" w:pos="780"/>
        </w:tabs>
        <w:ind w:left="780" w:hanging="780"/>
      </w:pPr>
      <w:rPr>
        <w:rFonts w:hint="default"/>
      </w:rPr>
    </w:lvl>
    <w:lvl w:ilvl="1">
      <w:start w:val="12"/>
      <w:numFmt w:val="decimal"/>
      <w:lvlText w:val="%1.%2"/>
      <w:lvlJc w:val="left"/>
      <w:pPr>
        <w:tabs>
          <w:tab w:val="num" w:pos="780"/>
        </w:tabs>
        <w:ind w:left="780" w:hanging="780"/>
      </w:pPr>
      <w:rPr>
        <w:rFonts w:hint="default"/>
      </w:rPr>
    </w:lvl>
    <w:lvl w:ilvl="2">
      <w:start w:val="1"/>
      <w:numFmt w:val="decimal"/>
      <w:lvlText w:val="%1.%2.%3"/>
      <w:lvlJc w:val="left"/>
      <w:pPr>
        <w:tabs>
          <w:tab w:val="num" w:pos="1080"/>
        </w:tabs>
        <w:ind w:left="1080" w:hanging="1080"/>
      </w:pPr>
      <w:rPr>
        <w:rFonts w:hint="default"/>
      </w:rPr>
    </w:lvl>
    <w:lvl w:ilvl="3">
      <w:start w:val="1"/>
      <w:numFmt w:val="decimal"/>
      <w:lvlText w:val="%1.%2.%3.%4"/>
      <w:lvlJc w:val="left"/>
      <w:pPr>
        <w:tabs>
          <w:tab w:val="num" w:pos="1080"/>
        </w:tabs>
        <w:ind w:left="1080" w:hanging="1080"/>
      </w:pPr>
      <w:rPr>
        <w:rFonts w:hint="default"/>
      </w:rPr>
    </w:lvl>
    <w:lvl w:ilvl="4">
      <w:start w:val="1"/>
      <w:numFmt w:val="decimal"/>
      <w:lvlText w:val="%1.%2.%3.%4.%5"/>
      <w:lvlJc w:val="left"/>
      <w:pPr>
        <w:tabs>
          <w:tab w:val="num" w:pos="1440"/>
        </w:tabs>
        <w:ind w:left="1440" w:hanging="1440"/>
      </w:pPr>
      <w:rPr>
        <w:rFonts w:hint="default"/>
      </w:rPr>
    </w:lvl>
    <w:lvl w:ilvl="5">
      <w:start w:val="1"/>
      <w:numFmt w:val="decimal"/>
      <w:lvlText w:val="%1.%2.%3.%4.%5.%6"/>
      <w:lvlJc w:val="left"/>
      <w:pPr>
        <w:tabs>
          <w:tab w:val="num" w:pos="1800"/>
        </w:tabs>
        <w:ind w:left="1800" w:hanging="1800"/>
      </w:pPr>
      <w:rPr>
        <w:rFonts w:hint="default"/>
      </w:rPr>
    </w:lvl>
    <w:lvl w:ilvl="6">
      <w:start w:val="1"/>
      <w:numFmt w:val="decimal"/>
      <w:lvlText w:val="%1.%2.%3.%4.%5.%6.%7"/>
      <w:lvlJc w:val="left"/>
      <w:pPr>
        <w:tabs>
          <w:tab w:val="num" w:pos="2160"/>
        </w:tabs>
        <w:ind w:left="2160" w:hanging="2160"/>
      </w:pPr>
      <w:rPr>
        <w:rFonts w:hint="default"/>
      </w:rPr>
    </w:lvl>
    <w:lvl w:ilvl="7">
      <w:start w:val="1"/>
      <w:numFmt w:val="decimal"/>
      <w:lvlText w:val="%1.%2.%3.%4.%5.%6.%7.%8"/>
      <w:lvlJc w:val="left"/>
      <w:pPr>
        <w:tabs>
          <w:tab w:val="num" w:pos="2160"/>
        </w:tabs>
        <w:ind w:left="2160" w:hanging="2160"/>
      </w:pPr>
      <w:rPr>
        <w:rFonts w:hint="default"/>
      </w:rPr>
    </w:lvl>
    <w:lvl w:ilvl="8">
      <w:start w:val="1"/>
      <w:numFmt w:val="decimal"/>
      <w:lvlText w:val="%1.%2.%3.%4.%5.%6.%7.%8.%9"/>
      <w:lvlJc w:val="left"/>
      <w:pPr>
        <w:tabs>
          <w:tab w:val="num" w:pos="2520"/>
        </w:tabs>
        <w:ind w:left="2520" w:hanging="2520"/>
      </w:pPr>
      <w:rPr>
        <w:rFonts w:hint="default"/>
      </w:rPr>
    </w:lvl>
  </w:abstractNum>
  <w:abstractNum w:abstractNumId="10" w15:restartNumberingAfterBreak="0">
    <w:nsid w:val="6FCD4836"/>
    <w:multiLevelType w:val="multilevel"/>
    <w:tmpl w:val="21E0D2E2"/>
    <w:lvl w:ilvl="0">
      <w:start w:val="2"/>
      <w:numFmt w:val="decimal"/>
      <w:lvlText w:val="%1"/>
      <w:lvlJc w:val="left"/>
      <w:pPr>
        <w:tabs>
          <w:tab w:val="num" w:pos="870"/>
        </w:tabs>
        <w:ind w:left="870" w:hanging="870"/>
      </w:pPr>
      <w:rPr>
        <w:rFonts w:hint="default"/>
      </w:rPr>
    </w:lvl>
    <w:lvl w:ilvl="1">
      <w:start w:val="1"/>
      <w:numFmt w:val="decimal"/>
      <w:lvlText w:val="%1.%2"/>
      <w:lvlJc w:val="left"/>
      <w:pPr>
        <w:tabs>
          <w:tab w:val="num" w:pos="1410"/>
        </w:tabs>
        <w:ind w:left="1410" w:hanging="870"/>
      </w:pPr>
      <w:rPr>
        <w:rFonts w:hint="default"/>
      </w:rPr>
    </w:lvl>
    <w:lvl w:ilvl="2">
      <w:start w:val="1"/>
      <w:numFmt w:val="decimal"/>
      <w:lvlText w:val="%1.%2.%3"/>
      <w:lvlJc w:val="left"/>
      <w:pPr>
        <w:tabs>
          <w:tab w:val="num" w:pos="1950"/>
        </w:tabs>
        <w:ind w:left="1950" w:hanging="870"/>
      </w:pPr>
      <w:rPr>
        <w:rFonts w:hint="default"/>
      </w:rPr>
    </w:lvl>
    <w:lvl w:ilvl="3">
      <w:start w:val="1"/>
      <w:numFmt w:val="decimal"/>
      <w:lvlText w:val="%1.%2.%3.%4"/>
      <w:lvlJc w:val="left"/>
      <w:pPr>
        <w:tabs>
          <w:tab w:val="num" w:pos="2700"/>
        </w:tabs>
        <w:ind w:left="2700" w:hanging="1080"/>
      </w:pPr>
      <w:rPr>
        <w:rFonts w:hint="default"/>
      </w:rPr>
    </w:lvl>
    <w:lvl w:ilvl="4">
      <w:start w:val="1"/>
      <w:numFmt w:val="decimal"/>
      <w:lvlText w:val="%1.%2.%3.%4.%5"/>
      <w:lvlJc w:val="left"/>
      <w:pPr>
        <w:tabs>
          <w:tab w:val="num" w:pos="3600"/>
        </w:tabs>
        <w:ind w:left="3600" w:hanging="1440"/>
      </w:pPr>
      <w:rPr>
        <w:rFonts w:hint="default"/>
      </w:rPr>
    </w:lvl>
    <w:lvl w:ilvl="5">
      <w:start w:val="1"/>
      <w:numFmt w:val="decimal"/>
      <w:lvlText w:val="%1.%2.%3.%4.%5.%6"/>
      <w:lvlJc w:val="left"/>
      <w:pPr>
        <w:tabs>
          <w:tab w:val="num" w:pos="4140"/>
        </w:tabs>
        <w:ind w:left="4140" w:hanging="1440"/>
      </w:pPr>
      <w:rPr>
        <w:rFonts w:hint="default"/>
      </w:rPr>
    </w:lvl>
    <w:lvl w:ilvl="6">
      <w:start w:val="1"/>
      <w:numFmt w:val="decimal"/>
      <w:lvlText w:val="%1.%2.%3.%4.%5.%6.%7"/>
      <w:lvlJc w:val="left"/>
      <w:pPr>
        <w:tabs>
          <w:tab w:val="num" w:pos="5040"/>
        </w:tabs>
        <w:ind w:left="5040" w:hanging="1800"/>
      </w:pPr>
      <w:rPr>
        <w:rFonts w:hint="default"/>
      </w:rPr>
    </w:lvl>
    <w:lvl w:ilvl="7">
      <w:start w:val="1"/>
      <w:numFmt w:val="decimal"/>
      <w:lvlText w:val="%1.%2.%3.%4.%5.%6.%7.%8"/>
      <w:lvlJc w:val="left"/>
      <w:pPr>
        <w:tabs>
          <w:tab w:val="num" w:pos="5940"/>
        </w:tabs>
        <w:ind w:left="5940" w:hanging="2160"/>
      </w:pPr>
      <w:rPr>
        <w:rFonts w:hint="default"/>
      </w:rPr>
    </w:lvl>
    <w:lvl w:ilvl="8">
      <w:start w:val="1"/>
      <w:numFmt w:val="decimal"/>
      <w:lvlText w:val="%1.%2.%3.%4.%5.%6.%7.%8.%9"/>
      <w:lvlJc w:val="left"/>
      <w:pPr>
        <w:tabs>
          <w:tab w:val="num" w:pos="6480"/>
        </w:tabs>
        <w:ind w:left="6480" w:hanging="2160"/>
      </w:pPr>
      <w:rPr>
        <w:rFonts w:hint="default"/>
      </w:rPr>
    </w:lvl>
  </w:abstractNum>
  <w:abstractNum w:abstractNumId="11" w15:restartNumberingAfterBreak="0">
    <w:nsid w:val="7DDB1C73"/>
    <w:multiLevelType w:val="multilevel"/>
    <w:tmpl w:val="2D406386"/>
    <w:lvl w:ilvl="0">
      <w:start w:val="2"/>
      <w:numFmt w:val="decimal"/>
      <w:lvlText w:val="%1."/>
      <w:lvlJc w:val="left"/>
      <w:pPr>
        <w:tabs>
          <w:tab w:val="num" w:pos="705"/>
        </w:tabs>
        <w:ind w:left="705" w:hanging="705"/>
      </w:pPr>
      <w:rPr>
        <w:rFonts w:hint="default"/>
      </w:rPr>
    </w:lvl>
    <w:lvl w:ilvl="1">
      <w:start w:val="10"/>
      <w:numFmt w:val="decimal"/>
      <w:lvlText w:val="%1.%2."/>
      <w:lvlJc w:val="left"/>
      <w:pPr>
        <w:tabs>
          <w:tab w:val="num" w:pos="1414"/>
        </w:tabs>
        <w:ind w:left="1414" w:hanging="705"/>
      </w:pPr>
      <w:rPr>
        <w:rFonts w:hint="default"/>
      </w:rPr>
    </w:lvl>
    <w:lvl w:ilvl="2">
      <w:start w:val="1"/>
      <w:numFmt w:val="decimal"/>
      <w:lvlText w:val="%1.%2.%3."/>
      <w:lvlJc w:val="left"/>
      <w:pPr>
        <w:tabs>
          <w:tab w:val="num" w:pos="2138"/>
        </w:tabs>
        <w:ind w:left="2138" w:hanging="720"/>
      </w:pPr>
      <w:rPr>
        <w:rFonts w:hint="default"/>
      </w:rPr>
    </w:lvl>
    <w:lvl w:ilvl="3">
      <w:start w:val="1"/>
      <w:numFmt w:val="decimal"/>
      <w:lvlText w:val="%1.%2.%3.%4."/>
      <w:lvlJc w:val="left"/>
      <w:pPr>
        <w:tabs>
          <w:tab w:val="num" w:pos="2847"/>
        </w:tabs>
        <w:ind w:left="2847" w:hanging="720"/>
      </w:pPr>
      <w:rPr>
        <w:rFonts w:hint="default"/>
      </w:rPr>
    </w:lvl>
    <w:lvl w:ilvl="4">
      <w:start w:val="1"/>
      <w:numFmt w:val="decimal"/>
      <w:lvlText w:val="%1.%2.%3.%4.%5."/>
      <w:lvlJc w:val="left"/>
      <w:pPr>
        <w:tabs>
          <w:tab w:val="num" w:pos="3916"/>
        </w:tabs>
        <w:ind w:left="3916" w:hanging="1080"/>
      </w:pPr>
      <w:rPr>
        <w:rFonts w:hint="default"/>
      </w:rPr>
    </w:lvl>
    <w:lvl w:ilvl="5">
      <w:start w:val="1"/>
      <w:numFmt w:val="decimal"/>
      <w:lvlText w:val="%1.%2.%3.%4.%5.%6."/>
      <w:lvlJc w:val="left"/>
      <w:pPr>
        <w:tabs>
          <w:tab w:val="num" w:pos="4625"/>
        </w:tabs>
        <w:ind w:left="4625" w:hanging="1080"/>
      </w:pPr>
      <w:rPr>
        <w:rFonts w:hint="default"/>
      </w:rPr>
    </w:lvl>
    <w:lvl w:ilvl="6">
      <w:start w:val="1"/>
      <w:numFmt w:val="decimal"/>
      <w:lvlText w:val="%1.%2.%3.%4.%5.%6.%7."/>
      <w:lvlJc w:val="left"/>
      <w:pPr>
        <w:tabs>
          <w:tab w:val="num" w:pos="5694"/>
        </w:tabs>
        <w:ind w:left="5694" w:hanging="1440"/>
      </w:pPr>
      <w:rPr>
        <w:rFonts w:hint="default"/>
      </w:rPr>
    </w:lvl>
    <w:lvl w:ilvl="7">
      <w:start w:val="1"/>
      <w:numFmt w:val="decimal"/>
      <w:lvlText w:val="%1.%2.%3.%4.%5.%6.%7.%8."/>
      <w:lvlJc w:val="left"/>
      <w:pPr>
        <w:tabs>
          <w:tab w:val="num" w:pos="6403"/>
        </w:tabs>
        <w:ind w:left="6403" w:hanging="1440"/>
      </w:pPr>
      <w:rPr>
        <w:rFonts w:hint="default"/>
      </w:rPr>
    </w:lvl>
    <w:lvl w:ilvl="8">
      <w:start w:val="1"/>
      <w:numFmt w:val="decimal"/>
      <w:lvlText w:val="%1.%2.%3.%4.%5.%6.%7.%8.%9."/>
      <w:lvlJc w:val="left"/>
      <w:pPr>
        <w:tabs>
          <w:tab w:val="num" w:pos="7472"/>
        </w:tabs>
        <w:ind w:left="7472" w:hanging="1800"/>
      </w:pPr>
      <w:rPr>
        <w:rFonts w:hint="default"/>
      </w:rPr>
    </w:lvl>
  </w:abstractNum>
  <w:num w:numId="1" w16cid:durableId="182936962">
    <w:abstractNumId w:val="10"/>
  </w:num>
  <w:num w:numId="2" w16cid:durableId="2128233948">
    <w:abstractNumId w:val="8"/>
  </w:num>
  <w:num w:numId="3" w16cid:durableId="1591544527">
    <w:abstractNumId w:val="9"/>
  </w:num>
  <w:num w:numId="4" w16cid:durableId="1466459666">
    <w:abstractNumId w:val="6"/>
  </w:num>
  <w:num w:numId="5" w16cid:durableId="156072488">
    <w:abstractNumId w:val="4"/>
  </w:num>
  <w:num w:numId="6" w16cid:durableId="809178089">
    <w:abstractNumId w:val="0"/>
  </w:num>
  <w:num w:numId="7" w16cid:durableId="318193830">
    <w:abstractNumId w:val="11"/>
  </w:num>
  <w:num w:numId="8" w16cid:durableId="1856797911">
    <w:abstractNumId w:val="7"/>
  </w:num>
  <w:num w:numId="9" w16cid:durableId="516580097">
    <w:abstractNumId w:val="5"/>
  </w:num>
  <w:num w:numId="10" w16cid:durableId="1985113822">
    <w:abstractNumId w:val="2"/>
  </w:num>
  <w:num w:numId="11" w16cid:durableId="2038309902">
    <w:abstractNumId w:val="1"/>
  </w:num>
  <w:num w:numId="12" w16cid:durableId="196280533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 w:id="1"/>
  </w:footnotePr>
  <w:endnotePr>
    <w:endnote w:id="-1"/>
    <w:endnote w:id="0"/>
    <w:endnote w:id="1"/>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07BE"/>
    <w:rsid w:val="00000803"/>
    <w:rsid w:val="00000B74"/>
    <w:rsid w:val="00000B9C"/>
    <w:rsid w:val="00000ECF"/>
    <w:rsid w:val="0000131E"/>
    <w:rsid w:val="00001352"/>
    <w:rsid w:val="00001646"/>
    <w:rsid w:val="00001657"/>
    <w:rsid w:val="00001661"/>
    <w:rsid w:val="00001A5A"/>
    <w:rsid w:val="00002138"/>
    <w:rsid w:val="00002481"/>
    <w:rsid w:val="0000334E"/>
    <w:rsid w:val="00003601"/>
    <w:rsid w:val="000038F1"/>
    <w:rsid w:val="00003A15"/>
    <w:rsid w:val="00003DD6"/>
    <w:rsid w:val="00003E67"/>
    <w:rsid w:val="00004004"/>
    <w:rsid w:val="000044E9"/>
    <w:rsid w:val="000048FC"/>
    <w:rsid w:val="00005362"/>
    <w:rsid w:val="00006D54"/>
    <w:rsid w:val="000071C4"/>
    <w:rsid w:val="00007DF8"/>
    <w:rsid w:val="0000C2B1"/>
    <w:rsid w:val="00010320"/>
    <w:rsid w:val="000105AD"/>
    <w:rsid w:val="000112F1"/>
    <w:rsid w:val="00011571"/>
    <w:rsid w:val="00012293"/>
    <w:rsid w:val="0001246F"/>
    <w:rsid w:val="00012B6F"/>
    <w:rsid w:val="00012E66"/>
    <w:rsid w:val="0001392A"/>
    <w:rsid w:val="00013A85"/>
    <w:rsid w:val="00013A9D"/>
    <w:rsid w:val="00013D78"/>
    <w:rsid w:val="00014322"/>
    <w:rsid w:val="00014978"/>
    <w:rsid w:val="00014BEC"/>
    <w:rsid w:val="00015DB0"/>
    <w:rsid w:val="00016563"/>
    <w:rsid w:val="00016C03"/>
    <w:rsid w:val="00017D91"/>
    <w:rsid w:val="00017EEF"/>
    <w:rsid w:val="0002001C"/>
    <w:rsid w:val="00020078"/>
    <w:rsid w:val="000206A7"/>
    <w:rsid w:val="00020E39"/>
    <w:rsid w:val="00021771"/>
    <w:rsid w:val="00021CE0"/>
    <w:rsid w:val="00022586"/>
    <w:rsid w:val="00023A97"/>
    <w:rsid w:val="0002461C"/>
    <w:rsid w:val="00024670"/>
    <w:rsid w:val="00025101"/>
    <w:rsid w:val="000253BE"/>
    <w:rsid w:val="0002579B"/>
    <w:rsid w:val="00026850"/>
    <w:rsid w:val="00026D2A"/>
    <w:rsid w:val="00027755"/>
    <w:rsid w:val="000278D3"/>
    <w:rsid w:val="00030175"/>
    <w:rsid w:val="0003064A"/>
    <w:rsid w:val="00030AAD"/>
    <w:rsid w:val="00030F5C"/>
    <w:rsid w:val="00031092"/>
    <w:rsid w:val="0003114E"/>
    <w:rsid w:val="0003129C"/>
    <w:rsid w:val="00031D97"/>
    <w:rsid w:val="0003238E"/>
    <w:rsid w:val="00032455"/>
    <w:rsid w:val="000328F7"/>
    <w:rsid w:val="00032A64"/>
    <w:rsid w:val="0003318B"/>
    <w:rsid w:val="00033E29"/>
    <w:rsid w:val="0003479B"/>
    <w:rsid w:val="0003485A"/>
    <w:rsid w:val="00034C32"/>
    <w:rsid w:val="00036680"/>
    <w:rsid w:val="00036BF9"/>
    <w:rsid w:val="00036C5B"/>
    <w:rsid w:val="00037815"/>
    <w:rsid w:val="00037E64"/>
    <w:rsid w:val="00037FAE"/>
    <w:rsid w:val="00040923"/>
    <w:rsid w:val="00040BD7"/>
    <w:rsid w:val="00040C5C"/>
    <w:rsid w:val="00040D65"/>
    <w:rsid w:val="00040FF6"/>
    <w:rsid w:val="00041997"/>
    <w:rsid w:val="00042B69"/>
    <w:rsid w:val="0004302D"/>
    <w:rsid w:val="00043660"/>
    <w:rsid w:val="00043B4C"/>
    <w:rsid w:val="000443DC"/>
    <w:rsid w:val="000446B9"/>
    <w:rsid w:val="000447AB"/>
    <w:rsid w:val="000447EE"/>
    <w:rsid w:val="0004510E"/>
    <w:rsid w:val="000463B1"/>
    <w:rsid w:val="000463B7"/>
    <w:rsid w:val="00046B09"/>
    <w:rsid w:val="00046D62"/>
    <w:rsid w:val="00046DF7"/>
    <w:rsid w:val="00047134"/>
    <w:rsid w:val="00047561"/>
    <w:rsid w:val="000477D5"/>
    <w:rsid w:val="00050079"/>
    <w:rsid w:val="000506F4"/>
    <w:rsid w:val="000508B6"/>
    <w:rsid w:val="00050F27"/>
    <w:rsid w:val="0005104E"/>
    <w:rsid w:val="000514B1"/>
    <w:rsid w:val="00051890"/>
    <w:rsid w:val="00051E95"/>
    <w:rsid w:val="0005246F"/>
    <w:rsid w:val="00052AC1"/>
    <w:rsid w:val="00053D59"/>
    <w:rsid w:val="00053F21"/>
    <w:rsid w:val="0005440C"/>
    <w:rsid w:val="00054CE4"/>
    <w:rsid w:val="00054E93"/>
    <w:rsid w:val="000554BF"/>
    <w:rsid w:val="00056DDF"/>
    <w:rsid w:val="00057754"/>
    <w:rsid w:val="00057A5E"/>
    <w:rsid w:val="00057C76"/>
    <w:rsid w:val="00057CE2"/>
    <w:rsid w:val="00057F5C"/>
    <w:rsid w:val="000603D6"/>
    <w:rsid w:val="00060E03"/>
    <w:rsid w:val="00061ABA"/>
    <w:rsid w:val="00061D03"/>
    <w:rsid w:val="00061D23"/>
    <w:rsid w:val="000623AF"/>
    <w:rsid w:val="0006268F"/>
    <w:rsid w:val="00063153"/>
    <w:rsid w:val="00063C6D"/>
    <w:rsid w:val="000643B7"/>
    <w:rsid w:val="00064D2E"/>
    <w:rsid w:val="00064DAF"/>
    <w:rsid w:val="000663AE"/>
    <w:rsid w:val="00066469"/>
    <w:rsid w:val="000664FE"/>
    <w:rsid w:val="0006672A"/>
    <w:rsid w:val="00067758"/>
    <w:rsid w:val="00067BFB"/>
    <w:rsid w:val="0007001E"/>
    <w:rsid w:val="00070716"/>
    <w:rsid w:val="0007084E"/>
    <w:rsid w:val="00070CC3"/>
    <w:rsid w:val="00071593"/>
    <w:rsid w:val="000715E5"/>
    <w:rsid w:val="00072108"/>
    <w:rsid w:val="00072B15"/>
    <w:rsid w:val="00073188"/>
    <w:rsid w:val="00073CA7"/>
    <w:rsid w:val="000742B1"/>
    <w:rsid w:val="000747AC"/>
    <w:rsid w:val="00074F5B"/>
    <w:rsid w:val="000751FF"/>
    <w:rsid w:val="000755CB"/>
    <w:rsid w:val="00075909"/>
    <w:rsid w:val="00075C60"/>
    <w:rsid w:val="000761A2"/>
    <w:rsid w:val="00076C3D"/>
    <w:rsid w:val="00076F04"/>
    <w:rsid w:val="00076F59"/>
    <w:rsid w:val="000773D5"/>
    <w:rsid w:val="0007766D"/>
    <w:rsid w:val="00077804"/>
    <w:rsid w:val="00077811"/>
    <w:rsid w:val="00077A9F"/>
    <w:rsid w:val="00077F04"/>
    <w:rsid w:val="00077FBA"/>
    <w:rsid w:val="00080314"/>
    <w:rsid w:val="0008071A"/>
    <w:rsid w:val="00080FE8"/>
    <w:rsid w:val="00081315"/>
    <w:rsid w:val="00081C62"/>
    <w:rsid w:val="000821CB"/>
    <w:rsid w:val="00082541"/>
    <w:rsid w:val="00082F97"/>
    <w:rsid w:val="000835BE"/>
    <w:rsid w:val="00083895"/>
    <w:rsid w:val="000838E3"/>
    <w:rsid w:val="00083F04"/>
    <w:rsid w:val="00084296"/>
    <w:rsid w:val="000843AE"/>
    <w:rsid w:val="00084BD2"/>
    <w:rsid w:val="00085241"/>
    <w:rsid w:val="0008725B"/>
    <w:rsid w:val="000876E1"/>
    <w:rsid w:val="00087804"/>
    <w:rsid w:val="000878A5"/>
    <w:rsid w:val="0009073C"/>
    <w:rsid w:val="00090962"/>
    <w:rsid w:val="00090BF8"/>
    <w:rsid w:val="00091E2D"/>
    <w:rsid w:val="00092366"/>
    <w:rsid w:val="000925A2"/>
    <w:rsid w:val="00092F66"/>
    <w:rsid w:val="000931E6"/>
    <w:rsid w:val="0009348D"/>
    <w:rsid w:val="00093845"/>
    <w:rsid w:val="000938C6"/>
    <w:rsid w:val="00094387"/>
    <w:rsid w:val="00094B72"/>
    <w:rsid w:val="00095696"/>
    <w:rsid w:val="00095845"/>
    <w:rsid w:val="00095E9D"/>
    <w:rsid w:val="000967FF"/>
    <w:rsid w:val="000968EB"/>
    <w:rsid w:val="00096BD5"/>
    <w:rsid w:val="0009D1B0"/>
    <w:rsid w:val="000A0D3A"/>
    <w:rsid w:val="000A0E42"/>
    <w:rsid w:val="000A1261"/>
    <w:rsid w:val="000A12F7"/>
    <w:rsid w:val="000A1946"/>
    <w:rsid w:val="000A20B2"/>
    <w:rsid w:val="000A2363"/>
    <w:rsid w:val="000A337B"/>
    <w:rsid w:val="000A395E"/>
    <w:rsid w:val="000A4A1D"/>
    <w:rsid w:val="000A4F59"/>
    <w:rsid w:val="000A5021"/>
    <w:rsid w:val="000A5740"/>
    <w:rsid w:val="000A59B2"/>
    <w:rsid w:val="000A618C"/>
    <w:rsid w:val="000A694B"/>
    <w:rsid w:val="000A76B3"/>
    <w:rsid w:val="000B1A6A"/>
    <w:rsid w:val="000B1F8F"/>
    <w:rsid w:val="000B30CB"/>
    <w:rsid w:val="000B3808"/>
    <w:rsid w:val="000B3C44"/>
    <w:rsid w:val="000B4875"/>
    <w:rsid w:val="000B48A5"/>
    <w:rsid w:val="000B4EBC"/>
    <w:rsid w:val="000B534E"/>
    <w:rsid w:val="000B55CE"/>
    <w:rsid w:val="000B55F5"/>
    <w:rsid w:val="000B6230"/>
    <w:rsid w:val="000B65E0"/>
    <w:rsid w:val="000B65F8"/>
    <w:rsid w:val="000B67B1"/>
    <w:rsid w:val="000B6B37"/>
    <w:rsid w:val="000B6DA6"/>
    <w:rsid w:val="000B73EF"/>
    <w:rsid w:val="000B768A"/>
    <w:rsid w:val="000B780A"/>
    <w:rsid w:val="000B787B"/>
    <w:rsid w:val="000B7925"/>
    <w:rsid w:val="000C06D9"/>
    <w:rsid w:val="000C084B"/>
    <w:rsid w:val="000C0CF9"/>
    <w:rsid w:val="000C0CFF"/>
    <w:rsid w:val="000C1510"/>
    <w:rsid w:val="000C16B4"/>
    <w:rsid w:val="000C1733"/>
    <w:rsid w:val="000C2B9F"/>
    <w:rsid w:val="000C3552"/>
    <w:rsid w:val="000C4163"/>
    <w:rsid w:val="000C43C2"/>
    <w:rsid w:val="000C480C"/>
    <w:rsid w:val="000C55EA"/>
    <w:rsid w:val="000C57BF"/>
    <w:rsid w:val="000C5A60"/>
    <w:rsid w:val="000C5F15"/>
    <w:rsid w:val="000C666E"/>
    <w:rsid w:val="000C6698"/>
    <w:rsid w:val="000C6AC8"/>
    <w:rsid w:val="000C71CE"/>
    <w:rsid w:val="000C7259"/>
    <w:rsid w:val="000C7314"/>
    <w:rsid w:val="000C763A"/>
    <w:rsid w:val="000C77E9"/>
    <w:rsid w:val="000C7A04"/>
    <w:rsid w:val="000D004E"/>
    <w:rsid w:val="000D0C19"/>
    <w:rsid w:val="000D0FB3"/>
    <w:rsid w:val="000D1417"/>
    <w:rsid w:val="000D1AA8"/>
    <w:rsid w:val="000D2C04"/>
    <w:rsid w:val="000D2C1C"/>
    <w:rsid w:val="000D33BE"/>
    <w:rsid w:val="000D3559"/>
    <w:rsid w:val="000D3B3D"/>
    <w:rsid w:val="000D4AE7"/>
    <w:rsid w:val="000D5153"/>
    <w:rsid w:val="000D592A"/>
    <w:rsid w:val="000D5988"/>
    <w:rsid w:val="000D5AC0"/>
    <w:rsid w:val="000D5D37"/>
    <w:rsid w:val="000D60A2"/>
    <w:rsid w:val="000D645C"/>
    <w:rsid w:val="000D6917"/>
    <w:rsid w:val="000D7C33"/>
    <w:rsid w:val="000D7EFE"/>
    <w:rsid w:val="000E04F5"/>
    <w:rsid w:val="000E09A5"/>
    <w:rsid w:val="000E0D26"/>
    <w:rsid w:val="000E0FB0"/>
    <w:rsid w:val="000E1255"/>
    <w:rsid w:val="000E12BE"/>
    <w:rsid w:val="000E178F"/>
    <w:rsid w:val="000E1C7C"/>
    <w:rsid w:val="000E217F"/>
    <w:rsid w:val="000E266E"/>
    <w:rsid w:val="000E2921"/>
    <w:rsid w:val="000E33EA"/>
    <w:rsid w:val="000E3DB6"/>
    <w:rsid w:val="000E4C02"/>
    <w:rsid w:val="000E4CD2"/>
    <w:rsid w:val="000E57E8"/>
    <w:rsid w:val="000E599F"/>
    <w:rsid w:val="000E6462"/>
    <w:rsid w:val="000E6494"/>
    <w:rsid w:val="000E6814"/>
    <w:rsid w:val="000E689B"/>
    <w:rsid w:val="000E75B3"/>
    <w:rsid w:val="000E79F5"/>
    <w:rsid w:val="000E7C04"/>
    <w:rsid w:val="000F0C43"/>
    <w:rsid w:val="000F2576"/>
    <w:rsid w:val="000F3444"/>
    <w:rsid w:val="000F4562"/>
    <w:rsid w:val="000F561A"/>
    <w:rsid w:val="000F5846"/>
    <w:rsid w:val="000F67C1"/>
    <w:rsid w:val="000F72C5"/>
    <w:rsid w:val="00100257"/>
    <w:rsid w:val="001007F0"/>
    <w:rsid w:val="0010269C"/>
    <w:rsid w:val="0010355A"/>
    <w:rsid w:val="001036ED"/>
    <w:rsid w:val="001038DA"/>
    <w:rsid w:val="00103B65"/>
    <w:rsid w:val="00103D54"/>
    <w:rsid w:val="00103E47"/>
    <w:rsid w:val="00103F8D"/>
    <w:rsid w:val="00104676"/>
    <w:rsid w:val="001049E8"/>
    <w:rsid w:val="00104EAC"/>
    <w:rsid w:val="00105441"/>
    <w:rsid w:val="00105E25"/>
    <w:rsid w:val="00107598"/>
    <w:rsid w:val="001101A8"/>
    <w:rsid w:val="00110212"/>
    <w:rsid w:val="0011041B"/>
    <w:rsid w:val="00110F5B"/>
    <w:rsid w:val="001110D5"/>
    <w:rsid w:val="00111597"/>
    <w:rsid w:val="001119BF"/>
    <w:rsid w:val="00111B13"/>
    <w:rsid w:val="00112403"/>
    <w:rsid w:val="00112C8C"/>
    <w:rsid w:val="00113068"/>
    <w:rsid w:val="0011340D"/>
    <w:rsid w:val="00113F66"/>
    <w:rsid w:val="0011497A"/>
    <w:rsid w:val="00114A13"/>
    <w:rsid w:val="00114C13"/>
    <w:rsid w:val="00114CCC"/>
    <w:rsid w:val="00115B27"/>
    <w:rsid w:val="00116228"/>
    <w:rsid w:val="00116642"/>
    <w:rsid w:val="00117422"/>
    <w:rsid w:val="00117502"/>
    <w:rsid w:val="001176CA"/>
    <w:rsid w:val="0011795E"/>
    <w:rsid w:val="00117CEB"/>
    <w:rsid w:val="00117D59"/>
    <w:rsid w:val="00120346"/>
    <w:rsid w:val="00120AD9"/>
    <w:rsid w:val="00121076"/>
    <w:rsid w:val="001216DF"/>
    <w:rsid w:val="00121961"/>
    <w:rsid w:val="00122580"/>
    <w:rsid w:val="0012262A"/>
    <w:rsid w:val="00122AD8"/>
    <w:rsid w:val="00122B5A"/>
    <w:rsid w:val="0012317C"/>
    <w:rsid w:val="00123347"/>
    <w:rsid w:val="00123911"/>
    <w:rsid w:val="00123AB5"/>
    <w:rsid w:val="00124047"/>
    <w:rsid w:val="001244BE"/>
    <w:rsid w:val="00125340"/>
    <w:rsid w:val="001258AF"/>
    <w:rsid w:val="00125F93"/>
    <w:rsid w:val="0012631B"/>
    <w:rsid w:val="00126817"/>
    <w:rsid w:val="00126CFA"/>
    <w:rsid w:val="00126ED9"/>
    <w:rsid w:val="00127E7B"/>
    <w:rsid w:val="00130BDC"/>
    <w:rsid w:val="00130E1B"/>
    <w:rsid w:val="0013121E"/>
    <w:rsid w:val="0013122A"/>
    <w:rsid w:val="00132A3F"/>
    <w:rsid w:val="00132F3F"/>
    <w:rsid w:val="001334E5"/>
    <w:rsid w:val="001338F7"/>
    <w:rsid w:val="001342F7"/>
    <w:rsid w:val="00134887"/>
    <w:rsid w:val="0013588E"/>
    <w:rsid w:val="001358E8"/>
    <w:rsid w:val="00135FD4"/>
    <w:rsid w:val="00135FE2"/>
    <w:rsid w:val="00136C91"/>
    <w:rsid w:val="00136E95"/>
    <w:rsid w:val="00137072"/>
    <w:rsid w:val="00137877"/>
    <w:rsid w:val="00140007"/>
    <w:rsid w:val="00140DD3"/>
    <w:rsid w:val="00140DFB"/>
    <w:rsid w:val="0014128A"/>
    <w:rsid w:val="00141553"/>
    <w:rsid w:val="00142205"/>
    <w:rsid w:val="00142597"/>
    <w:rsid w:val="001426F0"/>
    <w:rsid w:val="00142E7B"/>
    <w:rsid w:val="00143B7A"/>
    <w:rsid w:val="00143DFC"/>
    <w:rsid w:val="00145063"/>
    <w:rsid w:val="00145705"/>
    <w:rsid w:val="001457F2"/>
    <w:rsid w:val="00145802"/>
    <w:rsid w:val="00146196"/>
    <w:rsid w:val="0014638D"/>
    <w:rsid w:val="001464FF"/>
    <w:rsid w:val="00146827"/>
    <w:rsid w:val="00146954"/>
    <w:rsid w:val="00146C6B"/>
    <w:rsid w:val="00147491"/>
    <w:rsid w:val="00147C57"/>
    <w:rsid w:val="00150274"/>
    <w:rsid w:val="00150B7A"/>
    <w:rsid w:val="00151090"/>
    <w:rsid w:val="001512ED"/>
    <w:rsid w:val="00151B08"/>
    <w:rsid w:val="00152248"/>
    <w:rsid w:val="001524A7"/>
    <w:rsid w:val="00153274"/>
    <w:rsid w:val="0015344E"/>
    <w:rsid w:val="001535C9"/>
    <w:rsid w:val="00153958"/>
    <w:rsid w:val="00153EF7"/>
    <w:rsid w:val="00153F70"/>
    <w:rsid w:val="001541CF"/>
    <w:rsid w:val="0015465B"/>
    <w:rsid w:val="00155203"/>
    <w:rsid w:val="001558E6"/>
    <w:rsid w:val="00155A7F"/>
    <w:rsid w:val="00155D29"/>
    <w:rsid w:val="00155D98"/>
    <w:rsid w:val="0015612D"/>
    <w:rsid w:val="00156231"/>
    <w:rsid w:val="00156274"/>
    <w:rsid w:val="001567B3"/>
    <w:rsid w:val="00156A70"/>
    <w:rsid w:val="00160134"/>
    <w:rsid w:val="0016160E"/>
    <w:rsid w:val="0016165C"/>
    <w:rsid w:val="001623DB"/>
    <w:rsid w:val="001624EA"/>
    <w:rsid w:val="00162730"/>
    <w:rsid w:val="0016275A"/>
    <w:rsid w:val="00163084"/>
    <w:rsid w:val="00164238"/>
    <w:rsid w:val="00164240"/>
    <w:rsid w:val="00165D44"/>
    <w:rsid w:val="00165E59"/>
    <w:rsid w:val="00165F04"/>
    <w:rsid w:val="00166432"/>
    <w:rsid w:val="00166655"/>
    <w:rsid w:val="001666D1"/>
    <w:rsid w:val="00166B10"/>
    <w:rsid w:val="00166CC3"/>
    <w:rsid w:val="00166DAA"/>
    <w:rsid w:val="00167D18"/>
    <w:rsid w:val="00170DBA"/>
    <w:rsid w:val="001716F3"/>
    <w:rsid w:val="00171AF6"/>
    <w:rsid w:val="00172020"/>
    <w:rsid w:val="0017223D"/>
    <w:rsid w:val="00172BD7"/>
    <w:rsid w:val="00172E09"/>
    <w:rsid w:val="0017360D"/>
    <w:rsid w:val="00173919"/>
    <w:rsid w:val="00173AAF"/>
    <w:rsid w:val="00174292"/>
    <w:rsid w:val="0017476D"/>
    <w:rsid w:val="001750C9"/>
    <w:rsid w:val="00175133"/>
    <w:rsid w:val="001751D4"/>
    <w:rsid w:val="001762BC"/>
    <w:rsid w:val="00176C59"/>
    <w:rsid w:val="00177964"/>
    <w:rsid w:val="00177D37"/>
    <w:rsid w:val="00180029"/>
    <w:rsid w:val="001803ED"/>
    <w:rsid w:val="001805B6"/>
    <w:rsid w:val="00181234"/>
    <w:rsid w:val="00181C6C"/>
    <w:rsid w:val="00181F38"/>
    <w:rsid w:val="0018264D"/>
    <w:rsid w:val="00182E4F"/>
    <w:rsid w:val="00182ECA"/>
    <w:rsid w:val="00182FEF"/>
    <w:rsid w:val="001845EC"/>
    <w:rsid w:val="001847C4"/>
    <w:rsid w:val="0018557B"/>
    <w:rsid w:val="00185BF6"/>
    <w:rsid w:val="00185E5C"/>
    <w:rsid w:val="00185EC7"/>
    <w:rsid w:val="00186478"/>
    <w:rsid w:val="00186952"/>
    <w:rsid w:val="00186C8F"/>
    <w:rsid w:val="00186DEE"/>
    <w:rsid w:val="001877BF"/>
    <w:rsid w:val="0018786A"/>
    <w:rsid w:val="00187890"/>
    <w:rsid w:val="0019065E"/>
    <w:rsid w:val="0019070A"/>
    <w:rsid w:val="00191F5A"/>
    <w:rsid w:val="0019248C"/>
    <w:rsid w:val="00192618"/>
    <w:rsid w:val="001929B3"/>
    <w:rsid w:val="00192B5D"/>
    <w:rsid w:val="00194815"/>
    <w:rsid w:val="00194F48"/>
    <w:rsid w:val="001957B4"/>
    <w:rsid w:val="001963E7"/>
    <w:rsid w:val="0019674A"/>
    <w:rsid w:val="00196D91"/>
    <w:rsid w:val="00197504"/>
    <w:rsid w:val="0019756D"/>
    <w:rsid w:val="00197A28"/>
    <w:rsid w:val="001A019F"/>
    <w:rsid w:val="001A0606"/>
    <w:rsid w:val="001A1130"/>
    <w:rsid w:val="001A1826"/>
    <w:rsid w:val="001A2011"/>
    <w:rsid w:val="001A330C"/>
    <w:rsid w:val="001A4B9C"/>
    <w:rsid w:val="001A590D"/>
    <w:rsid w:val="001A5AFA"/>
    <w:rsid w:val="001A7A41"/>
    <w:rsid w:val="001B000F"/>
    <w:rsid w:val="001B023C"/>
    <w:rsid w:val="001B0E70"/>
    <w:rsid w:val="001B14CF"/>
    <w:rsid w:val="001B19A9"/>
    <w:rsid w:val="001B1AB9"/>
    <w:rsid w:val="001B1CFD"/>
    <w:rsid w:val="001B270C"/>
    <w:rsid w:val="001B283E"/>
    <w:rsid w:val="001B3A71"/>
    <w:rsid w:val="001B3FED"/>
    <w:rsid w:val="001B412D"/>
    <w:rsid w:val="001B4E0A"/>
    <w:rsid w:val="001B5551"/>
    <w:rsid w:val="001B55D0"/>
    <w:rsid w:val="001B5A4F"/>
    <w:rsid w:val="001B69BA"/>
    <w:rsid w:val="001B6DCD"/>
    <w:rsid w:val="001B7AA0"/>
    <w:rsid w:val="001B7AA9"/>
    <w:rsid w:val="001B7EDF"/>
    <w:rsid w:val="001C011B"/>
    <w:rsid w:val="001C05AD"/>
    <w:rsid w:val="001C0E61"/>
    <w:rsid w:val="001C0E86"/>
    <w:rsid w:val="001C1246"/>
    <w:rsid w:val="001C13A0"/>
    <w:rsid w:val="001C147F"/>
    <w:rsid w:val="001C16A2"/>
    <w:rsid w:val="001C2660"/>
    <w:rsid w:val="001C27CC"/>
    <w:rsid w:val="001C2803"/>
    <w:rsid w:val="001C3138"/>
    <w:rsid w:val="001C3B42"/>
    <w:rsid w:val="001C5C2B"/>
    <w:rsid w:val="001C6043"/>
    <w:rsid w:val="001C69AB"/>
    <w:rsid w:val="001C7AD1"/>
    <w:rsid w:val="001C7B7B"/>
    <w:rsid w:val="001C7E87"/>
    <w:rsid w:val="001C7FE5"/>
    <w:rsid w:val="001D0632"/>
    <w:rsid w:val="001D0830"/>
    <w:rsid w:val="001D0E2F"/>
    <w:rsid w:val="001D12C0"/>
    <w:rsid w:val="001D13BD"/>
    <w:rsid w:val="001D1488"/>
    <w:rsid w:val="001D14C0"/>
    <w:rsid w:val="001D17E2"/>
    <w:rsid w:val="001D1D90"/>
    <w:rsid w:val="001D1DA8"/>
    <w:rsid w:val="001D2260"/>
    <w:rsid w:val="001D2381"/>
    <w:rsid w:val="001D23CA"/>
    <w:rsid w:val="001D27BD"/>
    <w:rsid w:val="001D27FF"/>
    <w:rsid w:val="001D32AE"/>
    <w:rsid w:val="001D33E7"/>
    <w:rsid w:val="001D3745"/>
    <w:rsid w:val="001D4101"/>
    <w:rsid w:val="001D4702"/>
    <w:rsid w:val="001D5566"/>
    <w:rsid w:val="001D55F2"/>
    <w:rsid w:val="001D59AC"/>
    <w:rsid w:val="001D7279"/>
    <w:rsid w:val="001E0E14"/>
    <w:rsid w:val="001E0FE0"/>
    <w:rsid w:val="001E155A"/>
    <w:rsid w:val="001E38F0"/>
    <w:rsid w:val="001E3CA8"/>
    <w:rsid w:val="001E3E53"/>
    <w:rsid w:val="001E3EB7"/>
    <w:rsid w:val="001E412E"/>
    <w:rsid w:val="001E42E6"/>
    <w:rsid w:val="001E4DBD"/>
    <w:rsid w:val="001E50C3"/>
    <w:rsid w:val="001E52B2"/>
    <w:rsid w:val="001E5CB9"/>
    <w:rsid w:val="001E65A0"/>
    <w:rsid w:val="001E71F0"/>
    <w:rsid w:val="001E74D2"/>
    <w:rsid w:val="001E7555"/>
    <w:rsid w:val="001E78C9"/>
    <w:rsid w:val="001E7BF3"/>
    <w:rsid w:val="001F0C74"/>
    <w:rsid w:val="001F1194"/>
    <w:rsid w:val="001F1BE8"/>
    <w:rsid w:val="001F223B"/>
    <w:rsid w:val="001F299F"/>
    <w:rsid w:val="001F320D"/>
    <w:rsid w:val="001F35CF"/>
    <w:rsid w:val="001F3762"/>
    <w:rsid w:val="001F3BB3"/>
    <w:rsid w:val="001F52D6"/>
    <w:rsid w:val="001F5FD8"/>
    <w:rsid w:val="001F634C"/>
    <w:rsid w:val="001F6F79"/>
    <w:rsid w:val="001F75EA"/>
    <w:rsid w:val="001F7952"/>
    <w:rsid w:val="001F7963"/>
    <w:rsid w:val="001F7C8B"/>
    <w:rsid w:val="001F7C91"/>
    <w:rsid w:val="0020032B"/>
    <w:rsid w:val="00200D8E"/>
    <w:rsid w:val="00201104"/>
    <w:rsid w:val="00201871"/>
    <w:rsid w:val="0020195C"/>
    <w:rsid w:val="0020251F"/>
    <w:rsid w:val="002038C8"/>
    <w:rsid w:val="00203FCD"/>
    <w:rsid w:val="002041BB"/>
    <w:rsid w:val="0020525F"/>
    <w:rsid w:val="002054E7"/>
    <w:rsid w:val="00205F85"/>
    <w:rsid w:val="002064FD"/>
    <w:rsid w:val="002069C9"/>
    <w:rsid w:val="00207448"/>
    <w:rsid w:val="002075FE"/>
    <w:rsid w:val="00211837"/>
    <w:rsid w:val="00211CB7"/>
    <w:rsid w:val="00212454"/>
    <w:rsid w:val="00212663"/>
    <w:rsid w:val="002135B4"/>
    <w:rsid w:val="002137A4"/>
    <w:rsid w:val="002149FB"/>
    <w:rsid w:val="0021555C"/>
    <w:rsid w:val="00216032"/>
    <w:rsid w:val="00217156"/>
    <w:rsid w:val="00220453"/>
    <w:rsid w:val="002204D3"/>
    <w:rsid w:val="00220933"/>
    <w:rsid w:val="00221717"/>
    <w:rsid w:val="00221846"/>
    <w:rsid w:val="00223760"/>
    <w:rsid w:val="0022384F"/>
    <w:rsid w:val="00223AA0"/>
    <w:rsid w:val="00223FEE"/>
    <w:rsid w:val="00224142"/>
    <w:rsid w:val="00224300"/>
    <w:rsid w:val="00224B9C"/>
    <w:rsid w:val="0022574B"/>
    <w:rsid w:val="00226411"/>
    <w:rsid w:val="0022650A"/>
    <w:rsid w:val="0022680F"/>
    <w:rsid w:val="00226BD6"/>
    <w:rsid w:val="0022763D"/>
    <w:rsid w:val="002279D1"/>
    <w:rsid w:val="00227B5E"/>
    <w:rsid w:val="00227BA9"/>
    <w:rsid w:val="00227DF4"/>
    <w:rsid w:val="0022A8A5"/>
    <w:rsid w:val="002300A9"/>
    <w:rsid w:val="00230194"/>
    <w:rsid w:val="002305A9"/>
    <w:rsid w:val="00231A1C"/>
    <w:rsid w:val="00232582"/>
    <w:rsid w:val="00232AE9"/>
    <w:rsid w:val="00232B90"/>
    <w:rsid w:val="002330B8"/>
    <w:rsid w:val="00233D88"/>
    <w:rsid w:val="00233E6D"/>
    <w:rsid w:val="00234670"/>
    <w:rsid w:val="00234917"/>
    <w:rsid w:val="00236AC1"/>
    <w:rsid w:val="002376C1"/>
    <w:rsid w:val="002408DA"/>
    <w:rsid w:val="00240ACB"/>
    <w:rsid w:val="002410C6"/>
    <w:rsid w:val="0024155A"/>
    <w:rsid w:val="00241729"/>
    <w:rsid w:val="00242130"/>
    <w:rsid w:val="00243771"/>
    <w:rsid w:val="002437C0"/>
    <w:rsid w:val="0024389B"/>
    <w:rsid w:val="00244370"/>
    <w:rsid w:val="00244779"/>
    <w:rsid w:val="00245515"/>
    <w:rsid w:val="00245539"/>
    <w:rsid w:val="0024617A"/>
    <w:rsid w:val="002462D7"/>
    <w:rsid w:val="00246581"/>
    <w:rsid w:val="00246FB6"/>
    <w:rsid w:val="002474D5"/>
    <w:rsid w:val="002476D3"/>
    <w:rsid w:val="0025082E"/>
    <w:rsid w:val="0025130F"/>
    <w:rsid w:val="002519F7"/>
    <w:rsid w:val="00251CB0"/>
    <w:rsid w:val="00251CFE"/>
    <w:rsid w:val="00252707"/>
    <w:rsid w:val="0025350A"/>
    <w:rsid w:val="002546FB"/>
    <w:rsid w:val="00254824"/>
    <w:rsid w:val="0025525A"/>
    <w:rsid w:val="00255904"/>
    <w:rsid w:val="002560FA"/>
    <w:rsid w:val="002574E3"/>
    <w:rsid w:val="002574EE"/>
    <w:rsid w:val="00257736"/>
    <w:rsid w:val="00260274"/>
    <w:rsid w:val="002603FE"/>
    <w:rsid w:val="00261D08"/>
    <w:rsid w:val="00262278"/>
    <w:rsid w:val="0026234D"/>
    <w:rsid w:val="00262B33"/>
    <w:rsid w:val="00262B62"/>
    <w:rsid w:val="00263165"/>
    <w:rsid w:val="00264362"/>
    <w:rsid w:val="00264677"/>
    <w:rsid w:val="00264C26"/>
    <w:rsid w:val="00264D88"/>
    <w:rsid w:val="002650FE"/>
    <w:rsid w:val="00265DF0"/>
    <w:rsid w:val="0026600E"/>
    <w:rsid w:val="00266538"/>
    <w:rsid w:val="00266CFE"/>
    <w:rsid w:val="00266D3A"/>
    <w:rsid w:val="00266F6D"/>
    <w:rsid w:val="002672E3"/>
    <w:rsid w:val="002673B9"/>
    <w:rsid w:val="00267B4E"/>
    <w:rsid w:val="00267FD0"/>
    <w:rsid w:val="0027025C"/>
    <w:rsid w:val="00270347"/>
    <w:rsid w:val="0027078F"/>
    <w:rsid w:val="00270881"/>
    <w:rsid w:val="002708FC"/>
    <w:rsid w:val="002712AB"/>
    <w:rsid w:val="0027136E"/>
    <w:rsid w:val="00271519"/>
    <w:rsid w:val="00271B0B"/>
    <w:rsid w:val="00271D52"/>
    <w:rsid w:val="00272EDE"/>
    <w:rsid w:val="00273493"/>
    <w:rsid w:val="00273850"/>
    <w:rsid w:val="00273D63"/>
    <w:rsid w:val="00275149"/>
    <w:rsid w:val="00275265"/>
    <w:rsid w:val="002763A1"/>
    <w:rsid w:val="00276ECB"/>
    <w:rsid w:val="002817EF"/>
    <w:rsid w:val="00281F34"/>
    <w:rsid w:val="00283696"/>
    <w:rsid w:val="00283CCB"/>
    <w:rsid w:val="00283D6A"/>
    <w:rsid w:val="00283DD3"/>
    <w:rsid w:val="002842DF"/>
    <w:rsid w:val="002843E1"/>
    <w:rsid w:val="00284B88"/>
    <w:rsid w:val="00285E63"/>
    <w:rsid w:val="00285F9D"/>
    <w:rsid w:val="00286242"/>
    <w:rsid w:val="00286919"/>
    <w:rsid w:val="002875D6"/>
    <w:rsid w:val="00287F80"/>
    <w:rsid w:val="00290799"/>
    <w:rsid w:val="00290D6D"/>
    <w:rsid w:val="00291502"/>
    <w:rsid w:val="00291AD9"/>
    <w:rsid w:val="00291C88"/>
    <w:rsid w:val="002923B4"/>
    <w:rsid w:val="00292484"/>
    <w:rsid w:val="0029294C"/>
    <w:rsid w:val="002929DD"/>
    <w:rsid w:val="00292C89"/>
    <w:rsid w:val="0029301E"/>
    <w:rsid w:val="002937A4"/>
    <w:rsid w:val="00294ED4"/>
    <w:rsid w:val="002950F0"/>
    <w:rsid w:val="0029559D"/>
    <w:rsid w:val="0029599C"/>
    <w:rsid w:val="002965C5"/>
    <w:rsid w:val="00297498"/>
    <w:rsid w:val="00297EC6"/>
    <w:rsid w:val="00299A29"/>
    <w:rsid w:val="002A1937"/>
    <w:rsid w:val="002A1C40"/>
    <w:rsid w:val="002A228E"/>
    <w:rsid w:val="002A2298"/>
    <w:rsid w:val="002A334D"/>
    <w:rsid w:val="002A3C6C"/>
    <w:rsid w:val="002A3DB6"/>
    <w:rsid w:val="002A3E19"/>
    <w:rsid w:val="002A40EC"/>
    <w:rsid w:val="002A4326"/>
    <w:rsid w:val="002A460F"/>
    <w:rsid w:val="002A479C"/>
    <w:rsid w:val="002A4905"/>
    <w:rsid w:val="002A4959"/>
    <w:rsid w:val="002A50C6"/>
    <w:rsid w:val="002A52E3"/>
    <w:rsid w:val="002A5379"/>
    <w:rsid w:val="002A58B6"/>
    <w:rsid w:val="002A63F2"/>
    <w:rsid w:val="002A678A"/>
    <w:rsid w:val="002A68C6"/>
    <w:rsid w:val="002A69BE"/>
    <w:rsid w:val="002A6FFF"/>
    <w:rsid w:val="002A7136"/>
    <w:rsid w:val="002A783D"/>
    <w:rsid w:val="002A7BA3"/>
    <w:rsid w:val="002A7E3B"/>
    <w:rsid w:val="002B0080"/>
    <w:rsid w:val="002B1293"/>
    <w:rsid w:val="002B13FA"/>
    <w:rsid w:val="002B1B9A"/>
    <w:rsid w:val="002B1F21"/>
    <w:rsid w:val="002B20A6"/>
    <w:rsid w:val="002B2124"/>
    <w:rsid w:val="002B22F1"/>
    <w:rsid w:val="002B2F87"/>
    <w:rsid w:val="002B304A"/>
    <w:rsid w:val="002B3D6A"/>
    <w:rsid w:val="002B523C"/>
    <w:rsid w:val="002B5D26"/>
    <w:rsid w:val="002B6EBC"/>
    <w:rsid w:val="002B75E7"/>
    <w:rsid w:val="002B7718"/>
    <w:rsid w:val="002B7819"/>
    <w:rsid w:val="002C103B"/>
    <w:rsid w:val="002C111D"/>
    <w:rsid w:val="002C1221"/>
    <w:rsid w:val="002C12CC"/>
    <w:rsid w:val="002C202F"/>
    <w:rsid w:val="002C33ED"/>
    <w:rsid w:val="002C4033"/>
    <w:rsid w:val="002C4072"/>
    <w:rsid w:val="002C4363"/>
    <w:rsid w:val="002C4CA4"/>
    <w:rsid w:val="002C5EC4"/>
    <w:rsid w:val="002C6508"/>
    <w:rsid w:val="002C73C7"/>
    <w:rsid w:val="002C7438"/>
    <w:rsid w:val="002C7A4F"/>
    <w:rsid w:val="002D000F"/>
    <w:rsid w:val="002D0289"/>
    <w:rsid w:val="002D0C69"/>
    <w:rsid w:val="002D0D23"/>
    <w:rsid w:val="002D0F6E"/>
    <w:rsid w:val="002D0FC6"/>
    <w:rsid w:val="002D11B2"/>
    <w:rsid w:val="002D1594"/>
    <w:rsid w:val="002D1894"/>
    <w:rsid w:val="002D1C8D"/>
    <w:rsid w:val="002D1F8A"/>
    <w:rsid w:val="002D20B8"/>
    <w:rsid w:val="002D2280"/>
    <w:rsid w:val="002D2528"/>
    <w:rsid w:val="002D252D"/>
    <w:rsid w:val="002D2CCB"/>
    <w:rsid w:val="002D3DD4"/>
    <w:rsid w:val="002D44B8"/>
    <w:rsid w:val="002D5019"/>
    <w:rsid w:val="002D5AE6"/>
    <w:rsid w:val="002D5BC4"/>
    <w:rsid w:val="002D5F5D"/>
    <w:rsid w:val="002D6357"/>
    <w:rsid w:val="002D660E"/>
    <w:rsid w:val="002D6662"/>
    <w:rsid w:val="002D677B"/>
    <w:rsid w:val="002D6FC8"/>
    <w:rsid w:val="002D7F19"/>
    <w:rsid w:val="002E0371"/>
    <w:rsid w:val="002E0535"/>
    <w:rsid w:val="002E0E47"/>
    <w:rsid w:val="002E1E78"/>
    <w:rsid w:val="002E2020"/>
    <w:rsid w:val="002E2296"/>
    <w:rsid w:val="002E2839"/>
    <w:rsid w:val="002E365D"/>
    <w:rsid w:val="002E375F"/>
    <w:rsid w:val="002E4447"/>
    <w:rsid w:val="002E4949"/>
    <w:rsid w:val="002E4D9A"/>
    <w:rsid w:val="002E5A0C"/>
    <w:rsid w:val="002E5C94"/>
    <w:rsid w:val="002E5CB2"/>
    <w:rsid w:val="002E5DE5"/>
    <w:rsid w:val="002E6C67"/>
    <w:rsid w:val="002E6EB7"/>
    <w:rsid w:val="002E7922"/>
    <w:rsid w:val="002E797C"/>
    <w:rsid w:val="002F0462"/>
    <w:rsid w:val="002F067F"/>
    <w:rsid w:val="002F09E6"/>
    <w:rsid w:val="002F0B3C"/>
    <w:rsid w:val="002F0C47"/>
    <w:rsid w:val="002F0C5B"/>
    <w:rsid w:val="002F153C"/>
    <w:rsid w:val="002F1ABB"/>
    <w:rsid w:val="002F1C61"/>
    <w:rsid w:val="002F2E6B"/>
    <w:rsid w:val="002F3089"/>
    <w:rsid w:val="002F33E2"/>
    <w:rsid w:val="002F3406"/>
    <w:rsid w:val="002F3BDA"/>
    <w:rsid w:val="002F3F33"/>
    <w:rsid w:val="002F4FED"/>
    <w:rsid w:val="002F566A"/>
    <w:rsid w:val="002F58DA"/>
    <w:rsid w:val="002F5E4A"/>
    <w:rsid w:val="002F6D83"/>
    <w:rsid w:val="002F7EB8"/>
    <w:rsid w:val="003002AC"/>
    <w:rsid w:val="003009FA"/>
    <w:rsid w:val="003019AD"/>
    <w:rsid w:val="003035E8"/>
    <w:rsid w:val="003041EB"/>
    <w:rsid w:val="003041FC"/>
    <w:rsid w:val="00304275"/>
    <w:rsid w:val="00304867"/>
    <w:rsid w:val="003048C5"/>
    <w:rsid w:val="00304918"/>
    <w:rsid w:val="00304A81"/>
    <w:rsid w:val="003051F1"/>
    <w:rsid w:val="00305650"/>
    <w:rsid w:val="0030568F"/>
    <w:rsid w:val="00305AF7"/>
    <w:rsid w:val="00305C1F"/>
    <w:rsid w:val="00305C6B"/>
    <w:rsid w:val="003064F7"/>
    <w:rsid w:val="00306B15"/>
    <w:rsid w:val="0030700A"/>
    <w:rsid w:val="003076DD"/>
    <w:rsid w:val="003077CA"/>
    <w:rsid w:val="00307D73"/>
    <w:rsid w:val="00310072"/>
    <w:rsid w:val="003105F7"/>
    <w:rsid w:val="003113AD"/>
    <w:rsid w:val="003134D3"/>
    <w:rsid w:val="0031443E"/>
    <w:rsid w:val="00314511"/>
    <w:rsid w:val="0031482A"/>
    <w:rsid w:val="00314B57"/>
    <w:rsid w:val="00314CEC"/>
    <w:rsid w:val="00314DF4"/>
    <w:rsid w:val="00315735"/>
    <w:rsid w:val="00315ECA"/>
    <w:rsid w:val="003164CB"/>
    <w:rsid w:val="00316B49"/>
    <w:rsid w:val="00316B7B"/>
    <w:rsid w:val="00317B71"/>
    <w:rsid w:val="0032062B"/>
    <w:rsid w:val="0032082E"/>
    <w:rsid w:val="00320D69"/>
    <w:rsid w:val="00321735"/>
    <w:rsid w:val="00321BB0"/>
    <w:rsid w:val="00321C47"/>
    <w:rsid w:val="00322E81"/>
    <w:rsid w:val="00323269"/>
    <w:rsid w:val="00324258"/>
    <w:rsid w:val="003242ED"/>
    <w:rsid w:val="003246FE"/>
    <w:rsid w:val="00324E52"/>
    <w:rsid w:val="003251D4"/>
    <w:rsid w:val="0032525C"/>
    <w:rsid w:val="00325B02"/>
    <w:rsid w:val="0032641D"/>
    <w:rsid w:val="00326B44"/>
    <w:rsid w:val="00327180"/>
    <w:rsid w:val="00327BEA"/>
    <w:rsid w:val="00327D73"/>
    <w:rsid w:val="00331BC5"/>
    <w:rsid w:val="003330F7"/>
    <w:rsid w:val="0033337E"/>
    <w:rsid w:val="00333B01"/>
    <w:rsid w:val="00334397"/>
    <w:rsid w:val="003344A0"/>
    <w:rsid w:val="00334BF2"/>
    <w:rsid w:val="00334DC1"/>
    <w:rsid w:val="0033506C"/>
    <w:rsid w:val="00335975"/>
    <w:rsid w:val="00335AE2"/>
    <w:rsid w:val="00335DD1"/>
    <w:rsid w:val="00335FF8"/>
    <w:rsid w:val="00336009"/>
    <w:rsid w:val="00336098"/>
    <w:rsid w:val="003366B5"/>
    <w:rsid w:val="00336C66"/>
    <w:rsid w:val="00340254"/>
    <w:rsid w:val="003407C9"/>
    <w:rsid w:val="00340AF3"/>
    <w:rsid w:val="0034136C"/>
    <w:rsid w:val="00342535"/>
    <w:rsid w:val="00342974"/>
    <w:rsid w:val="00343158"/>
    <w:rsid w:val="0034341D"/>
    <w:rsid w:val="00343682"/>
    <w:rsid w:val="00343742"/>
    <w:rsid w:val="0034380F"/>
    <w:rsid w:val="00344AC9"/>
    <w:rsid w:val="003452AF"/>
    <w:rsid w:val="003454DA"/>
    <w:rsid w:val="0034676C"/>
    <w:rsid w:val="00346AAB"/>
    <w:rsid w:val="00346AB3"/>
    <w:rsid w:val="00347205"/>
    <w:rsid w:val="003473A3"/>
    <w:rsid w:val="00347AA9"/>
    <w:rsid w:val="00347C47"/>
    <w:rsid w:val="00347DBB"/>
    <w:rsid w:val="0035026D"/>
    <w:rsid w:val="003504D1"/>
    <w:rsid w:val="003509E1"/>
    <w:rsid w:val="00351794"/>
    <w:rsid w:val="00351967"/>
    <w:rsid w:val="003519B9"/>
    <w:rsid w:val="00351B7D"/>
    <w:rsid w:val="00351D0A"/>
    <w:rsid w:val="0035238D"/>
    <w:rsid w:val="003525EA"/>
    <w:rsid w:val="003527E0"/>
    <w:rsid w:val="003530D8"/>
    <w:rsid w:val="00354586"/>
    <w:rsid w:val="00354DDD"/>
    <w:rsid w:val="00355440"/>
    <w:rsid w:val="003559F3"/>
    <w:rsid w:val="00355E13"/>
    <w:rsid w:val="00355EA6"/>
    <w:rsid w:val="003561EB"/>
    <w:rsid w:val="0035629A"/>
    <w:rsid w:val="003601F3"/>
    <w:rsid w:val="00360370"/>
    <w:rsid w:val="00360422"/>
    <w:rsid w:val="00360ACC"/>
    <w:rsid w:val="00360B8F"/>
    <w:rsid w:val="00361834"/>
    <w:rsid w:val="0036197A"/>
    <w:rsid w:val="0036199F"/>
    <w:rsid w:val="00361E24"/>
    <w:rsid w:val="00362637"/>
    <w:rsid w:val="00362784"/>
    <w:rsid w:val="00362A58"/>
    <w:rsid w:val="00362C1C"/>
    <w:rsid w:val="00362F2F"/>
    <w:rsid w:val="00363409"/>
    <w:rsid w:val="00363F35"/>
    <w:rsid w:val="0036410D"/>
    <w:rsid w:val="00364533"/>
    <w:rsid w:val="00364683"/>
    <w:rsid w:val="00365BD7"/>
    <w:rsid w:val="00365D51"/>
    <w:rsid w:val="00366149"/>
    <w:rsid w:val="00366723"/>
    <w:rsid w:val="00366F29"/>
    <w:rsid w:val="00367DC8"/>
    <w:rsid w:val="0037037D"/>
    <w:rsid w:val="00370AFF"/>
    <w:rsid w:val="003721E6"/>
    <w:rsid w:val="00373458"/>
    <w:rsid w:val="003734A3"/>
    <w:rsid w:val="00373EAD"/>
    <w:rsid w:val="00375ADF"/>
    <w:rsid w:val="00375E3C"/>
    <w:rsid w:val="00376663"/>
    <w:rsid w:val="0037741A"/>
    <w:rsid w:val="00377425"/>
    <w:rsid w:val="003775FE"/>
    <w:rsid w:val="00377779"/>
    <w:rsid w:val="003778A7"/>
    <w:rsid w:val="00377B7F"/>
    <w:rsid w:val="00377EF4"/>
    <w:rsid w:val="00377FD3"/>
    <w:rsid w:val="003803C1"/>
    <w:rsid w:val="0038048F"/>
    <w:rsid w:val="00380D16"/>
    <w:rsid w:val="00380D92"/>
    <w:rsid w:val="00381A25"/>
    <w:rsid w:val="00381EA1"/>
    <w:rsid w:val="003822BD"/>
    <w:rsid w:val="00383157"/>
    <w:rsid w:val="0038365A"/>
    <w:rsid w:val="003837BB"/>
    <w:rsid w:val="00383867"/>
    <w:rsid w:val="0038462B"/>
    <w:rsid w:val="00384C54"/>
    <w:rsid w:val="00384C8A"/>
    <w:rsid w:val="00385930"/>
    <w:rsid w:val="0038598F"/>
    <w:rsid w:val="00385F50"/>
    <w:rsid w:val="00386941"/>
    <w:rsid w:val="00386A91"/>
    <w:rsid w:val="00386B60"/>
    <w:rsid w:val="003870EF"/>
    <w:rsid w:val="0038784B"/>
    <w:rsid w:val="00387FB2"/>
    <w:rsid w:val="0039019B"/>
    <w:rsid w:val="003903BA"/>
    <w:rsid w:val="003917A7"/>
    <w:rsid w:val="0039185C"/>
    <w:rsid w:val="00392F1F"/>
    <w:rsid w:val="00393B76"/>
    <w:rsid w:val="00393FE8"/>
    <w:rsid w:val="0039429F"/>
    <w:rsid w:val="00394414"/>
    <w:rsid w:val="00394A19"/>
    <w:rsid w:val="003954A6"/>
    <w:rsid w:val="00395590"/>
    <w:rsid w:val="00395927"/>
    <w:rsid w:val="00395931"/>
    <w:rsid w:val="00395BA8"/>
    <w:rsid w:val="003977B7"/>
    <w:rsid w:val="003978A0"/>
    <w:rsid w:val="003A02C9"/>
    <w:rsid w:val="003A09B4"/>
    <w:rsid w:val="003A13BA"/>
    <w:rsid w:val="003A16C9"/>
    <w:rsid w:val="003A18B1"/>
    <w:rsid w:val="003A1C55"/>
    <w:rsid w:val="003A1DE3"/>
    <w:rsid w:val="003A25E0"/>
    <w:rsid w:val="003A26B6"/>
    <w:rsid w:val="003A2B4F"/>
    <w:rsid w:val="003A3801"/>
    <w:rsid w:val="003A394C"/>
    <w:rsid w:val="003A3CF0"/>
    <w:rsid w:val="003A4211"/>
    <w:rsid w:val="003A454B"/>
    <w:rsid w:val="003A4AC9"/>
    <w:rsid w:val="003A4B40"/>
    <w:rsid w:val="003A4C67"/>
    <w:rsid w:val="003A5561"/>
    <w:rsid w:val="003A5B88"/>
    <w:rsid w:val="003A5BAE"/>
    <w:rsid w:val="003A5E6C"/>
    <w:rsid w:val="003A61F1"/>
    <w:rsid w:val="003A6BB1"/>
    <w:rsid w:val="003A6E36"/>
    <w:rsid w:val="003A6F15"/>
    <w:rsid w:val="003A732F"/>
    <w:rsid w:val="003A7914"/>
    <w:rsid w:val="003A7995"/>
    <w:rsid w:val="003A7DA6"/>
    <w:rsid w:val="003B12FC"/>
    <w:rsid w:val="003B2137"/>
    <w:rsid w:val="003B2807"/>
    <w:rsid w:val="003B2862"/>
    <w:rsid w:val="003B30BC"/>
    <w:rsid w:val="003B39B4"/>
    <w:rsid w:val="003B451C"/>
    <w:rsid w:val="003B4723"/>
    <w:rsid w:val="003B539C"/>
    <w:rsid w:val="003B566C"/>
    <w:rsid w:val="003B5A34"/>
    <w:rsid w:val="003B5F9C"/>
    <w:rsid w:val="003B637C"/>
    <w:rsid w:val="003B64B8"/>
    <w:rsid w:val="003B7B76"/>
    <w:rsid w:val="003B7C13"/>
    <w:rsid w:val="003B7DFA"/>
    <w:rsid w:val="003C0541"/>
    <w:rsid w:val="003C175B"/>
    <w:rsid w:val="003C4166"/>
    <w:rsid w:val="003C4226"/>
    <w:rsid w:val="003C44A5"/>
    <w:rsid w:val="003C4DB4"/>
    <w:rsid w:val="003C562D"/>
    <w:rsid w:val="003C58AF"/>
    <w:rsid w:val="003C58D1"/>
    <w:rsid w:val="003C58E0"/>
    <w:rsid w:val="003C602D"/>
    <w:rsid w:val="003C669D"/>
    <w:rsid w:val="003C6AFC"/>
    <w:rsid w:val="003D06AD"/>
    <w:rsid w:val="003D0FD3"/>
    <w:rsid w:val="003D17EF"/>
    <w:rsid w:val="003D1B91"/>
    <w:rsid w:val="003D2595"/>
    <w:rsid w:val="003D29D1"/>
    <w:rsid w:val="003D29E8"/>
    <w:rsid w:val="003D3295"/>
    <w:rsid w:val="003D32B8"/>
    <w:rsid w:val="003D3432"/>
    <w:rsid w:val="003D34C6"/>
    <w:rsid w:val="003D418B"/>
    <w:rsid w:val="003D4673"/>
    <w:rsid w:val="003D4D80"/>
    <w:rsid w:val="003D50C5"/>
    <w:rsid w:val="003D55F6"/>
    <w:rsid w:val="003D57F6"/>
    <w:rsid w:val="003D5B7B"/>
    <w:rsid w:val="003D5E3A"/>
    <w:rsid w:val="003D62AE"/>
    <w:rsid w:val="003D631D"/>
    <w:rsid w:val="003D643F"/>
    <w:rsid w:val="003D657F"/>
    <w:rsid w:val="003D6C00"/>
    <w:rsid w:val="003D6D0D"/>
    <w:rsid w:val="003D6F95"/>
    <w:rsid w:val="003D78B2"/>
    <w:rsid w:val="003E021C"/>
    <w:rsid w:val="003E130B"/>
    <w:rsid w:val="003E1C3E"/>
    <w:rsid w:val="003E2909"/>
    <w:rsid w:val="003E2BE2"/>
    <w:rsid w:val="003E30A8"/>
    <w:rsid w:val="003E3E85"/>
    <w:rsid w:val="003E4028"/>
    <w:rsid w:val="003E402C"/>
    <w:rsid w:val="003E49BA"/>
    <w:rsid w:val="003E51E8"/>
    <w:rsid w:val="003E54AA"/>
    <w:rsid w:val="003E577A"/>
    <w:rsid w:val="003E59A2"/>
    <w:rsid w:val="003E5A3F"/>
    <w:rsid w:val="003E5AF8"/>
    <w:rsid w:val="003E6045"/>
    <w:rsid w:val="003E6FDF"/>
    <w:rsid w:val="003E79F0"/>
    <w:rsid w:val="003E7A58"/>
    <w:rsid w:val="003F19A7"/>
    <w:rsid w:val="003F1B28"/>
    <w:rsid w:val="003F1BA2"/>
    <w:rsid w:val="003F1BD8"/>
    <w:rsid w:val="003F22FD"/>
    <w:rsid w:val="003F2AA9"/>
    <w:rsid w:val="003F2ADE"/>
    <w:rsid w:val="003F2E70"/>
    <w:rsid w:val="003F3EB9"/>
    <w:rsid w:val="003F459A"/>
    <w:rsid w:val="003F45E0"/>
    <w:rsid w:val="003F4B63"/>
    <w:rsid w:val="003F51FE"/>
    <w:rsid w:val="003F53FA"/>
    <w:rsid w:val="003F5464"/>
    <w:rsid w:val="003F5E83"/>
    <w:rsid w:val="003F6181"/>
    <w:rsid w:val="003F66F8"/>
    <w:rsid w:val="003F680D"/>
    <w:rsid w:val="003F6E67"/>
    <w:rsid w:val="003F7905"/>
    <w:rsid w:val="0040020A"/>
    <w:rsid w:val="0040020B"/>
    <w:rsid w:val="00400DD3"/>
    <w:rsid w:val="004010E2"/>
    <w:rsid w:val="004020F0"/>
    <w:rsid w:val="004033EF"/>
    <w:rsid w:val="00404174"/>
    <w:rsid w:val="00405368"/>
    <w:rsid w:val="004057F1"/>
    <w:rsid w:val="00410687"/>
    <w:rsid w:val="004107B2"/>
    <w:rsid w:val="00410CAA"/>
    <w:rsid w:val="00410D8E"/>
    <w:rsid w:val="004111C9"/>
    <w:rsid w:val="00411BEC"/>
    <w:rsid w:val="00411E6C"/>
    <w:rsid w:val="00412557"/>
    <w:rsid w:val="00412AF8"/>
    <w:rsid w:val="00413248"/>
    <w:rsid w:val="00413491"/>
    <w:rsid w:val="004134FF"/>
    <w:rsid w:val="00413AA4"/>
    <w:rsid w:val="00413AAB"/>
    <w:rsid w:val="00413D05"/>
    <w:rsid w:val="0041405E"/>
    <w:rsid w:val="0041466A"/>
    <w:rsid w:val="004150BC"/>
    <w:rsid w:val="004155FB"/>
    <w:rsid w:val="00415C2E"/>
    <w:rsid w:val="00416626"/>
    <w:rsid w:val="00416DC2"/>
    <w:rsid w:val="00416E27"/>
    <w:rsid w:val="00416F8E"/>
    <w:rsid w:val="00417719"/>
    <w:rsid w:val="00417749"/>
    <w:rsid w:val="0041777B"/>
    <w:rsid w:val="00417C01"/>
    <w:rsid w:val="004203A9"/>
    <w:rsid w:val="00420580"/>
    <w:rsid w:val="00420651"/>
    <w:rsid w:val="004206C7"/>
    <w:rsid w:val="00420E54"/>
    <w:rsid w:val="0042134B"/>
    <w:rsid w:val="004216F4"/>
    <w:rsid w:val="0042172C"/>
    <w:rsid w:val="0042186A"/>
    <w:rsid w:val="004218CA"/>
    <w:rsid w:val="00421A26"/>
    <w:rsid w:val="004222A9"/>
    <w:rsid w:val="00423871"/>
    <w:rsid w:val="00423E29"/>
    <w:rsid w:val="0042400E"/>
    <w:rsid w:val="00424B30"/>
    <w:rsid w:val="0042507F"/>
    <w:rsid w:val="00425158"/>
    <w:rsid w:val="00425630"/>
    <w:rsid w:val="00425885"/>
    <w:rsid w:val="00425CCA"/>
    <w:rsid w:val="00425DEE"/>
    <w:rsid w:val="00426193"/>
    <w:rsid w:val="00426CFA"/>
    <w:rsid w:val="00426E22"/>
    <w:rsid w:val="0042792B"/>
    <w:rsid w:val="00427A5E"/>
    <w:rsid w:val="00427C7B"/>
    <w:rsid w:val="00430158"/>
    <w:rsid w:val="0043095E"/>
    <w:rsid w:val="00430AC0"/>
    <w:rsid w:val="00430C5D"/>
    <w:rsid w:val="00430C71"/>
    <w:rsid w:val="00430F59"/>
    <w:rsid w:val="00431070"/>
    <w:rsid w:val="00431E76"/>
    <w:rsid w:val="00431FC7"/>
    <w:rsid w:val="00432356"/>
    <w:rsid w:val="00432B7B"/>
    <w:rsid w:val="004333F9"/>
    <w:rsid w:val="00435319"/>
    <w:rsid w:val="0043616D"/>
    <w:rsid w:val="004401F3"/>
    <w:rsid w:val="0044142F"/>
    <w:rsid w:val="00441F5C"/>
    <w:rsid w:val="004430D2"/>
    <w:rsid w:val="004432EC"/>
    <w:rsid w:val="00443532"/>
    <w:rsid w:val="00443991"/>
    <w:rsid w:val="00443BB9"/>
    <w:rsid w:val="0044463F"/>
    <w:rsid w:val="004448B8"/>
    <w:rsid w:val="00444A2E"/>
    <w:rsid w:val="00444BAC"/>
    <w:rsid w:val="00445E38"/>
    <w:rsid w:val="00445FC4"/>
    <w:rsid w:val="0044643F"/>
    <w:rsid w:val="0044663A"/>
    <w:rsid w:val="00446E59"/>
    <w:rsid w:val="00447166"/>
    <w:rsid w:val="00447A01"/>
    <w:rsid w:val="00447A54"/>
    <w:rsid w:val="00447D47"/>
    <w:rsid w:val="00450A61"/>
    <w:rsid w:val="00450A90"/>
    <w:rsid w:val="00450EB3"/>
    <w:rsid w:val="004515AB"/>
    <w:rsid w:val="00451B1D"/>
    <w:rsid w:val="004529DA"/>
    <w:rsid w:val="00453408"/>
    <w:rsid w:val="00453564"/>
    <w:rsid w:val="00453CB7"/>
    <w:rsid w:val="00454354"/>
    <w:rsid w:val="004548B2"/>
    <w:rsid w:val="00454C22"/>
    <w:rsid w:val="004555A2"/>
    <w:rsid w:val="004555EB"/>
    <w:rsid w:val="00455FEA"/>
    <w:rsid w:val="0045669C"/>
    <w:rsid w:val="0045733E"/>
    <w:rsid w:val="00457E1F"/>
    <w:rsid w:val="00460017"/>
    <w:rsid w:val="0046108C"/>
    <w:rsid w:val="0046118E"/>
    <w:rsid w:val="004613B0"/>
    <w:rsid w:val="00461AA2"/>
    <w:rsid w:val="0046279F"/>
    <w:rsid w:val="00462E9C"/>
    <w:rsid w:val="0046307F"/>
    <w:rsid w:val="00463ED9"/>
    <w:rsid w:val="00463EFC"/>
    <w:rsid w:val="00463F02"/>
    <w:rsid w:val="00464572"/>
    <w:rsid w:val="004648E9"/>
    <w:rsid w:val="00464A17"/>
    <w:rsid w:val="004650B8"/>
    <w:rsid w:val="00466308"/>
    <w:rsid w:val="004669F4"/>
    <w:rsid w:val="00466BDD"/>
    <w:rsid w:val="00466CEF"/>
    <w:rsid w:val="0046707E"/>
    <w:rsid w:val="0047010C"/>
    <w:rsid w:val="00470139"/>
    <w:rsid w:val="00470649"/>
    <w:rsid w:val="00470E2B"/>
    <w:rsid w:val="00471150"/>
    <w:rsid w:val="00471B9D"/>
    <w:rsid w:val="00472D4C"/>
    <w:rsid w:val="00472D99"/>
    <w:rsid w:val="004734FA"/>
    <w:rsid w:val="00474205"/>
    <w:rsid w:val="0047537F"/>
    <w:rsid w:val="00475974"/>
    <w:rsid w:val="00475DB3"/>
    <w:rsid w:val="004765C8"/>
    <w:rsid w:val="00476AD6"/>
    <w:rsid w:val="00476C00"/>
    <w:rsid w:val="0047780C"/>
    <w:rsid w:val="00477C20"/>
    <w:rsid w:val="004806BA"/>
    <w:rsid w:val="00480C70"/>
    <w:rsid w:val="0048128D"/>
    <w:rsid w:val="00481573"/>
    <w:rsid w:val="0048162E"/>
    <w:rsid w:val="00481D0A"/>
    <w:rsid w:val="00482F81"/>
    <w:rsid w:val="00483B7A"/>
    <w:rsid w:val="0048494C"/>
    <w:rsid w:val="00485065"/>
    <w:rsid w:val="004852E0"/>
    <w:rsid w:val="00485728"/>
    <w:rsid w:val="004859FB"/>
    <w:rsid w:val="00486720"/>
    <w:rsid w:val="00486A45"/>
    <w:rsid w:val="00486C7F"/>
    <w:rsid w:val="0048707F"/>
    <w:rsid w:val="004877A4"/>
    <w:rsid w:val="004901C7"/>
    <w:rsid w:val="00490DC9"/>
    <w:rsid w:val="0049161E"/>
    <w:rsid w:val="00492177"/>
    <w:rsid w:val="0049248D"/>
    <w:rsid w:val="00492FA2"/>
    <w:rsid w:val="00493509"/>
    <w:rsid w:val="0049384E"/>
    <w:rsid w:val="0049476F"/>
    <w:rsid w:val="004949BE"/>
    <w:rsid w:val="004950EF"/>
    <w:rsid w:val="004955BD"/>
    <w:rsid w:val="00495C7E"/>
    <w:rsid w:val="00495CEA"/>
    <w:rsid w:val="00495E34"/>
    <w:rsid w:val="0049612D"/>
    <w:rsid w:val="00496A15"/>
    <w:rsid w:val="00497445"/>
    <w:rsid w:val="004978F1"/>
    <w:rsid w:val="004A0A8A"/>
    <w:rsid w:val="004A0DC4"/>
    <w:rsid w:val="004A106C"/>
    <w:rsid w:val="004A1D72"/>
    <w:rsid w:val="004A1F84"/>
    <w:rsid w:val="004A2456"/>
    <w:rsid w:val="004A26B0"/>
    <w:rsid w:val="004A305B"/>
    <w:rsid w:val="004A31F9"/>
    <w:rsid w:val="004A33ED"/>
    <w:rsid w:val="004A369C"/>
    <w:rsid w:val="004A3BC4"/>
    <w:rsid w:val="004A4AFF"/>
    <w:rsid w:val="004A4ECA"/>
    <w:rsid w:val="004A5052"/>
    <w:rsid w:val="004A54BD"/>
    <w:rsid w:val="004A5CC7"/>
    <w:rsid w:val="004A622B"/>
    <w:rsid w:val="004A6C6E"/>
    <w:rsid w:val="004A6E3D"/>
    <w:rsid w:val="004A6E7F"/>
    <w:rsid w:val="004A76EC"/>
    <w:rsid w:val="004B03B9"/>
    <w:rsid w:val="004B1BE7"/>
    <w:rsid w:val="004B2748"/>
    <w:rsid w:val="004B2A96"/>
    <w:rsid w:val="004B30B9"/>
    <w:rsid w:val="004B34E4"/>
    <w:rsid w:val="004B41B8"/>
    <w:rsid w:val="004B50C4"/>
    <w:rsid w:val="004B5135"/>
    <w:rsid w:val="004B526A"/>
    <w:rsid w:val="004B5F86"/>
    <w:rsid w:val="004B61ED"/>
    <w:rsid w:val="004B7552"/>
    <w:rsid w:val="004B7669"/>
    <w:rsid w:val="004B7C4C"/>
    <w:rsid w:val="004B7F10"/>
    <w:rsid w:val="004C021E"/>
    <w:rsid w:val="004C343F"/>
    <w:rsid w:val="004C376B"/>
    <w:rsid w:val="004C3910"/>
    <w:rsid w:val="004C3A64"/>
    <w:rsid w:val="004C4A70"/>
    <w:rsid w:val="004C51CD"/>
    <w:rsid w:val="004C5C02"/>
    <w:rsid w:val="004C5C41"/>
    <w:rsid w:val="004C5CB0"/>
    <w:rsid w:val="004C6FDA"/>
    <w:rsid w:val="004C7F96"/>
    <w:rsid w:val="004D0073"/>
    <w:rsid w:val="004D07B2"/>
    <w:rsid w:val="004D1086"/>
    <w:rsid w:val="004D1173"/>
    <w:rsid w:val="004D13F7"/>
    <w:rsid w:val="004D1559"/>
    <w:rsid w:val="004D1AE1"/>
    <w:rsid w:val="004D29A2"/>
    <w:rsid w:val="004D30FC"/>
    <w:rsid w:val="004D382B"/>
    <w:rsid w:val="004D3982"/>
    <w:rsid w:val="004D4101"/>
    <w:rsid w:val="004D44B0"/>
    <w:rsid w:val="004D4545"/>
    <w:rsid w:val="004D49D5"/>
    <w:rsid w:val="004D49F7"/>
    <w:rsid w:val="004D4D80"/>
    <w:rsid w:val="004D5723"/>
    <w:rsid w:val="004D5AE4"/>
    <w:rsid w:val="004D5B08"/>
    <w:rsid w:val="004D5CEA"/>
    <w:rsid w:val="004D6085"/>
    <w:rsid w:val="004D6204"/>
    <w:rsid w:val="004D6936"/>
    <w:rsid w:val="004D6963"/>
    <w:rsid w:val="004D697C"/>
    <w:rsid w:val="004D71C1"/>
    <w:rsid w:val="004D7235"/>
    <w:rsid w:val="004D757E"/>
    <w:rsid w:val="004D796B"/>
    <w:rsid w:val="004D797D"/>
    <w:rsid w:val="004E0028"/>
    <w:rsid w:val="004E0100"/>
    <w:rsid w:val="004E034E"/>
    <w:rsid w:val="004E0536"/>
    <w:rsid w:val="004E0602"/>
    <w:rsid w:val="004E0CF4"/>
    <w:rsid w:val="004E15D7"/>
    <w:rsid w:val="004E1A59"/>
    <w:rsid w:val="004E261E"/>
    <w:rsid w:val="004E3DA6"/>
    <w:rsid w:val="004E4C1F"/>
    <w:rsid w:val="004E4CAC"/>
    <w:rsid w:val="004E4E1E"/>
    <w:rsid w:val="004E502A"/>
    <w:rsid w:val="004E5097"/>
    <w:rsid w:val="004E51D3"/>
    <w:rsid w:val="004E55D3"/>
    <w:rsid w:val="004E644E"/>
    <w:rsid w:val="004E7118"/>
    <w:rsid w:val="004E716E"/>
    <w:rsid w:val="004E735A"/>
    <w:rsid w:val="004E7823"/>
    <w:rsid w:val="004E7CA9"/>
    <w:rsid w:val="004F1A4F"/>
    <w:rsid w:val="004F2361"/>
    <w:rsid w:val="004F23DA"/>
    <w:rsid w:val="004F3228"/>
    <w:rsid w:val="004F3767"/>
    <w:rsid w:val="004F3898"/>
    <w:rsid w:val="004F3F73"/>
    <w:rsid w:val="004F3FE8"/>
    <w:rsid w:val="004F4550"/>
    <w:rsid w:val="004F4938"/>
    <w:rsid w:val="004F5646"/>
    <w:rsid w:val="004F63E7"/>
    <w:rsid w:val="004F7D08"/>
    <w:rsid w:val="00500034"/>
    <w:rsid w:val="00500607"/>
    <w:rsid w:val="00500660"/>
    <w:rsid w:val="0050069E"/>
    <w:rsid w:val="00501A74"/>
    <w:rsid w:val="0050226A"/>
    <w:rsid w:val="005022D6"/>
    <w:rsid w:val="00502657"/>
    <w:rsid w:val="00502A3E"/>
    <w:rsid w:val="00502D15"/>
    <w:rsid w:val="00503321"/>
    <w:rsid w:val="00503325"/>
    <w:rsid w:val="00503365"/>
    <w:rsid w:val="005035A1"/>
    <w:rsid w:val="005037AB"/>
    <w:rsid w:val="00503C29"/>
    <w:rsid w:val="0050426C"/>
    <w:rsid w:val="005056D4"/>
    <w:rsid w:val="00505893"/>
    <w:rsid w:val="00506896"/>
    <w:rsid w:val="00506E09"/>
    <w:rsid w:val="00510773"/>
    <w:rsid w:val="00510795"/>
    <w:rsid w:val="00511A4C"/>
    <w:rsid w:val="00511A65"/>
    <w:rsid w:val="0051244F"/>
    <w:rsid w:val="00512974"/>
    <w:rsid w:val="005133FA"/>
    <w:rsid w:val="00513DEC"/>
    <w:rsid w:val="00514DBA"/>
    <w:rsid w:val="0051579C"/>
    <w:rsid w:val="00515B8B"/>
    <w:rsid w:val="00516045"/>
    <w:rsid w:val="00516251"/>
    <w:rsid w:val="0051712A"/>
    <w:rsid w:val="00517417"/>
    <w:rsid w:val="0051755E"/>
    <w:rsid w:val="00517C89"/>
    <w:rsid w:val="00517D6B"/>
    <w:rsid w:val="00517E86"/>
    <w:rsid w:val="005200A2"/>
    <w:rsid w:val="00520D40"/>
    <w:rsid w:val="00521624"/>
    <w:rsid w:val="00522645"/>
    <w:rsid w:val="00522989"/>
    <w:rsid w:val="00522A45"/>
    <w:rsid w:val="00522FFD"/>
    <w:rsid w:val="00523BE8"/>
    <w:rsid w:val="00523CBB"/>
    <w:rsid w:val="005240A2"/>
    <w:rsid w:val="00524101"/>
    <w:rsid w:val="005242C7"/>
    <w:rsid w:val="005242DB"/>
    <w:rsid w:val="00524D80"/>
    <w:rsid w:val="00524FD7"/>
    <w:rsid w:val="00525005"/>
    <w:rsid w:val="005258FE"/>
    <w:rsid w:val="00525AEF"/>
    <w:rsid w:val="00525B41"/>
    <w:rsid w:val="00525BDA"/>
    <w:rsid w:val="00526E8D"/>
    <w:rsid w:val="00527CFD"/>
    <w:rsid w:val="00527D6D"/>
    <w:rsid w:val="00527D8E"/>
    <w:rsid w:val="00530631"/>
    <w:rsid w:val="005308FE"/>
    <w:rsid w:val="00530D90"/>
    <w:rsid w:val="00530ECA"/>
    <w:rsid w:val="00530F77"/>
    <w:rsid w:val="005312A5"/>
    <w:rsid w:val="00531359"/>
    <w:rsid w:val="00531A47"/>
    <w:rsid w:val="00531BB3"/>
    <w:rsid w:val="00531BB4"/>
    <w:rsid w:val="0053302F"/>
    <w:rsid w:val="00533614"/>
    <w:rsid w:val="00533658"/>
    <w:rsid w:val="0053406D"/>
    <w:rsid w:val="00534AA3"/>
    <w:rsid w:val="00535070"/>
    <w:rsid w:val="0053523C"/>
    <w:rsid w:val="00535435"/>
    <w:rsid w:val="00535892"/>
    <w:rsid w:val="005367A5"/>
    <w:rsid w:val="00536C38"/>
    <w:rsid w:val="00537EE6"/>
    <w:rsid w:val="005402F1"/>
    <w:rsid w:val="00541312"/>
    <w:rsid w:val="00541611"/>
    <w:rsid w:val="00541A9D"/>
    <w:rsid w:val="00542B03"/>
    <w:rsid w:val="00542C49"/>
    <w:rsid w:val="00542D2E"/>
    <w:rsid w:val="00543043"/>
    <w:rsid w:val="0054343A"/>
    <w:rsid w:val="00543845"/>
    <w:rsid w:val="00543B4B"/>
    <w:rsid w:val="005444C9"/>
    <w:rsid w:val="00544E4C"/>
    <w:rsid w:val="00545797"/>
    <w:rsid w:val="005464CF"/>
    <w:rsid w:val="005511A8"/>
    <w:rsid w:val="00552BD7"/>
    <w:rsid w:val="00552DB0"/>
    <w:rsid w:val="00552DED"/>
    <w:rsid w:val="00552E29"/>
    <w:rsid w:val="00552E2A"/>
    <w:rsid w:val="0055478B"/>
    <w:rsid w:val="0055479A"/>
    <w:rsid w:val="00555998"/>
    <w:rsid w:val="00556480"/>
    <w:rsid w:val="005566B7"/>
    <w:rsid w:val="005568C4"/>
    <w:rsid w:val="00556937"/>
    <w:rsid w:val="005572ED"/>
    <w:rsid w:val="005601D1"/>
    <w:rsid w:val="00560CED"/>
    <w:rsid w:val="00560DB1"/>
    <w:rsid w:val="00561A51"/>
    <w:rsid w:val="00561FD4"/>
    <w:rsid w:val="005620E2"/>
    <w:rsid w:val="005624DE"/>
    <w:rsid w:val="00563631"/>
    <w:rsid w:val="00563832"/>
    <w:rsid w:val="00563B04"/>
    <w:rsid w:val="0056584E"/>
    <w:rsid w:val="00565A73"/>
    <w:rsid w:val="005665A1"/>
    <w:rsid w:val="00566903"/>
    <w:rsid w:val="00566976"/>
    <w:rsid w:val="0056753D"/>
    <w:rsid w:val="00567F1F"/>
    <w:rsid w:val="00567F71"/>
    <w:rsid w:val="0057131A"/>
    <w:rsid w:val="005714A7"/>
    <w:rsid w:val="00571510"/>
    <w:rsid w:val="005718E8"/>
    <w:rsid w:val="00571A02"/>
    <w:rsid w:val="005726AF"/>
    <w:rsid w:val="00573518"/>
    <w:rsid w:val="00573CD9"/>
    <w:rsid w:val="00574CE9"/>
    <w:rsid w:val="005753D4"/>
    <w:rsid w:val="005759FB"/>
    <w:rsid w:val="005762BB"/>
    <w:rsid w:val="00576700"/>
    <w:rsid w:val="00576C51"/>
    <w:rsid w:val="00576DBD"/>
    <w:rsid w:val="005800CA"/>
    <w:rsid w:val="00580707"/>
    <w:rsid w:val="00581350"/>
    <w:rsid w:val="00581DA0"/>
    <w:rsid w:val="00581EE8"/>
    <w:rsid w:val="005821C3"/>
    <w:rsid w:val="00582AFE"/>
    <w:rsid w:val="00582B15"/>
    <w:rsid w:val="00583039"/>
    <w:rsid w:val="005831A8"/>
    <w:rsid w:val="005832A7"/>
    <w:rsid w:val="0058379A"/>
    <w:rsid w:val="00584102"/>
    <w:rsid w:val="005841E0"/>
    <w:rsid w:val="00584BAA"/>
    <w:rsid w:val="00585E4F"/>
    <w:rsid w:val="0058661C"/>
    <w:rsid w:val="00586DEA"/>
    <w:rsid w:val="00586EC5"/>
    <w:rsid w:val="00586F11"/>
    <w:rsid w:val="0058792C"/>
    <w:rsid w:val="00587B54"/>
    <w:rsid w:val="00587E44"/>
    <w:rsid w:val="00590105"/>
    <w:rsid w:val="0059038C"/>
    <w:rsid w:val="005904C5"/>
    <w:rsid w:val="00590720"/>
    <w:rsid w:val="00590996"/>
    <w:rsid w:val="005910BD"/>
    <w:rsid w:val="005928EA"/>
    <w:rsid w:val="005936AD"/>
    <w:rsid w:val="005939D9"/>
    <w:rsid w:val="00593D12"/>
    <w:rsid w:val="005941DA"/>
    <w:rsid w:val="00595CE4"/>
    <w:rsid w:val="00595FEA"/>
    <w:rsid w:val="00596FC1"/>
    <w:rsid w:val="00597135"/>
    <w:rsid w:val="00597745"/>
    <w:rsid w:val="00597C6A"/>
    <w:rsid w:val="00597F99"/>
    <w:rsid w:val="005A01D1"/>
    <w:rsid w:val="005A05B9"/>
    <w:rsid w:val="005A060F"/>
    <w:rsid w:val="005A0B64"/>
    <w:rsid w:val="005A0F2D"/>
    <w:rsid w:val="005A110A"/>
    <w:rsid w:val="005A1340"/>
    <w:rsid w:val="005A153A"/>
    <w:rsid w:val="005A15CC"/>
    <w:rsid w:val="005A17C6"/>
    <w:rsid w:val="005A2483"/>
    <w:rsid w:val="005A2E71"/>
    <w:rsid w:val="005A3450"/>
    <w:rsid w:val="005A368B"/>
    <w:rsid w:val="005A3CAC"/>
    <w:rsid w:val="005A3ED2"/>
    <w:rsid w:val="005A4DCB"/>
    <w:rsid w:val="005A50DE"/>
    <w:rsid w:val="005A556F"/>
    <w:rsid w:val="005A5622"/>
    <w:rsid w:val="005A610B"/>
    <w:rsid w:val="005A6387"/>
    <w:rsid w:val="005A74CA"/>
    <w:rsid w:val="005B0522"/>
    <w:rsid w:val="005B1A56"/>
    <w:rsid w:val="005B1A66"/>
    <w:rsid w:val="005B21A7"/>
    <w:rsid w:val="005B2318"/>
    <w:rsid w:val="005B2D7B"/>
    <w:rsid w:val="005B3353"/>
    <w:rsid w:val="005B3379"/>
    <w:rsid w:val="005B3748"/>
    <w:rsid w:val="005B3D59"/>
    <w:rsid w:val="005B3DB5"/>
    <w:rsid w:val="005B407D"/>
    <w:rsid w:val="005B4D6C"/>
    <w:rsid w:val="005B4FB2"/>
    <w:rsid w:val="005B5877"/>
    <w:rsid w:val="005B751C"/>
    <w:rsid w:val="005B7B0D"/>
    <w:rsid w:val="005B7EA3"/>
    <w:rsid w:val="005C0618"/>
    <w:rsid w:val="005C07AC"/>
    <w:rsid w:val="005C0BF1"/>
    <w:rsid w:val="005C0DCD"/>
    <w:rsid w:val="005C14EF"/>
    <w:rsid w:val="005C1646"/>
    <w:rsid w:val="005C197A"/>
    <w:rsid w:val="005C268F"/>
    <w:rsid w:val="005C27E4"/>
    <w:rsid w:val="005C400C"/>
    <w:rsid w:val="005C4314"/>
    <w:rsid w:val="005C43BE"/>
    <w:rsid w:val="005C43E5"/>
    <w:rsid w:val="005C5A00"/>
    <w:rsid w:val="005C5E61"/>
    <w:rsid w:val="005C6A49"/>
    <w:rsid w:val="005C70EC"/>
    <w:rsid w:val="005C74D9"/>
    <w:rsid w:val="005C76F7"/>
    <w:rsid w:val="005C7D64"/>
    <w:rsid w:val="005D009B"/>
    <w:rsid w:val="005D0939"/>
    <w:rsid w:val="005D098B"/>
    <w:rsid w:val="005D11A8"/>
    <w:rsid w:val="005D16B2"/>
    <w:rsid w:val="005D17CE"/>
    <w:rsid w:val="005D1A35"/>
    <w:rsid w:val="005D1A63"/>
    <w:rsid w:val="005D1B84"/>
    <w:rsid w:val="005D1BDD"/>
    <w:rsid w:val="005D1DC0"/>
    <w:rsid w:val="005D204F"/>
    <w:rsid w:val="005D2D0D"/>
    <w:rsid w:val="005D3123"/>
    <w:rsid w:val="005D334C"/>
    <w:rsid w:val="005D36C6"/>
    <w:rsid w:val="005D3BC4"/>
    <w:rsid w:val="005D3D0C"/>
    <w:rsid w:val="005D410A"/>
    <w:rsid w:val="005D4A06"/>
    <w:rsid w:val="005D4CFD"/>
    <w:rsid w:val="005D50F7"/>
    <w:rsid w:val="005D523C"/>
    <w:rsid w:val="005D60A0"/>
    <w:rsid w:val="005D62CC"/>
    <w:rsid w:val="005D67F0"/>
    <w:rsid w:val="005D6A24"/>
    <w:rsid w:val="005D6F85"/>
    <w:rsid w:val="005E053C"/>
    <w:rsid w:val="005E0D3B"/>
    <w:rsid w:val="005E12D5"/>
    <w:rsid w:val="005E1536"/>
    <w:rsid w:val="005E172C"/>
    <w:rsid w:val="005E19E0"/>
    <w:rsid w:val="005E1F36"/>
    <w:rsid w:val="005E2DFB"/>
    <w:rsid w:val="005E3684"/>
    <w:rsid w:val="005E36AA"/>
    <w:rsid w:val="005E3C04"/>
    <w:rsid w:val="005E40C9"/>
    <w:rsid w:val="005E53AC"/>
    <w:rsid w:val="005E708F"/>
    <w:rsid w:val="005E7CC7"/>
    <w:rsid w:val="005F0612"/>
    <w:rsid w:val="005F0927"/>
    <w:rsid w:val="005F0937"/>
    <w:rsid w:val="005F1009"/>
    <w:rsid w:val="005F200A"/>
    <w:rsid w:val="005F2B53"/>
    <w:rsid w:val="005F2B80"/>
    <w:rsid w:val="005F3000"/>
    <w:rsid w:val="005F39B1"/>
    <w:rsid w:val="005F39C2"/>
    <w:rsid w:val="005F3C0C"/>
    <w:rsid w:val="005F428E"/>
    <w:rsid w:val="005F48FF"/>
    <w:rsid w:val="005F4B5C"/>
    <w:rsid w:val="005F4C66"/>
    <w:rsid w:val="005F4C94"/>
    <w:rsid w:val="005F4E1A"/>
    <w:rsid w:val="005F546A"/>
    <w:rsid w:val="005F598E"/>
    <w:rsid w:val="005F59E6"/>
    <w:rsid w:val="005F5A5D"/>
    <w:rsid w:val="005F5A84"/>
    <w:rsid w:val="005F6B23"/>
    <w:rsid w:val="005F76BC"/>
    <w:rsid w:val="005F7877"/>
    <w:rsid w:val="00600725"/>
    <w:rsid w:val="00600739"/>
    <w:rsid w:val="006017D1"/>
    <w:rsid w:val="0060182C"/>
    <w:rsid w:val="00601AE8"/>
    <w:rsid w:val="0060203A"/>
    <w:rsid w:val="006025C1"/>
    <w:rsid w:val="00602674"/>
    <w:rsid w:val="00602767"/>
    <w:rsid w:val="00602D51"/>
    <w:rsid w:val="0060323C"/>
    <w:rsid w:val="0060381C"/>
    <w:rsid w:val="00603BB6"/>
    <w:rsid w:val="006050F0"/>
    <w:rsid w:val="006059B3"/>
    <w:rsid w:val="00605D33"/>
    <w:rsid w:val="00605D67"/>
    <w:rsid w:val="006060C5"/>
    <w:rsid w:val="0060623E"/>
    <w:rsid w:val="00606F6A"/>
    <w:rsid w:val="00606F71"/>
    <w:rsid w:val="006075CC"/>
    <w:rsid w:val="00610527"/>
    <w:rsid w:val="0061055B"/>
    <w:rsid w:val="006105EC"/>
    <w:rsid w:val="006106FC"/>
    <w:rsid w:val="00610798"/>
    <w:rsid w:val="0061108A"/>
    <w:rsid w:val="0061110D"/>
    <w:rsid w:val="00611214"/>
    <w:rsid w:val="00611402"/>
    <w:rsid w:val="00612300"/>
    <w:rsid w:val="0061263D"/>
    <w:rsid w:val="006132D8"/>
    <w:rsid w:val="006136B0"/>
    <w:rsid w:val="00613B44"/>
    <w:rsid w:val="00614D8F"/>
    <w:rsid w:val="00615226"/>
    <w:rsid w:val="0061582C"/>
    <w:rsid w:val="0061594A"/>
    <w:rsid w:val="00615C8E"/>
    <w:rsid w:val="006164B9"/>
    <w:rsid w:val="00617183"/>
    <w:rsid w:val="006175AA"/>
    <w:rsid w:val="006176E1"/>
    <w:rsid w:val="006176F1"/>
    <w:rsid w:val="0061777B"/>
    <w:rsid w:val="006201F6"/>
    <w:rsid w:val="006203B4"/>
    <w:rsid w:val="00620776"/>
    <w:rsid w:val="00620886"/>
    <w:rsid w:val="00620E93"/>
    <w:rsid w:val="00621610"/>
    <w:rsid w:val="006219BF"/>
    <w:rsid w:val="00621E96"/>
    <w:rsid w:val="006231B6"/>
    <w:rsid w:val="0062347D"/>
    <w:rsid w:val="006237D3"/>
    <w:rsid w:val="00623DDC"/>
    <w:rsid w:val="00623ED9"/>
    <w:rsid w:val="006240A8"/>
    <w:rsid w:val="00624293"/>
    <w:rsid w:val="00624A74"/>
    <w:rsid w:val="00625BFE"/>
    <w:rsid w:val="00625F17"/>
    <w:rsid w:val="00626213"/>
    <w:rsid w:val="0062648E"/>
    <w:rsid w:val="00626DE3"/>
    <w:rsid w:val="00626FF2"/>
    <w:rsid w:val="00627078"/>
    <w:rsid w:val="00630991"/>
    <w:rsid w:val="00630B36"/>
    <w:rsid w:val="00631651"/>
    <w:rsid w:val="00632947"/>
    <w:rsid w:val="00633AFC"/>
    <w:rsid w:val="00634203"/>
    <w:rsid w:val="00634755"/>
    <w:rsid w:val="006350FB"/>
    <w:rsid w:val="00635D38"/>
    <w:rsid w:val="00635E11"/>
    <w:rsid w:val="0063628A"/>
    <w:rsid w:val="006366C4"/>
    <w:rsid w:val="006373A0"/>
    <w:rsid w:val="0063756D"/>
    <w:rsid w:val="00637694"/>
    <w:rsid w:val="00637724"/>
    <w:rsid w:val="00637D01"/>
    <w:rsid w:val="00637F19"/>
    <w:rsid w:val="006406EC"/>
    <w:rsid w:val="0064075E"/>
    <w:rsid w:val="00640E41"/>
    <w:rsid w:val="00641A6C"/>
    <w:rsid w:val="00641CC5"/>
    <w:rsid w:val="00641E32"/>
    <w:rsid w:val="00641FFD"/>
    <w:rsid w:val="00642325"/>
    <w:rsid w:val="00642B59"/>
    <w:rsid w:val="00643490"/>
    <w:rsid w:val="006437C9"/>
    <w:rsid w:val="006438C7"/>
    <w:rsid w:val="00643E65"/>
    <w:rsid w:val="00644383"/>
    <w:rsid w:val="0064445F"/>
    <w:rsid w:val="006448CF"/>
    <w:rsid w:val="00644ED8"/>
    <w:rsid w:val="00645A9C"/>
    <w:rsid w:val="00645D2C"/>
    <w:rsid w:val="00645E13"/>
    <w:rsid w:val="006464C1"/>
    <w:rsid w:val="00646634"/>
    <w:rsid w:val="00647523"/>
    <w:rsid w:val="0064791C"/>
    <w:rsid w:val="00647B7B"/>
    <w:rsid w:val="00650788"/>
    <w:rsid w:val="006508CB"/>
    <w:rsid w:val="00650A91"/>
    <w:rsid w:val="00650C38"/>
    <w:rsid w:val="00652194"/>
    <w:rsid w:val="00652CC8"/>
    <w:rsid w:val="00652DFC"/>
    <w:rsid w:val="006538B5"/>
    <w:rsid w:val="00653A05"/>
    <w:rsid w:val="00654984"/>
    <w:rsid w:val="00655719"/>
    <w:rsid w:val="006569BD"/>
    <w:rsid w:val="00656D67"/>
    <w:rsid w:val="00656EBF"/>
    <w:rsid w:val="00657A8B"/>
    <w:rsid w:val="00660BC3"/>
    <w:rsid w:val="00660D91"/>
    <w:rsid w:val="0066191A"/>
    <w:rsid w:val="00661C16"/>
    <w:rsid w:val="00661DBE"/>
    <w:rsid w:val="00662B3D"/>
    <w:rsid w:val="0066315D"/>
    <w:rsid w:val="00663396"/>
    <w:rsid w:val="00663645"/>
    <w:rsid w:val="00663852"/>
    <w:rsid w:val="0066393E"/>
    <w:rsid w:val="00663E3C"/>
    <w:rsid w:val="00663F3D"/>
    <w:rsid w:val="0066421F"/>
    <w:rsid w:val="006646D9"/>
    <w:rsid w:val="00664A4C"/>
    <w:rsid w:val="00664AFD"/>
    <w:rsid w:val="00664E12"/>
    <w:rsid w:val="00664E4D"/>
    <w:rsid w:val="00664F9F"/>
    <w:rsid w:val="0066587E"/>
    <w:rsid w:val="00665AC8"/>
    <w:rsid w:val="00665D76"/>
    <w:rsid w:val="00665DED"/>
    <w:rsid w:val="00666017"/>
    <w:rsid w:val="0066655C"/>
    <w:rsid w:val="006668D9"/>
    <w:rsid w:val="00666E86"/>
    <w:rsid w:val="00666F33"/>
    <w:rsid w:val="00666F7F"/>
    <w:rsid w:val="006679D3"/>
    <w:rsid w:val="00667BD1"/>
    <w:rsid w:val="00667F18"/>
    <w:rsid w:val="006707E4"/>
    <w:rsid w:val="00671BB6"/>
    <w:rsid w:val="00674320"/>
    <w:rsid w:val="0067450F"/>
    <w:rsid w:val="00674C89"/>
    <w:rsid w:val="006756AA"/>
    <w:rsid w:val="00675B18"/>
    <w:rsid w:val="00675D43"/>
    <w:rsid w:val="006766F7"/>
    <w:rsid w:val="00676A0F"/>
    <w:rsid w:val="00676BEC"/>
    <w:rsid w:val="00676ECB"/>
    <w:rsid w:val="00677519"/>
    <w:rsid w:val="0067FA8B"/>
    <w:rsid w:val="0068046F"/>
    <w:rsid w:val="006806D9"/>
    <w:rsid w:val="00680BFF"/>
    <w:rsid w:val="00680E83"/>
    <w:rsid w:val="00681714"/>
    <w:rsid w:val="00681730"/>
    <w:rsid w:val="00681B46"/>
    <w:rsid w:val="00681D67"/>
    <w:rsid w:val="006824A7"/>
    <w:rsid w:val="006824F4"/>
    <w:rsid w:val="00682657"/>
    <w:rsid w:val="006831E2"/>
    <w:rsid w:val="00683609"/>
    <w:rsid w:val="00683F87"/>
    <w:rsid w:val="00684475"/>
    <w:rsid w:val="006844C3"/>
    <w:rsid w:val="00684DA1"/>
    <w:rsid w:val="00685203"/>
    <w:rsid w:val="006855B0"/>
    <w:rsid w:val="00685B88"/>
    <w:rsid w:val="00686B86"/>
    <w:rsid w:val="00690081"/>
    <w:rsid w:val="00690334"/>
    <w:rsid w:val="006909E0"/>
    <w:rsid w:val="00690FE6"/>
    <w:rsid w:val="00692E8D"/>
    <w:rsid w:val="0069321C"/>
    <w:rsid w:val="00693DA5"/>
    <w:rsid w:val="006942E8"/>
    <w:rsid w:val="00694AFB"/>
    <w:rsid w:val="006951A7"/>
    <w:rsid w:val="00695B07"/>
    <w:rsid w:val="00695D6E"/>
    <w:rsid w:val="00696F8A"/>
    <w:rsid w:val="00697064"/>
    <w:rsid w:val="006974AE"/>
    <w:rsid w:val="00697F64"/>
    <w:rsid w:val="006A0CD0"/>
    <w:rsid w:val="006A11EA"/>
    <w:rsid w:val="006A23F0"/>
    <w:rsid w:val="006A3426"/>
    <w:rsid w:val="006A3DC1"/>
    <w:rsid w:val="006A3DDD"/>
    <w:rsid w:val="006A411D"/>
    <w:rsid w:val="006A43EF"/>
    <w:rsid w:val="006A460E"/>
    <w:rsid w:val="006A56DA"/>
    <w:rsid w:val="006A5A4F"/>
    <w:rsid w:val="006A718A"/>
    <w:rsid w:val="006A7575"/>
    <w:rsid w:val="006A7A6C"/>
    <w:rsid w:val="006A7EA8"/>
    <w:rsid w:val="006A7FF1"/>
    <w:rsid w:val="006B00FF"/>
    <w:rsid w:val="006B061E"/>
    <w:rsid w:val="006B094F"/>
    <w:rsid w:val="006B0E79"/>
    <w:rsid w:val="006B1096"/>
    <w:rsid w:val="006B183C"/>
    <w:rsid w:val="006B2017"/>
    <w:rsid w:val="006B229C"/>
    <w:rsid w:val="006B25AE"/>
    <w:rsid w:val="006B271B"/>
    <w:rsid w:val="006B33FF"/>
    <w:rsid w:val="006B3C55"/>
    <w:rsid w:val="006B3C59"/>
    <w:rsid w:val="006B3DD9"/>
    <w:rsid w:val="006B4323"/>
    <w:rsid w:val="006B4AC0"/>
    <w:rsid w:val="006B4EB7"/>
    <w:rsid w:val="006B5488"/>
    <w:rsid w:val="006B55B7"/>
    <w:rsid w:val="006B60FA"/>
    <w:rsid w:val="006B64CB"/>
    <w:rsid w:val="006B77C6"/>
    <w:rsid w:val="006B77F9"/>
    <w:rsid w:val="006BCC42"/>
    <w:rsid w:val="006C0100"/>
    <w:rsid w:val="006C0331"/>
    <w:rsid w:val="006C03E0"/>
    <w:rsid w:val="006C0EBC"/>
    <w:rsid w:val="006C0F30"/>
    <w:rsid w:val="006C1630"/>
    <w:rsid w:val="006C2E0C"/>
    <w:rsid w:val="006C3146"/>
    <w:rsid w:val="006C33F3"/>
    <w:rsid w:val="006C36B4"/>
    <w:rsid w:val="006C429C"/>
    <w:rsid w:val="006C4B6F"/>
    <w:rsid w:val="006C51A9"/>
    <w:rsid w:val="006C54CF"/>
    <w:rsid w:val="006C7BD0"/>
    <w:rsid w:val="006C7E86"/>
    <w:rsid w:val="006D049E"/>
    <w:rsid w:val="006D0745"/>
    <w:rsid w:val="006D089C"/>
    <w:rsid w:val="006D0E85"/>
    <w:rsid w:val="006D0F95"/>
    <w:rsid w:val="006D1761"/>
    <w:rsid w:val="006D1D4A"/>
    <w:rsid w:val="006D1EC5"/>
    <w:rsid w:val="006D241B"/>
    <w:rsid w:val="006D26F3"/>
    <w:rsid w:val="006D2740"/>
    <w:rsid w:val="006D3330"/>
    <w:rsid w:val="006D36CF"/>
    <w:rsid w:val="006D4095"/>
    <w:rsid w:val="006D42FF"/>
    <w:rsid w:val="006D4AAD"/>
    <w:rsid w:val="006D4EBD"/>
    <w:rsid w:val="006D5444"/>
    <w:rsid w:val="006D5BDD"/>
    <w:rsid w:val="006D5D2B"/>
    <w:rsid w:val="006D5F64"/>
    <w:rsid w:val="006D60D4"/>
    <w:rsid w:val="006D610D"/>
    <w:rsid w:val="006D6E95"/>
    <w:rsid w:val="006D788B"/>
    <w:rsid w:val="006D7AA4"/>
    <w:rsid w:val="006E0C96"/>
    <w:rsid w:val="006E0E37"/>
    <w:rsid w:val="006E126C"/>
    <w:rsid w:val="006E1EE6"/>
    <w:rsid w:val="006E262D"/>
    <w:rsid w:val="006E383D"/>
    <w:rsid w:val="006E388A"/>
    <w:rsid w:val="006E3CFB"/>
    <w:rsid w:val="006E4D60"/>
    <w:rsid w:val="006E5728"/>
    <w:rsid w:val="006E5B24"/>
    <w:rsid w:val="006E61EB"/>
    <w:rsid w:val="006E634A"/>
    <w:rsid w:val="006E67A4"/>
    <w:rsid w:val="006E68A1"/>
    <w:rsid w:val="006E6EA2"/>
    <w:rsid w:val="006E7E8E"/>
    <w:rsid w:val="006F0257"/>
    <w:rsid w:val="006F0516"/>
    <w:rsid w:val="006F2DA5"/>
    <w:rsid w:val="006F3509"/>
    <w:rsid w:val="006F354A"/>
    <w:rsid w:val="006F3B0D"/>
    <w:rsid w:val="006F3C8D"/>
    <w:rsid w:val="006F411B"/>
    <w:rsid w:val="006F42B5"/>
    <w:rsid w:val="006F4951"/>
    <w:rsid w:val="006F57F7"/>
    <w:rsid w:val="006F6EE6"/>
    <w:rsid w:val="006F76D0"/>
    <w:rsid w:val="006F7AFE"/>
    <w:rsid w:val="006F7BBE"/>
    <w:rsid w:val="00700443"/>
    <w:rsid w:val="00700CEA"/>
    <w:rsid w:val="0070107C"/>
    <w:rsid w:val="0070127C"/>
    <w:rsid w:val="007018F6"/>
    <w:rsid w:val="00701D52"/>
    <w:rsid w:val="00701EAE"/>
    <w:rsid w:val="0070209C"/>
    <w:rsid w:val="0070236E"/>
    <w:rsid w:val="00703E73"/>
    <w:rsid w:val="00703F45"/>
    <w:rsid w:val="007043C2"/>
    <w:rsid w:val="00704CC8"/>
    <w:rsid w:val="0070542C"/>
    <w:rsid w:val="007055AC"/>
    <w:rsid w:val="0070610B"/>
    <w:rsid w:val="00706113"/>
    <w:rsid w:val="00706742"/>
    <w:rsid w:val="0070692C"/>
    <w:rsid w:val="00706C1A"/>
    <w:rsid w:val="00706E82"/>
    <w:rsid w:val="007072DC"/>
    <w:rsid w:val="00707569"/>
    <w:rsid w:val="00707611"/>
    <w:rsid w:val="00710458"/>
    <w:rsid w:val="00711D7E"/>
    <w:rsid w:val="00712144"/>
    <w:rsid w:val="0071272C"/>
    <w:rsid w:val="00712C6E"/>
    <w:rsid w:val="007157ED"/>
    <w:rsid w:val="0071617D"/>
    <w:rsid w:val="0071689A"/>
    <w:rsid w:val="00717150"/>
    <w:rsid w:val="00717404"/>
    <w:rsid w:val="00720050"/>
    <w:rsid w:val="007205C1"/>
    <w:rsid w:val="00720804"/>
    <w:rsid w:val="00720ADA"/>
    <w:rsid w:val="007219A3"/>
    <w:rsid w:val="007222F1"/>
    <w:rsid w:val="00722501"/>
    <w:rsid w:val="00722EEA"/>
    <w:rsid w:val="00722F04"/>
    <w:rsid w:val="00722FDC"/>
    <w:rsid w:val="007248CE"/>
    <w:rsid w:val="00725091"/>
    <w:rsid w:val="00725432"/>
    <w:rsid w:val="00725DB5"/>
    <w:rsid w:val="00725FA8"/>
    <w:rsid w:val="00726DA7"/>
    <w:rsid w:val="0072730C"/>
    <w:rsid w:val="00730420"/>
    <w:rsid w:val="0073050D"/>
    <w:rsid w:val="00730AE0"/>
    <w:rsid w:val="00730E45"/>
    <w:rsid w:val="00730FBA"/>
    <w:rsid w:val="0073108C"/>
    <w:rsid w:val="00731692"/>
    <w:rsid w:val="007316A2"/>
    <w:rsid w:val="007317E7"/>
    <w:rsid w:val="00731AC6"/>
    <w:rsid w:val="00731D88"/>
    <w:rsid w:val="00731DD3"/>
    <w:rsid w:val="00731F8D"/>
    <w:rsid w:val="00732034"/>
    <w:rsid w:val="007321BD"/>
    <w:rsid w:val="0073238B"/>
    <w:rsid w:val="00732893"/>
    <w:rsid w:val="007329A9"/>
    <w:rsid w:val="007332D9"/>
    <w:rsid w:val="007335D4"/>
    <w:rsid w:val="0073379C"/>
    <w:rsid w:val="0073408E"/>
    <w:rsid w:val="00734172"/>
    <w:rsid w:val="0073524A"/>
    <w:rsid w:val="00735439"/>
    <w:rsid w:val="00735D24"/>
    <w:rsid w:val="007365AB"/>
    <w:rsid w:val="007367B3"/>
    <w:rsid w:val="00736EC5"/>
    <w:rsid w:val="00737777"/>
    <w:rsid w:val="007377AE"/>
    <w:rsid w:val="007378C2"/>
    <w:rsid w:val="00740311"/>
    <w:rsid w:val="007405FF"/>
    <w:rsid w:val="00741085"/>
    <w:rsid w:val="00741856"/>
    <w:rsid w:val="00741D07"/>
    <w:rsid w:val="007421D8"/>
    <w:rsid w:val="00742C55"/>
    <w:rsid w:val="00742D80"/>
    <w:rsid w:val="007430C7"/>
    <w:rsid w:val="00743BE9"/>
    <w:rsid w:val="00743F58"/>
    <w:rsid w:val="00744D19"/>
    <w:rsid w:val="00744DB7"/>
    <w:rsid w:val="00744FEF"/>
    <w:rsid w:val="00745210"/>
    <w:rsid w:val="007454C8"/>
    <w:rsid w:val="0074577D"/>
    <w:rsid w:val="00745998"/>
    <w:rsid w:val="00746676"/>
    <w:rsid w:val="0074699D"/>
    <w:rsid w:val="00746B35"/>
    <w:rsid w:val="00746C08"/>
    <w:rsid w:val="00747256"/>
    <w:rsid w:val="007474DF"/>
    <w:rsid w:val="00747649"/>
    <w:rsid w:val="00747841"/>
    <w:rsid w:val="00750561"/>
    <w:rsid w:val="00752E95"/>
    <w:rsid w:val="0075312A"/>
    <w:rsid w:val="00753688"/>
    <w:rsid w:val="00753E42"/>
    <w:rsid w:val="007545AD"/>
    <w:rsid w:val="007545CC"/>
    <w:rsid w:val="00754DF4"/>
    <w:rsid w:val="00755700"/>
    <w:rsid w:val="00755974"/>
    <w:rsid w:val="00755D73"/>
    <w:rsid w:val="00756293"/>
    <w:rsid w:val="007565AF"/>
    <w:rsid w:val="00757098"/>
    <w:rsid w:val="00757237"/>
    <w:rsid w:val="0075776F"/>
    <w:rsid w:val="0075786D"/>
    <w:rsid w:val="00757CCE"/>
    <w:rsid w:val="007603AD"/>
    <w:rsid w:val="00760710"/>
    <w:rsid w:val="00761169"/>
    <w:rsid w:val="00761DB4"/>
    <w:rsid w:val="0076207A"/>
    <w:rsid w:val="0076266A"/>
    <w:rsid w:val="00762EAE"/>
    <w:rsid w:val="007631B4"/>
    <w:rsid w:val="007632E0"/>
    <w:rsid w:val="00763A64"/>
    <w:rsid w:val="007656D2"/>
    <w:rsid w:val="00765C83"/>
    <w:rsid w:val="00765DA7"/>
    <w:rsid w:val="00766C0B"/>
    <w:rsid w:val="00766FF7"/>
    <w:rsid w:val="0076734E"/>
    <w:rsid w:val="0076782A"/>
    <w:rsid w:val="00767DD3"/>
    <w:rsid w:val="00770007"/>
    <w:rsid w:val="0077023B"/>
    <w:rsid w:val="00770268"/>
    <w:rsid w:val="007718AC"/>
    <w:rsid w:val="00771ECD"/>
    <w:rsid w:val="007720AC"/>
    <w:rsid w:val="0077217C"/>
    <w:rsid w:val="007724FD"/>
    <w:rsid w:val="00773186"/>
    <w:rsid w:val="00773330"/>
    <w:rsid w:val="007733D6"/>
    <w:rsid w:val="00773ED9"/>
    <w:rsid w:val="00774DEA"/>
    <w:rsid w:val="00775098"/>
    <w:rsid w:val="00775936"/>
    <w:rsid w:val="00775CCB"/>
    <w:rsid w:val="00775CED"/>
    <w:rsid w:val="00775D8E"/>
    <w:rsid w:val="00776F1A"/>
    <w:rsid w:val="0077743D"/>
    <w:rsid w:val="007778A5"/>
    <w:rsid w:val="00777951"/>
    <w:rsid w:val="00777D01"/>
    <w:rsid w:val="00780022"/>
    <w:rsid w:val="0078078B"/>
    <w:rsid w:val="007808D9"/>
    <w:rsid w:val="00780B3E"/>
    <w:rsid w:val="00780DA2"/>
    <w:rsid w:val="00780DF8"/>
    <w:rsid w:val="00780FB8"/>
    <w:rsid w:val="00781015"/>
    <w:rsid w:val="00781CB0"/>
    <w:rsid w:val="00781CE3"/>
    <w:rsid w:val="00781ECC"/>
    <w:rsid w:val="00782869"/>
    <w:rsid w:val="0078301C"/>
    <w:rsid w:val="00783C2C"/>
    <w:rsid w:val="00783C61"/>
    <w:rsid w:val="00783CF6"/>
    <w:rsid w:val="007849EB"/>
    <w:rsid w:val="0078503A"/>
    <w:rsid w:val="00785258"/>
    <w:rsid w:val="0078533B"/>
    <w:rsid w:val="0078606A"/>
    <w:rsid w:val="00786D9A"/>
    <w:rsid w:val="0078758E"/>
    <w:rsid w:val="0078770F"/>
    <w:rsid w:val="00787907"/>
    <w:rsid w:val="00790B07"/>
    <w:rsid w:val="00790B18"/>
    <w:rsid w:val="00790F98"/>
    <w:rsid w:val="00791C0A"/>
    <w:rsid w:val="00792091"/>
    <w:rsid w:val="007923CC"/>
    <w:rsid w:val="00792751"/>
    <w:rsid w:val="00792A6E"/>
    <w:rsid w:val="007939F7"/>
    <w:rsid w:val="00793C32"/>
    <w:rsid w:val="00794770"/>
    <w:rsid w:val="007951B9"/>
    <w:rsid w:val="00795573"/>
    <w:rsid w:val="00795A57"/>
    <w:rsid w:val="00795C72"/>
    <w:rsid w:val="00795D50"/>
    <w:rsid w:val="00796315"/>
    <w:rsid w:val="0079646E"/>
    <w:rsid w:val="00796DFB"/>
    <w:rsid w:val="007971F0"/>
    <w:rsid w:val="0079723F"/>
    <w:rsid w:val="0079730C"/>
    <w:rsid w:val="007978F4"/>
    <w:rsid w:val="0079903B"/>
    <w:rsid w:val="007A0466"/>
    <w:rsid w:val="007A0E9F"/>
    <w:rsid w:val="007A340B"/>
    <w:rsid w:val="007A3DE5"/>
    <w:rsid w:val="007A46AD"/>
    <w:rsid w:val="007A5C1D"/>
    <w:rsid w:val="007A5D14"/>
    <w:rsid w:val="007A61F4"/>
    <w:rsid w:val="007A6D01"/>
    <w:rsid w:val="007B08F7"/>
    <w:rsid w:val="007B1539"/>
    <w:rsid w:val="007B23D2"/>
    <w:rsid w:val="007B2E23"/>
    <w:rsid w:val="007B2F9F"/>
    <w:rsid w:val="007B3027"/>
    <w:rsid w:val="007B337E"/>
    <w:rsid w:val="007B3452"/>
    <w:rsid w:val="007B349A"/>
    <w:rsid w:val="007B3850"/>
    <w:rsid w:val="007B494E"/>
    <w:rsid w:val="007B4C56"/>
    <w:rsid w:val="007B4E0F"/>
    <w:rsid w:val="007B5E00"/>
    <w:rsid w:val="007B5F63"/>
    <w:rsid w:val="007B6378"/>
    <w:rsid w:val="007B6FD2"/>
    <w:rsid w:val="007B734D"/>
    <w:rsid w:val="007B7CE8"/>
    <w:rsid w:val="007C0013"/>
    <w:rsid w:val="007C00CA"/>
    <w:rsid w:val="007C0224"/>
    <w:rsid w:val="007C09A0"/>
    <w:rsid w:val="007C0FE9"/>
    <w:rsid w:val="007C21CB"/>
    <w:rsid w:val="007C240C"/>
    <w:rsid w:val="007C2740"/>
    <w:rsid w:val="007C2C76"/>
    <w:rsid w:val="007C3797"/>
    <w:rsid w:val="007C382E"/>
    <w:rsid w:val="007C39C0"/>
    <w:rsid w:val="007C39DE"/>
    <w:rsid w:val="007C45A2"/>
    <w:rsid w:val="007C4760"/>
    <w:rsid w:val="007C4C58"/>
    <w:rsid w:val="007C5925"/>
    <w:rsid w:val="007C5A98"/>
    <w:rsid w:val="007C5AA7"/>
    <w:rsid w:val="007C5F1C"/>
    <w:rsid w:val="007C5F5E"/>
    <w:rsid w:val="007C6A5A"/>
    <w:rsid w:val="007D004C"/>
    <w:rsid w:val="007D01AE"/>
    <w:rsid w:val="007D147F"/>
    <w:rsid w:val="007D1A21"/>
    <w:rsid w:val="007D1D40"/>
    <w:rsid w:val="007D2099"/>
    <w:rsid w:val="007D2794"/>
    <w:rsid w:val="007D28A0"/>
    <w:rsid w:val="007D29D4"/>
    <w:rsid w:val="007D2A48"/>
    <w:rsid w:val="007D33CB"/>
    <w:rsid w:val="007D346D"/>
    <w:rsid w:val="007D36EE"/>
    <w:rsid w:val="007D39E2"/>
    <w:rsid w:val="007D3F65"/>
    <w:rsid w:val="007D504C"/>
    <w:rsid w:val="007D59FA"/>
    <w:rsid w:val="007D5EBF"/>
    <w:rsid w:val="007D66A4"/>
    <w:rsid w:val="007D6EC6"/>
    <w:rsid w:val="007D726E"/>
    <w:rsid w:val="007D7440"/>
    <w:rsid w:val="007D777A"/>
    <w:rsid w:val="007E1A4C"/>
    <w:rsid w:val="007E1C9C"/>
    <w:rsid w:val="007E1E04"/>
    <w:rsid w:val="007E2BD0"/>
    <w:rsid w:val="007E320B"/>
    <w:rsid w:val="007E3EB6"/>
    <w:rsid w:val="007E58E1"/>
    <w:rsid w:val="007E5EB1"/>
    <w:rsid w:val="007E6903"/>
    <w:rsid w:val="007E701E"/>
    <w:rsid w:val="007E7385"/>
    <w:rsid w:val="007E770E"/>
    <w:rsid w:val="007E77CC"/>
    <w:rsid w:val="007E7990"/>
    <w:rsid w:val="007F00D3"/>
    <w:rsid w:val="007F02A9"/>
    <w:rsid w:val="007F0EAF"/>
    <w:rsid w:val="007F1624"/>
    <w:rsid w:val="007F1A79"/>
    <w:rsid w:val="007F2102"/>
    <w:rsid w:val="007F30DE"/>
    <w:rsid w:val="007F343E"/>
    <w:rsid w:val="007F3613"/>
    <w:rsid w:val="007F418E"/>
    <w:rsid w:val="007F4230"/>
    <w:rsid w:val="007F4438"/>
    <w:rsid w:val="007F47CC"/>
    <w:rsid w:val="007F5DF3"/>
    <w:rsid w:val="007F5F2D"/>
    <w:rsid w:val="007F60AA"/>
    <w:rsid w:val="007F63CE"/>
    <w:rsid w:val="007F6A94"/>
    <w:rsid w:val="007F6C04"/>
    <w:rsid w:val="007F6C95"/>
    <w:rsid w:val="007F6FB5"/>
    <w:rsid w:val="00800273"/>
    <w:rsid w:val="008004E2"/>
    <w:rsid w:val="0080105D"/>
    <w:rsid w:val="00801259"/>
    <w:rsid w:val="00801358"/>
    <w:rsid w:val="00801386"/>
    <w:rsid w:val="0080270C"/>
    <w:rsid w:val="00802866"/>
    <w:rsid w:val="008032BA"/>
    <w:rsid w:val="00803A21"/>
    <w:rsid w:val="00804AA4"/>
    <w:rsid w:val="00804C22"/>
    <w:rsid w:val="008053DA"/>
    <w:rsid w:val="00807089"/>
    <w:rsid w:val="00807406"/>
    <w:rsid w:val="00807842"/>
    <w:rsid w:val="008112C1"/>
    <w:rsid w:val="00811A42"/>
    <w:rsid w:val="0081225C"/>
    <w:rsid w:val="0081249F"/>
    <w:rsid w:val="008125D9"/>
    <w:rsid w:val="008127BC"/>
    <w:rsid w:val="00812E38"/>
    <w:rsid w:val="00813001"/>
    <w:rsid w:val="00813348"/>
    <w:rsid w:val="008143E3"/>
    <w:rsid w:val="008145D4"/>
    <w:rsid w:val="00814850"/>
    <w:rsid w:val="00815C64"/>
    <w:rsid w:val="00816244"/>
    <w:rsid w:val="0081636C"/>
    <w:rsid w:val="008166B2"/>
    <w:rsid w:val="00816C47"/>
    <w:rsid w:val="0081746A"/>
    <w:rsid w:val="008202C2"/>
    <w:rsid w:val="008202FF"/>
    <w:rsid w:val="00820FC3"/>
    <w:rsid w:val="0082174A"/>
    <w:rsid w:val="00821A58"/>
    <w:rsid w:val="00821B0E"/>
    <w:rsid w:val="0082211D"/>
    <w:rsid w:val="00822383"/>
    <w:rsid w:val="00822AE0"/>
    <w:rsid w:val="0082366C"/>
    <w:rsid w:val="00823CAE"/>
    <w:rsid w:val="0082474D"/>
    <w:rsid w:val="00824CE9"/>
    <w:rsid w:val="00825A6F"/>
    <w:rsid w:val="00825DA3"/>
    <w:rsid w:val="00825F04"/>
    <w:rsid w:val="008260E8"/>
    <w:rsid w:val="00826836"/>
    <w:rsid w:val="00827FA5"/>
    <w:rsid w:val="00830299"/>
    <w:rsid w:val="008303E4"/>
    <w:rsid w:val="00831C16"/>
    <w:rsid w:val="0083345E"/>
    <w:rsid w:val="00834416"/>
    <w:rsid w:val="008346ED"/>
    <w:rsid w:val="00835056"/>
    <w:rsid w:val="00835283"/>
    <w:rsid w:val="00835533"/>
    <w:rsid w:val="008369C5"/>
    <w:rsid w:val="00836FE1"/>
    <w:rsid w:val="00837FE5"/>
    <w:rsid w:val="0084080D"/>
    <w:rsid w:val="00840CAE"/>
    <w:rsid w:val="00842048"/>
    <w:rsid w:val="00842068"/>
    <w:rsid w:val="00842089"/>
    <w:rsid w:val="008420E6"/>
    <w:rsid w:val="00842550"/>
    <w:rsid w:val="00842894"/>
    <w:rsid w:val="00842C14"/>
    <w:rsid w:val="00843F57"/>
    <w:rsid w:val="008440D7"/>
    <w:rsid w:val="0084422A"/>
    <w:rsid w:val="0084436E"/>
    <w:rsid w:val="00844EB4"/>
    <w:rsid w:val="00845112"/>
    <w:rsid w:val="00845368"/>
    <w:rsid w:val="0084573F"/>
    <w:rsid w:val="00845953"/>
    <w:rsid w:val="00845BA9"/>
    <w:rsid w:val="0084675B"/>
    <w:rsid w:val="00847446"/>
    <w:rsid w:val="0084754E"/>
    <w:rsid w:val="00847D68"/>
    <w:rsid w:val="008506FD"/>
    <w:rsid w:val="00850729"/>
    <w:rsid w:val="00850A0E"/>
    <w:rsid w:val="00850D66"/>
    <w:rsid w:val="00850D93"/>
    <w:rsid w:val="00851F4F"/>
    <w:rsid w:val="008522A4"/>
    <w:rsid w:val="00852D46"/>
    <w:rsid w:val="00852FA1"/>
    <w:rsid w:val="00853086"/>
    <w:rsid w:val="00853732"/>
    <w:rsid w:val="00853A58"/>
    <w:rsid w:val="00853A8F"/>
    <w:rsid w:val="00853EA4"/>
    <w:rsid w:val="008540A5"/>
    <w:rsid w:val="00854369"/>
    <w:rsid w:val="00854BE1"/>
    <w:rsid w:val="0085527C"/>
    <w:rsid w:val="0085558F"/>
    <w:rsid w:val="008568FA"/>
    <w:rsid w:val="008573CF"/>
    <w:rsid w:val="00857857"/>
    <w:rsid w:val="00857A08"/>
    <w:rsid w:val="0086074B"/>
    <w:rsid w:val="00860DB0"/>
    <w:rsid w:val="00861C78"/>
    <w:rsid w:val="00863491"/>
    <w:rsid w:val="008635E6"/>
    <w:rsid w:val="0086463D"/>
    <w:rsid w:val="008646B0"/>
    <w:rsid w:val="008652D9"/>
    <w:rsid w:val="00865349"/>
    <w:rsid w:val="008656C1"/>
    <w:rsid w:val="00865759"/>
    <w:rsid w:val="00865DE2"/>
    <w:rsid w:val="0086605D"/>
    <w:rsid w:val="00866624"/>
    <w:rsid w:val="00867E76"/>
    <w:rsid w:val="0087094F"/>
    <w:rsid w:val="00870FCE"/>
    <w:rsid w:val="0087171F"/>
    <w:rsid w:val="00872431"/>
    <w:rsid w:val="008728C4"/>
    <w:rsid w:val="00874206"/>
    <w:rsid w:val="00874BE5"/>
    <w:rsid w:val="00874DAD"/>
    <w:rsid w:val="00875416"/>
    <w:rsid w:val="00875A5D"/>
    <w:rsid w:val="00875FFE"/>
    <w:rsid w:val="008766C8"/>
    <w:rsid w:val="00876AB9"/>
    <w:rsid w:val="00876EB4"/>
    <w:rsid w:val="00876FEF"/>
    <w:rsid w:val="00877762"/>
    <w:rsid w:val="00877A61"/>
    <w:rsid w:val="00877B25"/>
    <w:rsid w:val="00877B41"/>
    <w:rsid w:val="00880520"/>
    <w:rsid w:val="00880686"/>
    <w:rsid w:val="00880C12"/>
    <w:rsid w:val="0088161A"/>
    <w:rsid w:val="0088172C"/>
    <w:rsid w:val="00881814"/>
    <w:rsid w:val="00881FB9"/>
    <w:rsid w:val="00882D0D"/>
    <w:rsid w:val="00883A8B"/>
    <w:rsid w:val="00884937"/>
    <w:rsid w:val="00884A27"/>
    <w:rsid w:val="00884B88"/>
    <w:rsid w:val="00884F80"/>
    <w:rsid w:val="008851EA"/>
    <w:rsid w:val="008856B9"/>
    <w:rsid w:val="00885817"/>
    <w:rsid w:val="00886329"/>
    <w:rsid w:val="008865BD"/>
    <w:rsid w:val="0088693F"/>
    <w:rsid w:val="00886B4D"/>
    <w:rsid w:val="008870ED"/>
    <w:rsid w:val="008872C4"/>
    <w:rsid w:val="00887315"/>
    <w:rsid w:val="00887A99"/>
    <w:rsid w:val="00887C22"/>
    <w:rsid w:val="00890E86"/>
    <w:rsid w:val="00890F71"/>
    <w:rsid w:val="00890F8B"/>
    <w:rsid w:val="0089142F"/>
    <w:rsid w:val="00891E50"/>
    <w:rsid w:val="00891F0A"/>
    <w:rsid w:val="00892448"/>
    <w:rsid w:val="0089285C"/>
    <w:rsid w:val="00894699"/>
    <w:rsid w:val="00894742"/>
    <w:rsid w:val="00894C22"/>
    <w:rsid w:val="00894DCD"/>
    <w:rsid w:val="00894F9C"/>
    <w:rsid w:val="00895279"/>
    <w:rsid w:val="008953F0"/>
    <w:rsid w:val="00895543"/>
    <w:rsid w:val="008956C2"/>
    <w:rsid w:val="00896000"/>
    <w:rsid w:val="008965DE"/>
    <w:rsid w:val="00896A6A"/>
    <w:rsid w:val="00896CF5"/>
    <w:rsid w:val="00897AA9"/>
    <w:rsid w:val="00897D36"/>
    <w:rsid w:val="008A0C88"/>
    <w:rsid w:val="008A1293"/>
    <w:rsid w:val="008A1486"/>
    <w:rsid w:val="008A193E"/>
    <w:rsid w:val="008A1AB8"/>
    <w:rsid w:val="008A20CF"/>
    <w:rsid w:val="008A2C3D"/>
    <w:rsid w:val="008A2E29"/>
    <w:rsid w:val="008A3008"/>
    <w:rsid w:val="008A320A"/>
    <w:rsid w:val="008A3D1F"/>
    <w:rsid w:val="008A3DD3"/>
    <w:rsid w:val="008A4837"/>
    <w:rsid w:val="008A4F5A"/>
    <w:rsid w:val="008A4F6E"/>
    <w:rsid w:val="008A4F87"/>
    <w:rsid w:val="008A5377"/>
    <w:rsid w:val="008A690A"/>
    <w:rsid w:val="008A6AC8"/>
    <w:rsid w:val="008A6ED7"/>
    <w:rsid w:val="008B00A5"/>
    <w:rsid w:val="008B1575"/>
    <w:rsid w:val="008B2E2D"/>
    <w:rsid w:val="008B3210"/>
    <w:rsid w:val="008B3DB5"/>
    <w:rsid w:val="008B42A2"/>
    <w:rsid w:val="008B449F"/>
    <w:rsid w:val="008B4556"/>
    <w:rsid w:val="008B45DE"/>
    <w:rsid w:val="008B460D"/>
    <w:rsid w:val="008B551C"/>
    <w:rsid w:val="008B57CD"/>
    <w:rsid w:val="008B58C5"/>
    <w:rsid w:val="008B61B4"/>
    <w:rsid w:val="008B6699"/>
    <w:rsid w:val="008B66EC"/>
    <w:rsid w:val="008B75D5"/>
    <w:rsid w:val="008C00B0"/>
    <w:rsid w:val="008C0136"/>
    <w:rsid w:val="008C03D7"/>
    <w:rsid w:val="008C0522"/>
    <w:rsid w:val="008C08AF"/>
    <w:rsid w:val="008C0E6C"/>
    <w:rsid w:val="008C1402"/>
    <w:rsid w:val="008C26ED"/>
    <w:rsid w:val="008C2EA0"/>
    <w:rsid w:val="008C3207"/>
    <w:rsid w:val="008C3EB3"/>
    <w:rsid w:val="008C4C3B"/>
    <w:rsid w:val="008C503C"/>
    <w:rsid w:val="008C594C"/>
    <w:rsid w:val="008C5F4A"/>
    <w:rsid w:val="008C64B7"/>
    <w:rsid w:val="008C650D"/>
    <w:rsid w:val="008C6961"/>
    <w:rsid w:val="008C7E16"/>
    <w:rsid w:val="008D083C"/>
    <w:rsid w:val="008D12D7"/>
    <w:rsid w:val="008D1475"/>
    <w:rsid w:val="008D1526"/>
    <w:rsid w:val="008D180C"/>
    <w:rsid w:val="008D1E63"/>
    <w:rsid w:val="008D1EDD"/>
    <w:rsid w:val="008D26AF"/>
    <w:rsid w:val="008D2B82"/>
    <w:rsid w:val="008D2C92"/>
    <w:rsid w:val="008D3302"/>
    <w:rsid w:val="008D3999"/>
    <w:rsid w:val="008D43E1"/>
    <w:rsid w:val="008D4461"/>
    <w:rsid w:val="008D454B"/>
    <w:rsid w:val="008D49DF"/>
    <w:rsid w:val="008D4F15"/>
    <w:rsid w:val="008D5FCE"/>
    <w:rsid w:val="008D66AF"/>
    <w:rsid w:val="008D717F"/>
    <w:rsid w:val="008D758A"/>
    <w:rsid w:val="008E01A1"/>
    <w:rsid w:val="008E0FAE"/>
    <w:rsid w:val="008E144A"/>
    <w:rsid w:val="008E1E07"/>
    <w:rsid w:val="008E2054"/>
    <w:rsid w:val="008E48A9"/>
    <w:rsid w:val="008E4CFB"/>
    <w:rsid w:val="008E4D07"/>
    <w:rsid w:val="008E4DBA"/>
    <w:rsid w:val="008E50D8"/>
    <w:rsid w:val="008E6234"/>
    <w:rsid w:val="008E6547"/>
    <w:rsid w:val="008E6619"/>
    <w:rsid w:val="008E6D32"/>
    <w:rsid w:val="008E7463"/>
    <w:rsid w:val="008E7515"/>
    <w:rsid w:val="008E793F"/>
    <w:rsid w:val="008E7BA0"/>
    <w:rsid w:val="008F0B8F"/>
    <w:rsid w:val="008F0E4E"/>
    <w:rsid w:val="008F1158"/>
    <w:rsid w:val="008F24A6"/>
    <w:rsid w:val="008F294C"/>
    <w:rsid w:val="008F2D3D"/>
    <w:rsid w:val="008F3147"/>
    <w:rsid w:val="008F47D7"/>
    <w:rsid w:val="008F4873"/>
    <w:rsid w:val="008F4944"/>
    <w:rsid w:val="008F49A7"/>
    <w:rsid w:val="008F4D22"/>
    <w:rsid w:val="008F50DD"/>
    <w:rsid w:val="008F5398"/>
    <w:rsid w:val="008F54B5"/>
    <w:rsid w:val="008F577C"/>
    <w:rsid w:val="008F637A"/>
    <w:rsid w:val="008F6E3E"/>
    <w:rsid w:val="008F7694"/>
    <w:rsid w:val="008F7804"/>
    <w:rsid w:val="008F7DE2"/>
    <w:rsid w:val="0090033B"/>
    <w:rsid w:val="009003A1"/>
    <w:rsid w:val="0090058B"/>
    <w:rsid w:val="00900A68"/>
    <w:rsid w:val="009015E2"/>
    <w:rsid w:val="009017B0"/>
    <w:rsid w:val="00901B03"/>
    <w:rsid w:val="009021A4"/>
    <w:rsid w:val="00902BBC"/>
    <w:rsid w:val="00902DD3"/>
    <w:rsid w:val="009032AE"/>
    <w:rsid w:val="00903547"/>
    <w:rsid w:val="00903B26"/>
    <w:rsid w:val="00903EF5"/>
    <w:rsid w:val="00904526"/>
    <w:rsid w:val="00904645"/>
    <w:rsid w:val="0090489E"/>
    <w:rsid w:val="009049CE"/>
    <w:rsid w:val="00904A16"/>
    <w:rsid w:val="00904F78"/>
    <w:rsid w:val="0090527D"/>
    <w:rsid w:val="009054C8"/>
    <w:rsid w:val="00905994"/>
    <w:rsid w:val="00905E90"/>
    <w:rsid w:val="00906FB6"/>
    <w:rsid w:val="009074AA"/>
    <w:rsid w:val="0090787E"/>
    <w:rsid w:val="00910039"/>
    <w:rsid w:val="0091051A"/>
    <w:rsid w:val="0091062C"/>
    <w:rsid w:val="00910999"/>
    <w:rsid w:val="00911BA5"/>
    <w:rsid w:val="009120AE"/>
    <w:rsid w:val="00912583"/>
    <w:rsid w:val="00914358"/>
    <w:rsid w:val="009143B2"/>
    <w:rsid w:val="00914BF5"/>
    <w:rsid w:val="00914E57"/>
    <w:rsid w:val="0091527B"/>
    <w:rsid w:val="00916A4D"/>
    <w:rsid w:val="00916FF7"/>
    <w:rsid w:val="00917376"/>
    <w:rsid w:val="00917BEB"/>
    <w:rsid w:val="009207E9"/>
    <w:rsid w:val="009209B3"/>
    <w:rsid w:val="009210E4"/>
    <w:rsid w:val="00921B82"/>
    <w:rsid w:val="00922A44"/>
    <w:rsid w:val="0092308B"/>
    <w:rsid w:val="009230E9"/>
    <w:rsid w:val="009233EC"/>
    <w:rsid w:val="009235F5"/>
    <w:rsid w:val="009237C3"/>
    <w:rsid w:val="00924764"/>
    <w:rsid w:val="00924774"/>
    <w:rsid w:val="00924FC4"/>
    <w:rsid w:val="00925AF2"/>
    <w:rsid w:val="00925D8C"/>
    <w:rsid w:val="009275B7"/>
    <w:rsid w:val="00927719"/>
    <w:rsid w:val="00927871"/>
    <w:rsid w:val="00930F03"/>
    <w:rsid w:val="009328EC"/>
    <w:rsid w:val="00933F4C"/>
    <w:rsid w:val="00934AD1"/>
    <w:rsid w:val="00935C79"/>
    <w:rsid w:val="00936517"/>
    <w:rsid w:val="00936DDB"/>
    <w:rsid w:val="009371E6"/>
    <w:rsid w:val="0093738B"/>
    <w:rsid w:val="009373E9"/>
    <w:rsid w:val="00937D98"/>
    <w:rsid w:val="00940563"/>
    <w:rsid w:val="00940CFC"/>
    <w:rsid w:val="00940F25"/>
    <w:rsid w:val="00942193"/>
    <w:rsid w:val="009424BE"/>
    <w:rsid w:val="009435A6"/>
    <w:rsid w:val="00943CC6"/>
    <w:rsid w:val="00943D24"/>
    <w:rsid w:val="00944E75"/>
    <w:rsid w:val="00945761"/>
    <w:rsid w:val="009457BF"/>
    <w:rsid w:val="00945A7B"/>
    <w:rsid w:val="009462AF"/>
    <w:rsid w:val="00946B90"/>
    <w:rsid w:val="0094710A"/>
    <w:rsid w:val="00947BA4"/>
    <w:rsid w:val="00950189"/>
    <w:rsid w:val="0095042A"/>
    <w:rsid w:val="009506CF"/>
    <w:rsid w:val="00950EA9"/>
    <w:rsid w:val="0095148D"/>
    <w:rsid w:val="009518A9"/>
    <w:rsid w:val="00951A93"/>
    <w:rsid w:val="009521D3"/>
    <w:rsid w:val="009523DE"/>
    <w:rsid w:val="0095270D"/>
    <w:rsid w:val="00953257"/>
    <w:rsid w:val="00953F81"/>
    <w:rsid w:val="00954517"/>
    <w:rsid w:val="00954FE0"/>
    <w:rsid w:val="0095559E"/>
    <w:rsid w:val="00955AA8"/>
    <w:rsid w:val="0095653E"/>
    <w:rsid w:val="0095657E"/>
    <w:rsid w:val="009568B4"/>
    <w:rsid w:val="00956A05"/>
    <w:rsid w:val="00956DAA"/>
    <w:rsid w:val="00956E95"/>
    <w:rsid w:val="00957727"/>
    <w:rsid w:val="009578D9"/>
    <w:rsid w:val="00957A30"/>
    <w:rsid w:val="00960194"/>
    <w:rsid w:val="009609D8"/>
    <w:rsid w:val="00960E44"/>
    <w:rsid w:val="00961147"/>
    <w:rsid w:val="009611B0"/>
    <w:rsid w:val="009615A8"/>
    <w:rsid w:val="009619EB"/>
    <w:rsid w:val="00961DDD"/>
    <w:rsid w:val="00962869"/>
    <w:rsid w:val="00962D5A"/>
    <w:rsid w:val="0096333F"/>
    <w:rsid w:val="00963F6D"/>
    <w:rsid w:val="00964141"/>
    <w:rsid w:val="00964454"/>
    <w:rsid w:val="00964977"/>
    <w:rsid w:val="00964AC2"/>
    <w:rsid w:val="00964E1B"/>
    <w:rsid w:val="00964FD8"/>
    <w:rsid w:val="0096529A"/>
    <w:rsid w:val="009655CE"/>
    <w:rsid w:val="0096585B"/>
    <w:rsid w:val="0096607F"/>
    <w:rsid w:val="00966757"/>
    <w:rsid w:val="00966A3C"/>
    <w:rsid w:val="00966D63"/>
    <w:rsid w:val="009670B1"/>
    <w:rsid w:val="009670F7"/>
    <w:rsid w:val="0096720C"/>
    <w:rsid w:val="00967440"/>
    <w:rsid w:val="0097013A"/>
    <w:rsid w:val="00970464"/>
    <w:rsid w:val="00970504"/>
    <w:rsid w:val="009708E6"/>
    <w:rsid w:val="00970CC9"/>
    <w:rsid w:val="009714B4"/>
    <w:rsid w:val="009714D1"/>
    <w:rsid w:val="00971D65"/>
    <w:rsid w:val="009722FF"/>
    <w:rsid w:val="0097269C"/>
    <w:rsid w:val="00972BD7"/>
    <w:rsid w:val="0097367B"/>
    <w:rsid w:val="00973B0B"/>
    <w:rsid w:val="00973FC2"/>
    <w:rsid w:val="00974E09"/>
    <w:rsid w:val="0097573A"/>
    <w:rsid w:val="00975B00"/>
    <w:rsid w:val="00976785"/>
    <w:rsid w:val="0097744C"/>
    <w:rsid w:val="009775F5"/>
    <w:rsid w:val="00977648"/>
    <w:rsid w:val="009776BA"/>
    <w:rsid w:val="009808D0"/>
    <w:rsid w:val="00980BE4"/>
    <w:rsid w:val="009813E6"/>
    <w:rsid w:val="009814A3"/>
    <w:rsid w:val="009816E1"/>
    <w:rsid w:val="009817CF"/>
    <w:rsid w:val="009821DC"/>
    <w:rsid w:val="00982866"/>
    <w:rsid w:val="00982C8B"/>
    <w:rsid w:val="00982D4B"/>
    <w:rsid w:val="0098319E"/>
    <w:rsid w:val="0098321D"/>
    <w:rsid w:val="00983BBC"/>
    <w:rsid w:val="009845CE"/>
    <w:rsid w:val="009847A2"/>
    <w:rsid w:val="00984A17"/>
    <w:rsid w:val="00984EE5"/>
    <w:rsid w:val="0098702E"/>
    <w:rsid w:val="00987E07"/>
    <w:rsid w:val="00987E95"/>
    <w:rsid w:val="00990631"/>
    <w:rsid w:val="00990797"/>
    <w:rsid w:val="00990C12"/>
    <w:rsid w:val="00990FAE"/>
    <w:rsid w:val="00991250"/>
    <w:rsid w:val="009914D0"/>
    <w:rsid w:val="00991976"/>
    <w:rsid w:val="00992074"/>
    <w:rsid w:val="00992679"/>
    <w:rsid w:val="00993A4A"/>
    <w:rsid w:val="00993F3D"/>
    <w:rsid w:val="00994F5D"/>
    <w:rsid w:val="00995068"/>
    <w:rsid w:val="009951A4"/>
    <w:rsid w:val="00995857"/>
    <w:rsid w:val="00995D5E"/>
    <w:rsid w:val="00995E9D"/>
    <w:rsid w:val="009975F4"/>
    <w:rsid w:val="00997804"/>
    <w:rsid w:val="0099795E"/>
    <w:rsid w:val="009A03E4"/>
    <w:rsid w:val="009A15E1"/>
    <w:rsid w:val="009A1E9C"/>
    <w:rsid w:val="009A1F02"/>
    <w:rsid w:val="009A2518"/>
    <w:rsid w:val="009A2CB0"/>
    <w:rsid w:val="009A2CDE"/>
    <w:rsid w:val="009A3479"/>
    <w:rsid w:val="009A3B41"/>
    <w:rsid w:val="009A40C6"/>
    <w:rsid w:val="009A5ED8"/>
    <w:rsid w:val="009A603F"/>
    <w:rsid w:val="009A7793"/>
    <w:rsid w:val="009A7C79"/>
    <w:rsid w:val="009B1252"/>
    <w:rsid w:val="009B13AD"/>
    <w:rsid w:val="009B153D"/>
    <w:rsid w:val="009B1567"/>
    <w:rsid w:val="009B1D4D"/>
    <w:rsid w:val="009B26CD"/>
    <w:rsid w:val="009B279C"/>
    <w:rsid w:val="009B2DB5"/>
    <w:rsid w:val="009B3493"/>
    <w:rsid w:val="009B4215"/>
    <w:rsid w:val="009B46EB"/>
    <w:rsid w:val="009B524D"/>
    <w:rsid w:val="009B56D7"/>
    <w:rsid w:val="009B59E9"/>
    <w:rsid w:val="009B5E5D"/>
    <w:rsid w:val="009C0A91"/>
    <w:rsid w:val="009C0BA3"/>
    <w:rsid w:val="009C0CB4"/>
    <w:rsid w:val="009C1712"/>
    <w:rsid w:val="009C284A"/>
    <w:rsid w:val="009C2AC4"/>
    <w:rsid w:val="009C2D43"/>
    <w:rsid w:val="009C3043"/>
    <w:rsid w:val="009C3486"/>
    <w:rsid w:val="009C3891"/>
    <w:rsid w:val="009C3ABD"/>
    <w:rsid w:val="009C3D1F"/>
    <w:rsid w:val="009C4883"/>
    <w:rsid w:val="009C4BA3"/>
    <w:rsid w:val="009C5832"/>
    <w:rsid w:val="009C633E"/>
    <w:rsid w:val="009C6D3B"/>
    <w:rsid w:val="009C6FBE"/>
    <w:rsid w:val="009C714A"/>
    <w:rsid w:val="009C7CB6"/>
    <w:rsid w:val="009D0FA8"/>
    <w:rsid w:val="009D1CF7"/>
    <w:rsid w:val="009D23C8"/>
    <w:rsid w:val="009D2A94"/>
    <w:rsid w:val="009D33FF"/>
    <w:rsid w:val="009D3545"/>
    <w:rsid w:val="009D40B5"/>
    <w:rsid w:val="009D40D8"/>
    <w:rsid w:val="009D43E5"/>
    <w:rsid w:val="009D4B86"/>
    <w:rsid w:val="009D56F2"/>
    <w:rsid w:val="009D5A52"/>
    <w:rsid w:val="009D61FF"/>
    <w:rsid w:val="009D67CC"/>
    <w:rsid w:val="009D6919"/>
    <w:rsid w:val="009D6AF6"/>
    <w:rsid w:val="009D6E2E"/>
    <w:rsid w:val="009D7145"/>
    <w:rsid w:val="009E019C"/>
    <w:rsid w:val="009E184B"/>
    <w:rsid w:val="009E1953"/>
    <w:rsid w:val="009E21CF"/>
    <w:rsid w:val="009E225F"/>
    <w:rsid w:val="009E2798"/>
    <w:rsid w:val="009E2E0C"/>
    <w:rsid w:val="009E3B73"/>
    <w:rsid w:val="009E4A8D"/>
    <w:rsid w:val="009E5BC7"/>
    <w:rsid w:val="009E6113"/>
    <w:rsid w:val="009E621D"/>
    <w:rsid w:val="009E64ED"/>
    <w:rsid w:val="009E6BE2"/>
    <w:rsid w:val="009E7378"/>
    <w:rsid w:val="009E75A7"/>
    <w:rsid w:val="009E7946"/>
    <w:rsid w:val="009F0698"/>
    <w:rsid w:val="009F0C6F"/>
    <w:rsid w:val="009F1ACE"/>
    <w:rsid w:val="009F202C"/>
    <w:rsid w:val="009F2129"/>
    <w:rsid w:val="009F29A4"/>
    <w:rsid w:val="009F2F54"/>
    <w:rsid w:val="009F2F63"/>
    <w:rsid w:val="009F301E"/>
    <w:rsid w:val="009F3BB9"/>
    <w:rsid w:val="009F464C"/>
    <w:rsid w:val="009F4C20"/>
    <w:rsid w:val="009F4C47"/>
    <w:rsid w:val="009F4D6D"/>
    <w:rsid w:val="009F52E0"/>
    <w:rsid w:val="009F5641"/>
    <w:rsid w:val="009F67F8"/>
    <w:rsid w:val="009F69BF"/>
    <w:rsid w:val="009F6B0A"/>
    <w:rsid w:val="009F6BBD"/>
    <w:rsid w:val="009F6C54"/>
    <w:rsid w:val="009F73BA"/>
    <w:rsid w:val="009F74FD"/>
    <w:rsid w:val="009F7BA4"/>
    <w:rsid w:val="00A00B95"/>
    <w:rsid w:val="00A00C3D"/>
    <w:rsid w:val="00A01042"/>
    <w:rsid w:val="00A01BF6"/>
    <w:rsid w:val="00A01CF6"/>
    <w:rsid w:val="00A03D87"/>
    <w:rsid w:val="00A041BC"/>
    <w:rsid w:val="00A04D03"/>
    <w:rsid w:val="00A06241"/>
    <w:rsid w:val="00A063D4"/>
    <w:rsid w:val="00A06A33"/>
    <w:rsid w:val="00A06A7D"/>
    <w:rsid w:val="00A0715A"/>
    <w:rsid w:val="00A10B92"/>
    <w:rsid w:val="00A10CFB"/>
    <w:rsid w:val="00A110A3"/>
    <w:rsid w:val="00A1127F"/>
    <w:rsid w:val="00A11FD2"/>
    <w:rsid w:val="00A124F3"/>
    <w:rsid w:val="00A124FE"/>
    <w:rsid w:val="00A149B3"/>
    <w:rsid w:val="00A149E3"/>
    <w:rsid w:val="00A150B5"/>
    <w:rsid w:val="00A15511"/>
    <w:rsid w:val="00A155E1"/>
    <w:rsid w:val="00A15A17"/>
    <w:rsid w:val="00A15BF0"/>
    <w:rsid w:val="00A1627D"/>
    <w:rsid w:val="00A16351"/>
    <w:rsid w:val="00A1646B"/>
    <w:rsid w:val="00A1797E"/>
    <w:rsid w:val="00A17C3A"/>
    <w:rsid w:val="00A209BD"/>
    <w:rsid w:val="00A20EC9"/>
    <w:rsid w:val="00A21075"/>
    <w:rsid w:val="00A213D8"/>
    <w:rsid w:val="00A21A64"/>
    <w:rsid w:val="00A21B1A"/>
    <w:rsid w:val="00A21D0F"/>
    <w:rsid w:val="00A21EBD"/>
    <w:rsid w:val="00A221E9"/>
    <w:rsid w:val="00A2231B"/>
    <w:rsid w:val="00A22846"/>
    <w:rsid w:val="00A228D9"/>
    <w:rsid w:val="00A23E86"/>
    <w:rsid w:val="00A24CC4"/>
    <w:rsid w:val="00A2534C"/>
    <w:rsid w:val="00A2534E"/>
    <w:rsid w:val="00A26721"/>
    <w:rsid w:val="00A27072"/>
    <w:rsid w:val="00A27650"/>
    <w:rsid w:val="00A2775C"/>
    <w:rsid w:val="00A27909"/>
    <w:rsid w:val="00A30824"/>
    <w:rsid w:val="00A30F48"/>
    <w:rsid w:val="00A31277"/>
    <w:rsid w:val="00A31679"/>
    <w:rsid w:val="00A31B6B"/>
    <w:rsid w:val="00A31B72"/>
    <w:rsid w:val="00A32367"/>
    <w:rsid w:val="00A32437"/>
    <w:rsid w:val="00A325DE"/>
    <w:rsid w:val="00A3299B"/>
    <w:rsid w:val="00A32EDC"/>
    <w:rsid w:val="00A32FA3"/>
    <w:rsid w:val="00A33258"/>
    <w:rsid w:val="00A337F7"/>
    <w:rsid w:val="00A33836"/>
    <w:rsid w:val="00A347A0"/>
    <w:rsid w:val="00A349D7"/>
    <w:rsid w:val="00A36232"/>
    <w:rsid w:val="00A37A16"/>
    <w:rsid w:val="00A408D4"/>
    <w:rsid w:val="00A40A3B"/>
    <w:rsid w:val="00A40E07"/>
    <w:rsid w:val="00A4161A"/>
    <w:rsid w:val="00A4161B"/>
    <w:rsid w:val="00A41917"/>
    <w:rsid w:val="00A419E8"/>
    <w:rsid w:val="00A41E9B"/>
    <w:rsid w:val="00A427B5"/>
    <w:rsid w:val="00A42872"/>
    <w:rsid w:val="00A42AA3"/>
    <w:rsid w:val="00A43030"/>
    <w:rsid w:val="00A43DAF"/>
    <w:rsid w:val="00A443A3"/>
    <w:rsid w:val="00A44F5A"/>
    <w:rsid w:val="00A45278"/>
    <w:rsid w:val="00A452F2"/>
    <w:rsid w:val="00A45748"/>
    <w:rsid w:val="00A45B48"/>
    <w:rsid w:val="00A46B4E"/>
    <w:rsid w:val="00A479E2"/>
    <w:rsid w:val="00A47BF9"/>
    <w:rsid w:val="00A47DB9"/>
    <w:rsid w:val="00A50A97"/>
    <w:rsid w:val="00A50AFF"/>
    <w:rsid w:val="00A516EC"/>
    <w:rsid w:val="00A518DE"/>
    <w:rsid w:val="00A51BD3"/>
    <w:rsid w:val="00A52968"/>
    <w:rsid w:val="00A52D9E"/>
    <w:rsid w:val="00A53474"/>
    <w:rsid w:val="00A54BA5"/>
    <w:rsid w:val="00A54EEC"/>
    <w:rsid w:val="00A55163"/>
    <w:rsid w:val="00A554CA"/>
    <w:rsid w:val="00A56198"/>
    <w:rsid w:val="00A56651"/>
    <w:rsid w:val="00A57A6A"/>
    <w:rsid w:val="00A61D72"/>
    <w:rsid w:val="00A625C7"/>
    <w:rsid w:val="00A632D3"/>
    <w:rsid w:val="00A637BF"/>
    <w:rsid w:val="00A63F5F"/>
    <w:rsid w:val="00A641D1"/>
    <w:rsid w:val="00A6448E"/>
    <w:rsid w:val="00A6452F"/>
    <w:rsid w:val="00A6485E"/>
    <w:rsid w:val="00A64970"/>
    <w:rsid w:val="00A65D0F"/>
    <w:rsid w:val="00A66836"/>
    <w:rsid w:val="00A66D8A"/>
    <w:rsid w:val="00A66E5C"/>
    <w:rsid w:val="00A67C2E"/>
    <w:rsid w:val="00A70370"/>
    <w:rsid w:val="00A704EF"/>
    <w:rsid w:val="00A70661"/>
    <w:rsid w:val="00A71165"/>
    <w:rsid w:val="00A71A49"/>
    <w:rsid w:val="00A71B70"/>
    <w:rsid w:val="00A71BF8"/>
    <w:rsid w:val="00A72425"/>
    <w:rsid w:val="00A72E0A"/>
    <w:rsid w:val="00A72F60"/>
    <w:rsid w:val="00A73AE0"/>
    <w:rsid w:val="00A73B53"/>
    <w:rsid w:val="00A74DC7"/>
    <w:rsid w:val="00A74EE3"/>
    <w:rsid w:val="00A755DD"/>
    <w:rsid w:val="00A758F7"/>
    <w:rsid w:val="00A760DF"/>
    <w:rsid w:val="00A76AAB"/>
    <w:rsid w:val="00A76C94"/>
    <w:rsid w:val="00A77154"/>
    <w:rsid w:val="00A775C1"/>
    <w:rsid w:val="00A7793E"/>
    <w:rsid w:val="00A77BD8"/>
    <w:rsid w:val="00A80234"/>
    <w:rsid w:val="00A8029F"/>
    <w:rsid w:val="00A80E5E"/>
    <w:rsid w:val="00A80FA4"/>
    <w:rsid w:val="00A84193"/>
    <w:rsid w:val="00A846E2"/>
    <w:rsid w:val="00A84A7F"/>
    <w:rsid w:val="00A84C37"/>
    <w:rsid w:val="00A84F38"/>
    <w:rsid w:val="00A8502B"/>
    <w:rsid w:val="00A854AB"/>
    <w:rsid w:val="00A8651C"/>
    <w:rsid w:val="00A86A46"/>
    <w:rsid w:val="00A86D5B"/>
    <w:rsid w:val="00A87075"/>
    <w:rsid w:val="00A87652"/>
    <w:rsid w:val="00A876D5"/>
    <w:rsid w:val="00A876DE"/>
    <w:rsid w:val="00A907AF"/>
    <w:rsid w:val="00A91492"/>
    <w:rsid w:val="00A93B11"/>
    <w:rsid w:val="00A93C8F"/>
    <w:rsid w:val="00A94682"/>
    <w:rsid w:val="00A94DA6"/>
    <w:rsid w:val="00A94E65"/>
    <w:rsid w:val="00A94FE0"/>
    <w:rsid w:val="00A952F0"/>
    <w:rsid w:val="00A95E16"/>
    <w:rsid w:val="00A96146"/>
    <w:rsid w:val="00A96475"/>
    <w:rsid w:val="00A96524"/>
    <w:rsid w:val="00A9727D"/>
    <w:rsid w:val="00A97881"/>
    <w:rsid w:val="00AA04B6"/>
    <w:rsid w:val="00AA0C31"/>
    <w:rsid w:val="00AA1151"/>
    <w:rsid w:val="00AA1561"/>
    <w:rsid w:val="00AA2048"/>
    <w:rsid w:val="00AA2B07"/>
    <w:rsid w:val="00AA3109"/>
    <w:rsid w:val="00AA394D"/>
    <w:rsid w:val="00AA3F69"/>
    <w:rsid w:val="00AA4808"/>
    <w:rsid w:val="00AA4C86"/>
    <w:rsid w:val="00AA5293"/>
    <w:rsid w:val="00AA571E"/>
    <w:rsid w:val="00AA58DD"/>
    <w:rsid w:val="00AA5AD4"/>
    <w:rsid w:val="00AA6629"/>
    <w:rsid w:val="00AA6692"/>
    <w:rsid w:val="00AA68E2"/>
    <w:rsid w:val="00AA69F6"/>
    <w:rsid w:val="00AA744B"/>
    <w:rsid w:val="00AA75A3"/>
    <w:rsid w:val="00AA79A0"/>
    <w:rsid w:val="00AB027F"/>
    <w:rsid w:val="00AB055E"/>
    <w:rsid w:val="00AB07F6"/>
    <w:rsid w:val="00AB0995"/>
    <w:rsid w:val="00AB2000"/>
    <w:rsid w:val="00AB215A"/>
    <w:rsid w:val="00AB27DE"/>
    <w:rsid w:val="00AB3F04"/>
    <w:rsid w:val="00AB463B"/>
    <w:rsid w:val="00AB47C7"/>
    <w:rsid w:val="00AB49A5"/>
    <w:rsid w:val="00AB5EA0"/>
    <w:rsid w:val="00AB6E00"/>
    <w:rsid w:val="00AB7710"/>
    <w:rsid w:val="00AB7A4A"/>
    <w:rsid w:val="00AC126B"/>
    <w:rsid w:val="00AC14EB"/>
    <w:rsid w:val="00AC2536"/>
    <w:rsid w:val="00AC2D3A"/>
    <w:rsid w:val="00AC38D0"/>
    <w:rsid w:val="00AC3AF9"/>
    <w:rsid w:val="00AC3F82"/>
    <w:rsid w:val="00AC48BD"/>
    <w:rsid w:val="00AC4AF6"/>
    <w:rsid w:val="00AC4F39"/>
    <w:rsid w:val="00AC50F3"/>
    <w:rsid w:val="00AC5D2F"/>
    <w:rsid w:val="00AC5E93"/>
    <w:rsid w:val="00AC6050"/>
    <w:rsid w:val="00AC619A"/>
    <w:rsid w:val="00AC7CCB"/>
    <w:rsid w:val="00AC7F44"/>
    <w:rsid w:val="00AD0398"/>
    <w:rsid w:val="00AD0BA1"/>
    <w:rsid w:val="00AD15BA"/>
    <w:rsid w:val="00AD2144"/>
    <w:rsid w:val="00AD229B"/>
    <w:rsid w:val="00AD229C"/>
    <w:rsid w:val="00AD22AC"/>
    <w:rsid w:val="00AD2904"/>
    <w:rsid w:val="00AD2C0E"/>
    <w:rsid w:val="00AD3A88"/>
    <w:rsid w:val="00AD3C40"/>
    <w:rsid w:val="00AD3CF8"/>
    <w:rsid w:val="00AD416D"/>
    <w:rsid w:val="00AD45C1"/>
    <w:rsid w:val="00AD4E7B"/>
    <w:rsid w:val="00AD515F"/>
    <w:rsid w:val="00AD5160"/>
    <w:rsid w:val="00AD51EF"/>
    <w:rsid w:val="00AD566A"/>
    <w:rsid w:val="00AD5A57"/>
    <w:rsid w:val="00AD5E38"/>
    <w:rsid w:val="00AD6925"/>
    <w:rsid w:val="00AD6E11"/>
    <w:rsid w:val="00AD729D"/>
    <w:rsid w:val="00AE04A3"/>
    <w:rsid w:val="00AE0534"/>
    <w:rsid w:val="00AE0E1B"/>
    <w:rsid w:val="00AE1200"/>
    <w:rsid w:val="00AE15C2"/>
    <w:rsid w:val="00AE17E6"/>
    <w:rsid w:val="00AE28E6"/>
    <w:rsid w:val="00AE2A38"/>
    <w:rsid w:val="00AE2CD7"/>
    <w:rsid w:val="00AE36DB"/>
    <w:rsid w:val="00AE39FC"/>
    <w:rsid w:val="00AE3BC3"/>
    <w:rsid w:val="00AE3CCE"/>
    <w:rsid w:val="00AE3FBD"/>
    <w:rsid w:val="00AE406A"/>
    <w:rsid w:val="00AE49B5"/>
    <w:rsid w:val="00AE4E2E"/>
    <w:rsid w:val="00AE4F76"/>
    <w:rsid w:val="00AE5E99"/>
    <w:rsid w:val="00AE63C9"/>
    <w:rsid w:val="00AE6627"/>
    <w:rsid w:val="00AE6B98"/>
    <w:rsid w:val="00AE79B9"/>
    <w:rsid w:val="00AF0E73"/>
    <w:rsid w:val="00AF1962"/>
    <w:rsid w:val="00AF1B94"/>
    <w:rsid w:val="00AF268F"/>
    <w:rsid w:val="00AF28F7"/>
    <w:rsid w:val="00AF2BD9"/>
    <w:rsid w:val="00AF2D71"/>
    <w:rsid w:val="00AF3296"/>
    <w:rsid w:val="00AF36BE"/>
    <w:rsid w:val="00AF3F0B"/>
    <w:rsid w:val="00AF4174"/>
    <w:rsid w:val="00AF4177"/>
    <w:rsid w:val="00AF48DE"/>
    <w:rsid w:val="00AF4950"/>
    <w:rsid w:val="00AF4FC1"/>
    <w:rsid w:val="00AF54DC"/>
    <w:rsid w:val="00AF5743"/>
    <w:rsid w:val="00AF5F0A"/>
    <w:rsid w:val="00AF610A"/>
    <w:rsid w:val="00AF64BF"/>
    <w:rsid w:val="00AF6958"/>
    <w:rsid w:val="00AF6BC8"/>
    <w:rsid w:val="00AF6DC8"/>
    <w:rsid w:val="00AF72A7"/>
    <w:rsid w:val="00B007D7"/>
    <w:rsid w:val="00B00989"/>
    <w:rsid w:val="00B00CA6"/>
    <w:rsid w:val="00B01311"/>
    <w:rsid w:val="00B01A2A"/>
    <w:rsid w:val="00B01B4B"/>
    <w:rsid w:val="00B0226C"/>
    <w:rsid w:val="00B02E86"/>
    <w:rsid w:val="00B02F9F"/>
    <w:rsid w:val="00B031D1"/>
    <w:rsid w:val="00B034B6"/>
    <w:rsid w:val="00B0388C"/>
    <w:rsid w:val="00B03B3E"/>
    <w:rsid w:val="00B03D46"/>
    <w:rsid w:val="00B042B0"/>
    <w:rsid w:val="00B04A26"/>
    <w:rsid w:val="00B05DA0"/>
    <w:rsid w:val="00B06088"/>
    <w:rsid w:val="00B06223"/>
    <w:rsid w:val="00B07B9F"/>
    <w:rsid w:val="00B07E5B"/>
    <w:rsid w:val="00B07EDA"/>
    <w:rsid w:val="00B100E9"/>
    <w:rsid w:val="00B11596"/>
    <w:rsid w:val="00B11C4B"/>
    <w:rsid w:val="00B11D67"/>
    <w:rsid w:val="00B125AD"/>
    <w:rsid w:val="00B1399B"/>
    <w:rsid w:val="00B1416B"/>
    <w:rsid w:val="00B14AA5"/>
    <w:rsid w:val="00B14C38"/>
    <w:rsid w:val="00B1541F"/>
    <w:rsid w:val="00B15732"/>
    <w:rsid w:val="00B161CC"/>
    <w:rsid w:val="00B16534"/>
    <w:rsid w:val="00B1662F"/>
    <w:rsid w:val="00B179A5"/>
    <w:rsid w:val="00B17D62"/>
    <w:rsid w:val="00B17DDD"/>
    <w:rsid w:val="00B20349"/>
    <w:rsid w:val="00B2083D"/>
    <w:rsid w:val="00B20DB8"/>
    <w:rsid w:val="00B2160B"/>
    <w:rsid w:val="00B21A7F"/>
    <w:rsid w:val="00B21D6F"/>
    <w:rsid w:val="00B2225E"/>
    <w:rsid w:val="00B2233F"/>
    <w:rsid w:val="00B225AA"/>
    <w:rsid w:val="00B23453"/>
    <w:rsid w:val="00B23A61"/>
    <w:rsid w:val="00B23CD3"/>
    <w:rsid w:val="00B23DF5"/>
    <w:rsid w:val="00B2412F"/>
    <w:rsid w:val="00B24152"/>
    <w:rsid w:val="00B255A5"/>
    <w:rsid w:val="00B25650"/>
    <w:rsid w:val="00B2600B"/>
    <w:rsid w:val="00B261CB"/>
    <w:rsid w:val="00B2698C"/>
    <w:rsid w:val="00B26AA7"/>
    <w:rsid w:val="00B26B78"/>
    <w:rsid w:val="00B26D80"/>
    <w:rsid w:val="00B26EA2"/>
    <w:rsid w:val="00B303C4"/>
    <w:rsid w:val="00B3045A"/>
    <w:rsid w:val="00B304DA"/>
    <w:rsid w:val="00B31F85"/>
    <w:rsid w:val="00B32101"/>
    <w:rsid w:val="00B324A3"/>
    <w:rsid w:val="00B33EC8"/>
    <w:rsid w:val="00B341FA"/>
    <w:rsid w:val="00B34494"/>
    <w:rsid w:val="00B34E79"/>
    <w:rsid w:val="00B35287"/>
    <w:rsid w:val="00B352DD"/>
    <w:rsid w:val="00B35A02"/>
    <w:rsid w:val="00B369A0"/>
    <w:rsid w:val="00B37788"/>
    <w:rsid w:val="00B41A1A"/>
    <w:rsid w:val="00B41D9B"/>
    <w:rsid w:val="00B433AB"/>
    <w:rsid w:val="00B43631"/>
    <w:rsid w:val="00B44586"/>
    <w:rsid w:val="00B445E6"/>
    <w:rsid w:val="00B453DE"/>
    <w:rsid w:val="00B45563"/>
    <w:rsid w:val="00B46171"/>
    <w:rsid w:val="00B47A94"/>
    <w:rsid w:val="00B501AD"/>
    <w:rsid w:val="00B5025D"/>
    <w:rsid w:val="00B51251"/>
    <w:rsid w:val="00B524A7"/>
    <w:rsid w:val="00B53938"/>
    <w:rsid w:val="00B542FC"/>
    <w:rsid w:val="00B54A4C"/>
    <w:rsid w:val="00B54CE6"/>
    <w:rsid w:val="00B556C8"/>
    <w:rsid w:val="00B55E2D"/>
    <w:rsid w:val="00B55F77"/>
    <w:rsid w:val="00B567C8"/>
    <w:rsid w:val="00B607B6"/>
    <w:rsid w:val="00B60E30"/>
    <w:rsid w:val="00B62215"/>
    <w:rsid w:val="00B624D8"/>
    <w:rsid w:val="00B62763"/>
    <w:rsid w:val="00B628A8"/>
    <w:rsid w:val="00B63612"/>
    <w:rsid w:val="00B64F19"/>
    <w:rsid w:val="00B65DB0"/>
    <w:rsid w:val="00B665C5"/>
    <w:rsid w:val="00B666F9"/>
    <w:rsid w:val="00B66C7C"/>
    <w:rsid w:val="00B66D30"/>
    <w:rsid w:val="00B6787F"/>
    <w:rsid w:val="00B70415"/>
    <w:rsid w:val="00B704F1"/>
    <w:rsid w:val="00B712BE"/>
    <w:rsid w:val="00B7152E"/>
    <w:rsid w:val="00B71658"/>
    <w:rsid w:val="00B7167B"/>
    <w:rsid w:val="00B72488"/>
    <w:rsid w:val="00B724B5"/>
    <w:rsid w:val="00B72A86"/>
    <w:rsid w:val="00B72AA4"/>
    <w:rsid w:val="00B73297"/>
    <w:rsid w:val="00B734EE"/>
    <w:rsid w:val="00B736B2"/>
    <w:rsid w:val="00B73EE3"/>
    <w:rsid w:val="00B74007"/>
    <w:rsid w:val="00B742FE"/>
    <w:rsid w:val="00B74322"/>
    <w:rsid w:val="00B74EED"/>
    <w:rsid w:val="00B7529D"/>
    <w:rsid w:val="00B7684D"/>
    <w:rsid w:val="00B76D6A"/>
    <w:rsid w:val="00B77457"/>
    <w:rsid w:val="00B77B79"/>
    <w:rsid w:val="00B803F5"/>
    <w:rsid w:val="00B80467"/>
    <w:rsid w:val="00B8086B"/>
    <w:rsid w:val="00B80B4B"/>
    <w:rsid w:val="00B80BAF"/>
    <w:rsid w:val="00B8104C"/>
    <w:rsid w:val="00B81362"/>
    <w:rsid w:val="00B815E1"/>
    <w:rsid w:val="00B81912"/>
    <w:rsid w:val="00B832FE"/>
    <w:rsid w:val="00B83B10"/>
    <w:rsid w:val="00B843D0"/>
    <w:rsid w:val="00B84727"/>
    <w:rsid w:val="00B84CFA"/>
    <w:rsid w:val="00B85186"/>
    <w:rsid w:val="00B852BE"/>
    <w:rsid w:val="00B852C9"/>
    <w:rsid w:val="00B85595"/>
    <w:rsid w:val="00B8630C"/>
    <w:rsid w:val="00B86D00"/>
    <w:rsid w:val="00B86D06"/>
    <w:rsid w:val="00B86DFA"/>
    <w:rsid w:val="00B875B0"/>
    <w:rsid w:val="00B90568"/>
    <w:rsid w:val="00B9081B"/>
    <w:rsid w:val="00B91268"/>
    <w:rsid w:val="00B920FC"/>
    <w:rsid w:val="00B92137"/>
    <w:rsid w:val="00B92BE1"/>
    <w:rsid w:val="00B92C76"/>
    <w:rsid w:val="00B9301E"/>
    <w:rsid w:val="00B93343"/>
    <w:rsid w:val="00B93A50"/>
    <w:rsid w:val="00B942A2"/>
    <w:rsid w:val="00B9453E"/>
    <w:rsid w:val="00B945F0"/>
    <w:rsid w:val="00B96241"/>
    <w:rsid w:val="00B96490"/>
    <w:rsid w:val="00B972F4"/>
    <w:rsid w:val="00B97D7B"/>
    <w:rsid w:val="00BA010C"/>
    <w:rsid w:val="00BA06D4"/>
    <w:rsid w:val="00BA0B25"/>
    <w:rsid w:val="00BA21BB"/>
    <w:rsid w:val="00BA23AF"/>
    <w:rsid w:val="00BA2D55"/>
    <w:rsid w:val="00BA2FB3"/>
    <w:rsid w:val="00BA3B57"/>
    <w:rsid w:val="00BA3E64"/>
    <w:rsid w:val="00BA4F3F"/>
    <w:rsid w:val="00BA5139"/>
    <w:rsid w:val="00BA54BB"/>
    <w:rsid w:val="00BA5B5A"/>
    <w:rsid w:val="00BA5F2C"/>
    <w:rsid w:val="00BA692D"/>
    <w:rsid w:val="00BB0209"/>
    <w:rsid w:val="00BB025A"/>
    <w:rsid w:val="00BB028A"/>
    <w:rsid w:val="00BB0814"/>
    <w:rsid w:val="00BB0FBC"/>
    <w:rsid w:val="00BB149E"/>
    <w:rsid w:val="00BB1510"/>
    <w:rsid w:val="00BB1820"/>
    <w:rsid w:val="00BB1CEE"/>
    <w:rsid w:val="00BB1FE8"/>
    <w:rsid w:val="00BB2090"/>
    <w:rsid w:val="00BB2B2B"/>
    <w:rsid w:val="00BB38D5"/>
    <w:rsid w:val="00BB4199"/>
    <w:rsid w:val="00BB4632"/>
    <w:rsid w:val="00BB4789"/>
    <w:rsid w:val="00BB52D0"/>
    <w:rsid w:val="00BB5A31"/>
    <w:rsid w:val="00BB5B87"/>
    <w:rsid w:val="00BB5D33"/>
    <w:rsid w:val="00BB62CE"/>
    <w:rsid w:val="00BB72B6"/>
    <w:rsid w:val="00BB7432"/>
    <w:rsid w:val="00BB77E2"/>
    <w:rsid w:val="00BB78B7"/>
    <w:rsid w:val="00BB79A4"/>
    <w:rsid w:val="00BC0261"/>
    <w:rsid w:val="00BC0627"/>
    <w:rsid w:val="00BC0664"/>
    <w:rsid w:val="00BC1203"/>
    <w:rsid w:val="00BC187D"/>
    <w:rsid w:val="00BC1BC0"/>
    <w:rsid w:val="00BC1C2C"/>
    <w:rsid w:val="00BC34BE"/>
    <w:rsid w:val="00BC3759"/>
    <w:rsid w:val="00BC46DD"/>
    <w:rsid w:val="00BC472C"/>
    <w:rsid w:val="00BC4820"/>
    <w:rsid w:val="00BC4C89"/>
    <w:rsid w:val="00BC524C"/>
    <w:rsid w:val="00BC5853"/>
    <w:rsid w:val="00BC5B0E"/>
    <w:rsid w:val="00BC5E2F"/>
    <w:rsid w:val="00BC6175"/>
    <w:rsid w:val="00BC6377"/>
    <w:rsid w:val="00BC7374"/>
    <w:rsid w:val="00BC764D"/>
    <w:rsid w:val="00BC7CB4"/>
    <w:rsid w:val="00BC7D42"/>
    <w:rsid w:val="00BC7D68"/>
    <w:rsid w:val="00BD09AC"/>
    <w:rsid w:val="00BD14AC"/>
    <w:rsid w:val="00BD1A25"/>
    <w:rsid w:val="00BD2476"/>
    <w:rsid w:val="00BD254F"/>
    <w:rsid w:val="00BD42C6"/>
    <w:rsid w:val="00BD4BEA"/>
    <w:rsid w:val="00BD4D66"/>
    <w:rsid w:val="00BD566C"/>
    <w:rsid w:val="00BD5911"/>
    <w:rsid w:val="00BD6091"/>
    <w:rsid w:val="00BD6595"/>
    <w:rsid w:val="00BD7E69"/>
    <w:rsid w:val="00BE0DA2"/>
    <w:rsid w:val="00BE125D"/>
    <w:rsid w:val="00BE143A"/>
    <w:rsid w:val="00BE15FD"/>
    <w:rsid w:val="00BE176E"/>
    <w:rsid w:val="00BE1C8C"/>
    <w:rsid w:val="00BE200E"/>
    <w:rsid w:val="00BE2308"/>
    <w:rsid w:val="00BE2C8B"/>
    <w:rsid w:val="00BE3FD4"/>
    <w:rsid w:val="00BE41AF"/>
    <w:rsid w:val="00BE48B3"/>
    <w:rsid w:val="00BE4AEB"/>
    <w:rsid w:val="00BE501A"/>
    <w:rsid w:val="00BE52C1"/>
    <w:rsid w:val="00BE60CB"/>
    <w:rsid w:val="00BE65CB"/>
    <w:rsid w:val="00BE69E5"/>
    <w:rsid w:val="00BE6CD7"/>
    <w:rsid w:val="00BE77B1"/>
    <w:rsid w:val="00BE77B2"/>
    <w:rsid w:val="00BF0112"/>
    <w:rsid w:val="00BF0242"/>
    <w:rsid w:val="00BF0DF2"/>
    <w:rsid w:val="00BF192E"/>
    <w:rsid w:val="00BF1AC8"/>
    <w:rsid w:val="00BF2258"/>
    <w:rsid w:val="00BF27B6"/>
    <w:rsid w:val="00BF327D"/>
    <w:rsid w:val="00BF3746"/>
    <w:rsid w:val="00BF4069"/>
    <w:rsid w:val="00BF430F"/>
    <w:rsid w:val="00BF4800"/>
    <w:rsid w:val="00BF4AA2"/>
    <w:rsid w:val="00BF4D50"/>
    <w:rsid w:val="00BF6373"/>
    <w:rsid w:val="00BF667A"/>
    <w:rsid w:val="00BF7B06"/>
    <w:rsid w:val="00C00230"/>
    <w:rsid w:val="00C01079"/>
    <w:rsid w:val="00C01312"/>
    <w:rsid w:val="00C0149E"/>
    <w:rsid w:val="00C01861"/>
    <w:rsid w:val="00C027E0"/>
    <w:rsid w:val="00C0286C"/>
    <w:rsid w:val="00C03B25"/>
    <w:rsid w:val="00C03BF9"/>
    <w:rsid w:val="00C04112"/>
    <w:rsid w:val="00C04361"/>
    <w:rsid w:val="00C05465"/>
    <w:rsid w:val="00C05EA4"/>
    <w:rsid w:val="00C065E3"/>
    <w:rsid w:val="00C065F3"/>
    <w:rsid w:val="00C06F0C"/>
    <w:rsid w:val="00C07D39"/>
    <w:rsid w:val="00C10B49"/>
    <w:rsid w:val="00C11884"/>
    <w:rsid w:val="00C121C1"/>
    <w:rsid w:val="00C12B6C"/>
    <w:rsid w:val="00C13089"/>
    <w:rsid w:val="00C1308A"/>
    <w:rsid w:val="00C1595C"/>
    <w:rsid w:val="00C15D66"/>
    <w:rsid w:val="00C16413"/>
    <w:rsid w:val="00C1653F"/>
    <w:rsid w:val="00C1663B"/>
    <w:rsid w:val="00C17028"/>
    <w:rsid w:val="00C17061"/>
    <w:rsid w:val="00C17448"/>
    <w:rsid w:val="00C17798"/>
    <w:rsid w:val="00C17B35"/>
    <w:rsid w:val="00C17B81"/>
    <w:rsid w:val="00C17D38"/>
    <w:rsid w:val="00C17E7B"/>
    <w:rsid w:val="00C2013D"/>
    <w:rsid w:val="00C20611"/>
    <w:rsid w:val="00C20DF1"/>
    <w:rsid w:val="00C21397"/>
    <w:rsid w:val="00C21512"/>
    <w:rsid w:val="00C21CAF"/>
    <w:rsid w:val="00C21CD7"/>
    <w:rsid w:val="00C21F14"/>
    <w:rsid w:val="00C23282"/>
    <w:rsid w:val="00C23565"/>
    <w:rsid w:val="00C236B7"/>
    <w:rsid w:val="00C238BC"/>
    <w:rsid w:val="00C23A4F"/>
    <w:rsid w:val="00C23C8D"/>
    <w:rsid w:val="00C23FE3"/>
    <w:rsid w:val="00C24197"/>
    <w:rsid w:val="00C24BA1"/>
    <w:rsid w:val="00C24E3C"/>
    <w:rsid w:val="00C259C6"/>
    <w:rsid w:val="00C25D4B"/>
    <w:rsid w:val="00C2674F"/>
    <w:rsid w:val="00C27312"/>
    <w:rsid w:val="00C27ABD"/>
    <w:rsid w:val="00C27DC4"/>
    <w:rsid w:val="00C30667"/>
    <w:rsid w:val="00C307D0"/>
    <w:rsid w:val="00C33611"/>
    <w:rsid w:val="00C34CF8"/>
    <w:rsid w:val="00C351E6"/>
    <w:rsid w:val="00C35668"/>
    <w:rsid w:val="00C35685"/>
    <w:rsid w:val="00C357A4"/>
    <w:rsid w:val="00C364D6"/>
    <w:rsid w:val="00C37F28"/>
    <w:rsid w:val="00C407BE"/>
    <w:rsid w:val="00C40974"/>
    <w:rsid w:val="00C40FAF"/>
    <w:rsid w:val="00C41730"/>
    <w:rsid w:val="00C41DF0"/>
    <w:rsid w:val="00C427D2"/>
    <w:rsid w:val="00C4288D"/>
    <w:rsid w:val="00C42EF0"/>
    <w:rsid w:val="00C438CB"/>
    <w:rsid w:val="00C4490E"/>
    <w:rsid w:val="00C45875"/>
    <w:rsid w:val="00C461CB"/>
    <w:rsid w:val="00C4688E"/>
    <w:rsid w:val="00C46CF0"/>
    <w:rsid w:val="00C46DEA"/>
    <w:rsid w:val="00C46FBB"/>
    <w:rsid w:val="00C470FB"/>
    <w:rsid w:val="00C50EC9"/>
    <w:rsid w:val="00C51140"/>
    <w:rsid w:val="00C511E4"/>
    <w:rsid w:val="00C512EB"/>
    <w:rsid w:val="00C51758"/>
    <w:rsid w:val="00C51CF5"/>
    <w:rsid w:val="00C5211C"/>
    <w:rsid w:val="00C52986"/>
    <w:rsid w:val="00C52DBD"/>
    <w:rsid w:val="00C534F4"/>
    <w:rsid w:val="00C53BDF"/>
    <w:rsid w:val="00C53E07"/>
    <w:rsid w:val="00C53E0E"/>
    <w:rsid w:val="00C542C5"/>
    <w:rsid w:val="00C54A3E"/>
    <w:rsid w:val="00C54A83"/>
    <w:rsid w:val="00C54EFD"/>
    <w:rsid w:val="00C54FA1"/>
    <w:rsid w:val="00C5599D"/>
    <w:rsid w:val="00C55C14"/>
    <w:rsid w:val="00C56083"/>
    <w:rsid w:val="00C56253"/>
    <w:rsid w:val="00C568E4"/>
    <w:rsid w:val="00C56919"/>
    <w:rsid w:val="00C573ED"/>
    <w:rsid w:val="00C5741F"/>
    <w:rsid w:val="00C57F5E"/>
    <w:rsid w:val="00C61DC0"/>
    <w:rsid w:val="00C6231A"/>
    <w:rsid w:val="00C630E6"/>
    <w:rsid w:val="00C6314B"/>
    <w:rsid w:val="00C636B8"/>
    <w:rsid w:val="00C63836"/>
    <w:rsid w:val="00C638C6"/>
    <w:rsid w:val="00C63ED5"/>
    <w:rsid w:val="00C64FE1"/>
    <w:rsid w:val="00C658EE"/>
    <w:rsid w:val="00C660F2"/>
    <w:rsid w:val="00C66F61"/>
    <w:rsid w:val="00C67769"/>
    <w:rsid w:val="00C6781F"/>
    <w:rsid w:val="00C71A1E"/>
    <w:rsid w:val="00C7338E"/>
    <w:rsid w:val="00C7356C"/>
    <w:rsid w:val="00C7375B"/>
    <w:rsid w:val="00C73C0E"/>
    <w:rsid w:val="00C750BF"/>
    <w:rsid w:val="00C7595D"/>
    <w:rsid w:val="00C75B9F"/>
    <w:rsid w:val="00C75FE4"/>
    <w:rsid w:val="00C76315"/>
    <w:rsid w:val="00C775C7"/>
    <w:rsid w:val="00C77950"/>
    <w:rsid w:val="00C80765"/>
    <w:rsid w:val="00C80812"/>
    <w:rsid w:val="00C80D30"/>
    <w:rsid w:val="00C81D47"/>
    <w:rsid w:val="00C81D90"/>
    <w:rsid w:val="00C822DD"/>
    <w:rsid w:val="00C8276A"/>
    <w:rsid w:val="00C8284A"/>
    <w:rsid w:val="00C82878"/>
    <w:rsid w:val="00C837AF"/>
    <w:rsid w:val="00C84028"/>
    <w:rsid w:val="00C84274"/>
    <w:rsid w:val="00C8427E"/>
    <w:rsid w:val="00C84775"/>
    <w:rsid w:val="00C854C9"/>
    <w:rsid w:val="00C860DA"/>
    <w:rsid w:val="00C8633B"/>
    <w:rsid w:val="00C863C9"/>
    <w:rsid w:val="00C8694A"/>
    <w:rsid w:val="00C86BA2"/>
    <w:rsid w:val="00C86CE1"/>
    <w:rsid w:val="00C8724A"/>
    <w:rsid w:val="00C8727F"/>
    <w:rsid w:val="00C874DB"/>
    <w:rsid w:val="00C875AD"/>
    <w:rsid w:val="00C876B8"/>
    <w:rsid w:val="00C9055F"/>
    <w:rsid w:val="00C911E4"/>
    <w:rsid w:val="00C92A5B"/>
    <w:rsid w:val="00C92C46"/>
    <w:rsid w:val="00C935BB"/>
    <w:rsid w:val="00C936CF"/>
    <w:rsid w:val="00C93A79"/>
    <w:rsid w:val="00C940E7"/>
    <w:rsid w:val="00C9442F"/>
    <w:rsid w:val="00C94747"/>
    <w:rsid w:val="00C95064"/>
    <w:rsid w:val="00C95E1E"/>
    <w:rsid w:val="00C97040"/>
    <w:rsid w:val="00C975AA"/>
    <w:rsid w:val="00C97933"/>
    <w:rsid w:val="00CA04DF"/>
    <w:rsid w:val="00CA0A35"/>
    <w:rsid w:val="00CA10DF"/>
    <w:rsid w:val="00CA27A6"/>
    <w:rsid w:val="00CA27AD"/>
    <w:rsid w:val="00CA2D1A"/>
    <w:rsid w:val="00CA33BE"/>
    <w:rsid w:val="00CA3C03"/>
    <w:rsid w:val="00CA3FF3"/>
    <w:rsid w:val="00CA42C9"/>
    <w:rsid w:val="00CA43BD"/>
    <w:rsid w:val="00CA452B"/>
    <w:rsid w:val="00CA497F"/>
    <w:rsid w:val="00CA4A75"/>
    <w:rsid w:val="00CA51ED"/>
    <w:rsid w:val="00CA5559"/>
    <w:rsid w:val="00CA5749"/>
    <w:rsid w:val="00CA632C"/>
    <w:rsid w:val="00CA65A3"/>
    <w:rsid w:val="00CA67FB"/>
    <w:rsid w:val="00CA6D90"/>
    <w:rsid w:val="00CA6F90"/>
    <w:rsid w:val="00CA70D7"/>
    <w:rsid w:val="00CA7D5F"/>
    <w:rsid w:val="00CB0316"/>
    <w:rsid w:val="00CB0B5D"/>
    <w:rsid w:val="00CB0C74"/>
    <w:rsid w:val="00CB1120"/>
    <w:rsid w:val="00CB121F"/>
    <w:rsid w:val="00CB126A"/>
    <w:rsid w:val="00CB1294"/>
    <w:rsid w:val="00CB141C"/>
    <w:rsid w:val="00CB1427"/>
    <w:rsid w:val="00CB1704"/>
    <w:rsid w:val="00CB1891"/>
    <w:rsid w:val="00CB2109"/>
    <w:rsid w:val="00CB2276"/>
    <w:rsid w:val="00CB322F"/>
    <w:rsid w:val="00CB34C6"/>
    <w:rsid w:val="00CB3A5D"/>
    <w:rsid w:val="00CB48DC"/>
    <w:rsid w:val="00CB53C5"/>
    <w:rsid w:val="00CB5FB4"/>
    <w:rsid w:val="00CB6321"/>
    <w:rsid w:val="00CB6551"/>
    <w:rsid w:val="00CB7466"/>
    <w:rsid w:val="00CC0AEA"/>
    <w:rsid w:val="00CC0EDC"/>
    <w:rsid w:val="00CC1399"/>
    <w:rsid w:val="00CC14F0"/>
    <w:rsid w:val="00CC1680"/>
    <w:rsid w:val="00CC169E"/>
    <w:rsid w:val="00CC1728"/>
    <w:rsid w:val="00CC1C4B"/>
    <w:rsid w:val="00CC23B4"/>
    <w:rsid w:val="00CC355E"/>
    <w:rsid w:val="00CC39B1"/>
    <w:rsid w:val="00CC4119"/>
    <w:rsid w:val="00CC44F3"/>
    <w:rsid w:val="00CC4646"/>
    <w:rsid w:val="00CC5103"/>
    <w:rsid w:val="00CC51A4"/>
    <w:rsid w:val="00CC541B"/>
    <w:rsid w:val="00CC55D2"/>
    <w:rsid w:val="00CC5F6A"/>
    <w:rsid w:val="00CC66ED"/>
    <w:rsid w:val="00CC67DA"/>
    <w:rsid w:val="00CC69A8"/>
    <w:rsid w:val="00CC6A55"/>
    <w:rsid w:val="00CC6FFA"/>
    <w:rsid w:val="00CC746B"/>
    <w:rsid w:val="00CC7ECA"/>
    <w:rsid w:val="00CD008E"/>
    <w:rsid w:val="00CD18E4"/>
    <w:rsid w:val="00CD19C1"/>
    <w:rsid w:val="00CD2120"/>
    <w:rsid w:val="00CD25C2"/>
    <w:rsid w:val="00CD29E9"/>
    <w:rsid w:val="00CD3CF5"/>
    <w:rsid w:val="00CD3EC9"/>
    <w:rsid w:val="00CD4434"/>
    <w:rsid w:val="00CD4685"/>
    <w:rsid w:val="00CD4877"/>
    <w:rsid w:val="00CD4F03"/>
    <w:rsid w:val="00CD5201"/>
    <w:rsid w:val="00CD572E"/>
    <w:rsid w:val="00CD574B"/>
    <w:rsid w:val="00CD589F"/>
    <w:rsid w:val="00CD58A2"/>
    <w:rsid w:val="00CD5EC3"/>
    <w:rsid w:val="00CD610C"/>
    <w:rsid w:val="00CD6325"/>
    <w:rsid w:val="00CD69CD"/>
    <w:rsid w:val="00CD6BC3"/>
    <w:rsid w:val="00CD6E97"/>
    <w:rsid w:val="00CD7338"/>
    <w:rsid w:val="00CD7D93"/>
    <w:rsid w:val="00CE1174"/>
    <w:rsid w:val="00CE1A4B"/>
    <w:rsid w:val="00CE1F04"/>
    <w:rsid w:val="00CE2870"/>
    <w:rsid w:val="00CE28A6"/>
    <w:rsid w:val="00CE2B66"/>
    <w:rsid w:val="00CE37D0"/>
    <w:rsid w:val="00CE3ACA"/>
    <w:rsid w:val="00CE3CE4"/>
    <w:rsid w:val="00CE41BF"/>
    <w:rsid w:val="00CE424B"/>
    <w:rsid w:val="00CE4A59"/>
    <w:rsid w:val="00CE684F"/>
    <w:rsid w:val="00CE6C90"/>
    <w:rsid w:val="00CE6EA2"/>
    <w:rsid w:val="00CE7571"/>
    <w:rsid w:val="00CE7573"/>
    <w:rsid w:val="00CE7A79"/>
    <w:rsid w:val="00CF00A9"/>
    <w:rsid w:val="00CF01CB"/>
    <w:rsid w:val="00CF027A"/>
    <w:rsid w:val="00CF09B7"/>
    <w:rsid w:val="00CF0AE5"/>
    <w:rsid w:val="00CF0D1A"/>
    <w:rsid w:val="00CF1A21"/>
    <w:rsid w:val="00CF235E"/>
    <w:rsid w:val="00CF2383"/>
    <w:rsid w:val="00CF239F"/>
    <w:rsid w:val="00CF2CAB"/>
    <w:rsid w:val="00CF2D93"/>
    <w:rsid w:val="00CF3A04"/>
    <w:rsid w:val="00CF3CFE"/>
    <w:rsid w:val="00CF419A"/>
    <w:rsid w:val="00CF464C"/>
    <w:rsid w:val="00CF47A9"/>
    <w:rsid w:val="00CF5040"/>
    <w:rsid w:val="00CF6391"/>
    <w:rsid w:val="00CF6CA8"/>
    <w:rsid w:val="00CF7639"/>
    <w:rsid w:val="00D002E8"/>
    <w:rsid w:val="00D00388"/>
    <w:rsid w:val="00D00B22"/>
    <w:rsid w:val="00D01569"/>
    <w:rsid w:val="00D01586"/>
    <w:rsid w:val="00D01960"/>
    <w:rsid w:val="00D01C72"/>
    <w:rsid w:val="00D01FEC"/>
    <w:rsid w:val="00D02230"/>
    <w:rsid w:val="00D0285B"/>
    <w:rsid w:val="00D03924"/>
    <w:rsid w:val="00D04652"/>
    <w:rsid w:val="00D0484C"/>
    <w:rsid w:val="00D04AF4"/>
    <w:rsid w:val="00D05E9D"/>
    <w:rsid w:val="00D061F1"/>
    <w:rsid w:val="00D063B7"/>
    <w:rsid w:val="00D06541"/>
    <w:rsid w:val="00D067D9"/>
    <w:rsid w:val="00D06903"/>
    <w:rsid w:val="00D10674"/>
    <w:rsid w:val="00D10F91"/>
    <w:rsid w:val="00D115BD"/>
    <w:rsid w:val="00D11A25"/>
    <w:rsid w:val="00D11A43"/>
    <w:rsid w:val="00D11BA8"/>
    <w:rsid w:val="00D11DFB"/>
    <w:rsid w:val="00D1250B"/>
    <w:rsid w:val="00D12623"/>
    <w:rsid w:val="00D12961"/>
    <w:rsid w:val="00D12AEF"/>
    <w:rsid w:val="00D131D4"/>
    <w:rsid w:val="00D139BD"/>
    <w:rsid w:val="00D13F70"/>
    <w:rsid w:val="00D1441B"/>
    <w:rsid w:val="00D1457B"/>
    <w:rsid w:val="00D148E1"/>
    <w:rsid w:val="00D155AE"/>
    <w:rsid w:val="00D1566B"/>
    <w:rsid w:val="00D156B8"/>
    <w:rsid w:val="00D15FCE"/>
    <w:rsid w:val="00D168D1"/>
    <w:rsid w:val="00D20346"/>
    <w:rsid w:val="00D22865"/>
    <w:rsid w:val="00D22873"/>
    <w:rsid w:val="00D234DF"/>
    <w:rsid w:val="00D23500"/>
    <w:rsid w:val="00D23CE7"/>
    <w:rsid w:val="00D2437D"/>
    <w:rsid w:val="00D2503E"/>
    <w:rsid w:val="00D25959"/>
    <w:rsid w:val="00D25D3C"/>
    <w:rsid w:val="00D2608F"/>
    <w:rsid w:val="00D26317"/>
    <w:rsid w:val="00D27F54"/>
    <w:rsid w:val="00D30C45"/>
    <w:rsid w:val="00D3111C"/>
    <w:rsid w:val="00D32016"/>
    <w:rsid w:val="00D32100"/>
    <w:rsid w:val="00D335B1"/>
    <w:rsid w:val="00D3363D"/>
    <w:rsid w:val="00D33D67"/>
    <w:rsid w:val="00D3489E"/>
    <w:rsid w:val="00D348E4"/>
    <w:rsid w:val="00D34C7C"/>
    <w:rsid w:val="00D353A4"/>
    <w:rsid w:val="00D356DE"/>
    <w:rsid w:val="00D35D10"/>
    <w:rsid w:val="00D3608B"/>
    <w:rsid w:val="00D36E26"/>
    <w:rsid w:val="00D36E2D"/>
    <w:rsid w:val="00D37B76"/>
    <w:rsid w:val="00D37FCF"/>
    <w:rsid w:val="00D405DA"/>
    <w:rsid w:val="00D40658"/>
    <w:rsid w:val="00D40C20"/>
    <w:rsid w:val="00D41031"/>
    <w:rsid w:val="00D4112E"/>
    <w:rsid w:val="00D41A50"/>
    <w:rsid w:val="00D42B63"/>
    <w:rsid w:val="00D42E2D"/>
    <w:rsid w:val="00D43976"/>
    <w:rsid w:val="00D439DF"/>
    <w:rsid w:val="00D43EC7"/>
    <w:rsid w:val="00D440B0"/>
    <w:rsid w:val="00D4420A"/>
    <w:rsid w:val="00D44249"/>
    <w:rsid w:val="00D4481E"/>
    <w:rsid w:val="00D452BE"/>
    <w:rsid w:val="00D454AB"/>
    <w:rsid w:val="00D4596F"/>
    <w:rsid w:val="00D45F5E"/>
    <w:rsid w:val="00D462E1"/>
    <w:rsid w:val="00D462FA"/>
    <w:rsid w:val="00D469F3"/>
    <w:rsid w:val="00D46A07"/>
    <w:rsid w:val="00D46C0C"/>
    <w:rsid w:val="00D4744B"/>
    <w:rsid w:val="00D47D85"/>
    <w:rsid w:val="00D47DE0"/>
    <w:rsid w:val="00D506FA"/>
    <w:rsid w:val="00D50D6F"/>
    <w:rsid w:val="00D51E1E"/>
    <w:rsid w:val="00D51E39"/>
    <w:rsid w:val="00D52791"/>
    <w:rsid w:val="00D53068"/>
    <w:rsid w:val="00D53981"/>
    <w:rsid w:val="00D53BE3"/>
    <w:rsid w:val="00D53BF2"/>
    <w:rsid w:val="00D53E24"/>
    <w:rsid w:val="00D53E3F"/>
    <w:rsid w:val="00D54643"/>
    <w:rsid w:val="00D54820"/>
    <w:rsid w:val="00D54858"/>
    <w:rsid w:val="00D556DF"/>
    <w:rsid w:val="00D56F35"/>
    <w:rsid w:val="00D57A3D"/>
    <w:rsid w:val="00D60179"/>
    <w:rsid w:val="00D607FC"/>
    <w:rsid w:val="00D60E4B"/>
    <w:rsid w:val="00D60EEA"/>
    <w:rsid w:val="00D60F5F"/>
    <w:rsid w:val="00D6113D"/>
    <w:rsid w:val="00D62CB7"/>
    <w:rsid w:val="00D6347A"/>
    <w:rsid w:val="00D638E1"/>
    <w:rsid w:val="00D657DC"/>
    <w:rsid w:val="00D65F69"/>
    <w:rsid w:val="00D663EB"/>
    <w:rsid w:val="00D66C05"/>
    <w:rsid w:val="00D7027D"/>
    <w:rsid w:val="00D70F26"/>
    <w:rsid w:val="00D710E7"/>
    <w:rsid w:val="00D71E73"/>
    <w:rsid w:val="00D72FCE"/>
    <w:rsid w:val="00D741CE"/>
    <w:rsid w:val="00D74322"/>
    <w:rsid w:val="00D7489E"/>
    <w:rsid w:val="00D76331"/>
    <w:rsid w:val="00D764AE"/>
    <w:rsid w:val="00D766D0"/>
    <w:rsid w:val="00D7680B"/>
    <w:rsid w:val="00D769DD"/>
    <w:rsid w:val="00D776AE"/>
    <w:rsid w:val="00D805E3"/>
    <w:rsid w:val="00D80908"/>
    <w:rsid w:val="00D80D40"/>
    <w:rsid w:val="00D81A6E"/>
    <w:rsid w:val="00D82121"/>
    <w:rsid w:val="00D825D6"/>
    <w:rsid w:val="00D825F5"/>
    <w:rsid w:val="00D82758"/>
    <w:rsid w:val="00D82A26"/>
    <w:rsid w:val="00D82DE4"/>
    <w:rsid w:val="00D835B4"/>
    <w:rsid w:val="00D83775"/>
    <w:rsid w:val="00D84F48"/>
    <w:rsid w:val="00D85D39"/>
    <w:rsid w:val="00D8655A"/>
    <w:rsid w:val="00D867A7"/>
    <w:rsid w:val="00D869AA"/>
    <w:rsid w:val="00D86C73"/>
    <w:rsid w:val="00D86DA4"/>
    <w:rsid w:val="00D872F6"/>
    <w:rsid w:val="00D876C9"/>
    <w:rsid w:val="00D87F80"/>
    <w:rsid w:val="00D9031C"/>
    <w:rsid w:val="00D90361"/>
    <w:rsid w:val="00D914DC"/>
    <w:rsid w:val="00D91C8F"/>
    <w:rsid w:val="00D91F6E"/>
    <w:rsid w:val="00D92465"/>
    <w:rsid w:val="00D92706"/>
    <w:rsid w:val="00D92936"/>
    <w:rsid w:val="00D9318B"/>
    <w:rsid w:val="00D935FC"/>
    <w:rsid w:val="00D94106"/>
    <w:rsid w:val="00D9425A"/>
    <w:rsid w:val="00D9439D"/>
    <w:rsid w:val="00D94455"/>
    <w:rsid w:val="00D94B96"/>
    <w:rsid w:val="00D95E8C"/>
    <w:rsid w:val="00D96503"/>
    <w:rsid w:val="00D96B86"/>
    <w:rsid w:val="00D97F55"/>
    <w:rsid w:val="00DA0C0F"/>
    <w:rsid w:val="00DA10C9"/>
    <w:rsid w:val="00DA1221"/>
    <w:rsid w:val="00DA16C2"/>
    <w:rsid w:val="00DA1980"/>
    <w:rsid w:val="00DA1C57"/>
    <w:rsid w:val="00DA1F66"/>
    <w:rsid w:val="00DA2078"/>
    <w:rsid w:val="00DA215B"/>
    <w:rsid w:val="00DA22D0"/>
    <w:rsid w:val="00DA22F0"/>
    <w:rsid w:val="00DA24D5"/>
    <w:rsid w:val="00DA2801"/>
    <w:rsid w:val="00DA326A"/>
    <w:rsid w:val="00DA48C4"/>
    <w:rsid w:val="00DA5AA4"/>
    <w:rsid w:val="00DA6E12"/>
    <w:rsid w:val="00DA6E38"/>
    <w:rsid w:val="00DA74E8"/>
    <w:rsid w:val="00DA7F5C"/>
    <w:rsid w:val="00DB0C57"/>
    <w:rsid w:val="00DB0FD9"/>
    <w:rsid w:val="00DB1922"/>
    <w:rsid w:val="00DB1B97"/>
    <w:rsid w:val="00DB29E9"/>
    <w:rsid w:val="00DB2CFD"/>
    <w:rsid w:val="00DB359D"/>
    <w:rsid w:val="00DB39A7"/>
    <w:rsid w:val="00DB3DF9"/>
    <w:rsid w:val="00DB4130"/>
    <w:rsid w:val="00DB42B6"/>
    <w:rsid w:val="00DB4BB9"/>
    <w:rsid w:val="00DB5606"/>
    <w:rsid w:val="00DB675C"/>
    <w:rsid w:val="00DB696E"/>
    <w:rsid w:val="00DB73CA"/>
    <w:rsid w:val="00DB7997"/>
    <w:rsid w:val="00DB7C77"/>
    <w:rsid w:val="00DB7D50"/>
    <w:rsid w:val="00DC056F"/>
    <w:rsid w:val="00DC0660"/>
    <w:rsid w:val="00DC0ECD"/>
    <w:rsid w:val="00DC1897"/>
    <w:rsid w:val="00DC1F03"/>
    <w:rsid w:val="00DC23F0"/>
    <w:rsid w:val="00DC25AA"/>
    <w:rsid w:val="00DC25F4"/>
    <w:rsid w:val="00DC2CC6"/>
    <w:rsid w:val="00DC2F0C"/>
    <w:rsid w:val="00DC39F6"/>
    <w:rsid w:val="00DC3C4A"/>
    <w:rsid w:val="00DC4606"/>
    <w:rsid w:val="00DC4ED4"/>
    <w:rsid w:val="00DC4FDA"/>
    <w:rsid w:val="00DC5D71"/>
    <w:rsid w:val="00DC69F5"/>
    <w:rsid w:val="00DC69F8"/>
    <w:rsid w:val="00DC6B4D"/>
    <w:rsid w:val="00DC6BFF"/>
    <w:rsid w:val="00DC746E"/>
    <w:rsid w:val="00DC783C"/>
    <w:rsid w:val="00DC7957"/>
    <w:rsid w:val="00DC7AE1"/>
    <w:rsid w:val="00DD0768"/>
    <w:rsid w:val="00DD1443"/>
    <w:rsid w:val="00DD1791"/>
    <w:rsid w:val="00DD1C6E"/>
    <w:rsid w:val="00DD2294"/>
    <w:rsid w:val="00DD24C7"/>
    <w:rsid w:val="00DD2B9B"/>
    <w:rsid w:val="00DD2C78"/>
    <w:rsid w:val="00DD2C83"/>
    <w:rsid w:val="00DD2E00"/>
    <w:rsid w:val="00DD36DE"/>
    <w:rsid w:val="00DD4649"/>
    <w:rsid w:val="00DD50A1"/>
    <w:rsid w:val="00DD6364"/>
    <w:rsid w:val="00DD6AB3"/>
    <w:rsid w:val="00DD6CCB"/>
    <w:rsid w:val="00DD737D"/>
    <w:rsid w:val="00DD773A"/>
    <w:rsid w:val="00DE0056"/>
    <w:rsid w:val="00DE0237"/>
    <w:rsid w:val="00DE137E"/>
    <w:rsid w:val="00DE19C7"/>
    <w:rsid w:val="00DE1A1E"/>
    <w:rsid w:val="00DE23A1"/>
    <w:rsid w:val="00DE2639"/>
    <w:rsid w:val="00DE2BBD"/>
    <w:rsid w:val="00DE32C0"/>
    <w:rsid w:val="00DE350C"/>
    <w:rsid w:val="00DE3AFB"/>
    <w:rsid w:val="00DE42F4"/>
    <w:rsid w:val="00DE5060"/>
    <w:rsid w:val="00DE5068"/>
    <w:rsid w:val="00DE51F2"/>
    <w:rsid w:val="00DE576C"/>
    <w:rsid w:val="00DE6B9E"/>
    <w:rsid w:val="00DE6C84"/>
    <w:rsid w:val="00DE7263"/>
    <w:rsid w:val="00DE7D22"/>
    <w:rsid w:val="00DE7DAA"/>
    <w:rsid w:val="00DEDC22"/>
    <w:rsid w:val="00DF021C"/>
    <w:rsid w:val="00DF077D"/>
    <w:rsid w:val="00DF083A"/>
    <w:rsid w:val="00DF09B9"/>
    <w:rsid w:val="00DF1060"/>
    <w:rsid w:val="00DF191B"/>
    <w:rsid w:val="00DF220C"/>
    <w:rsid w:val="00DF3F52"/>
    <w:rsid w:val="00DF4574"/>
    <w:rsid w:val="00DF4BA7"/>
    <w:rsid w:val="00DF4DAD"/>
    <w:rsid w:val="00DF610F"/>
    <w:rsid w:val="00DF6AB0"/>
    <w:rsid w:val="00DF7A5C"/>
    <w:rsid w:val="00DF7B81"/>
    <w:rsid w:val="00E002FF"/>
    <w:rsid w:val="00E00957"/>
    <w:rsid w:val="00E00B10"/>
    <w:rsid w:val="00E00D37"/>
    <w:rsid w:val="00E00E32"/>
    <w:rsid w:val="00E00F0F"/>
    <w:rsid w:val="00E00FD6"/>
    <w:rsid w:val="00E0148D"/>
    <w:rsid w:val="00E01B94"/>
    <w:rsid w:val="00E01CBA"/>
    <w:rsid w:val="00E02A86"/>
    <w:rsid w:val="00E02EA5"/>
    <w:rsid w:val="00E03E6A"/>
    <w:rsid w:val="00E05803"/>
    <w:rsid w:val="00E05A81"/>
    <w:rsid w:val="00E05B62"/>
    <w:rsid w:val="00E06093"/>
    <w:rsid w:val="00E07A4C"/>
    <w:rsid w:val="00E07BED"/>
    <w:rsid w:val="00E10AB4"/>
    <w:rsid w:val="00E11309"/>
    <w:rsid w:val="00E116ED"/>
    <w:rsid w:val="00E11BFF"/>
    <w:rsid w:val="00E1256F"/>
    <w:rsid w:val="00E12F2F"/>
    <w:rsid w:val="00E13EE0"/>
    <w:rsid w:val="00E140FE"/>
    <w:rsid w:val="00E142FB"/>
    <w:rsid w:val="00E148B5"/>
    <w:rsid w:val="00E151E2"/>
    <w:rsid w:val="00E151E7"/>
    <w:rsid w:val="00E152DF"/>
    <w:rsid w:val="00E15803"/>
    <w:rsid w:val="00E15EEE"/>
    <w:rsid w:val="00E15F50"/>
    <w:rsid w:val="00E160E8"/>
    <w:rsid w:val="00E1647B"/>
    <w:rsid w:val="00E16537"/>
    <w:rsid w:val="00E16B14"/>
    <w:rsid w:val="00E1736D"/>
    <w:rsid w:val="00E17AF4"/>
    <w:rsid w:val="00E200FE"/>
    <w:rsid w:val="00E20245"/>
    <w:rsid w:val="00E2194C"/>
    <w:rsid w:val="00E2275C"/>
    <w:rsid w:val="00E23240"/>
    <w:rsid w:val="00E235FC"/>
    <w:rsid w:val="00E23DFD"/>
    <w:rsid w:val="00E2409E"/>
    <w:rsid w:val="00E241A2"/>
    <w:rsid w:val="00E2427B"/>
    <w:rsid w:val="00E244E9"/>
    <w:rsid w:val="00E2499B"/>
    <w:rsid w:val="00E24FED"/>
    <w:rsid w:val="00E251A6"/>
    <w:rsid w:val="00E25ADD"/>
    <w:rsid w:val="00E26BD1"/>
    <w:rsid w:val="00E2717C"/>
    <w:rsid w:val="00E271A5"/>
    <w:rsid w:val="00E27B84"/>
    <w:rsid w:val="00E27D63"/>
    <w:rsid w:val="00E27FB9"/>
    <w:rsid w:val="00E30C64"/>
    <w:rsid w:val="00E32268"/>
    <w:rsid w:val="00E3264D"/>
    <w:rsid w:val="00E32A4A"/>
    <w:rsid w:val="00E330C3"/>
    <w:rsid w:val="00E33393"/>
    <w:rsid w:val="00E33878"/>
    <w:rsid w:val="00E33B27"/>
    <w:rsid w:val="00E33C67"/>
    <w:rsid w:val="00E33F03"/>
    <w:rsid w:val="00E348D4"/>
    <w:rsid w:val="00E350D2"/>
    <w:rsid w:val="00E36547"/>
    <w:rsid w:val="00E37591"/>
    <w:rsid w:val="00E377E6"/>
    <w:rsid w:val="00E37970"/>
    <w:rsid w:val="00E37E11"/>
    <w:rsid w:val="00E40E08"/>
    <w:rsid w:val="00E41452"/>
    <w:rsid w:val="00E41742"/>
    <w:rsid w:val="00E41A02"/>
    <w:rsid w:val="00E424F1"/>
    <w:rsid w:val="00E426EA"/>
    <w:rsid w:val="00E42D7D"/>
    <w:rsid w:val="00E43531"/>
    <w:rsid w:val="00E43BF1"/>
    <w:rsid w:val="00E44227"/>
    <w:rsid w:val="00E444B0"/>
    <w:rsid w:val="00E456FF"/>
    <w:rsid w:val="00E45781"/>
    <w:rsid w:val="00E468D3"/>
    <w:rsid w:val="00E46D84"/>
    <w:rsid w:val="00E46F80"/>
    <w:rsid w:val="00E476AE"/>
    <w:rsid w:val="00E477DD"/>
    <w:rsid w:val="00E47C58"/>
    <w:rsid w:val="00E47F32"/>
    <w:rsid w:val="00E50B75"/>
    <w:rsid w:val="00E51DC2"/>
    <w:rsid w:val="00E5211C"/>
    <w:rsid w:val="00E5348C"/>
    <w:rsid w:val="00E535F0"/>
    <w:rsid w:val="00E5394F"/>
    <w:rsid w:val="00E53BA9"/>
    <w:rsid w:val="00E53DB2"/>
    <w:rsid w:val="00E5589B"/>
    <w:rsid w:val="00E55E70"/>
    <w:rsid w:val="00E5660F"/>
    <w:rsid w:val="00E570EA"/>
    <w:rsid w:val="00E5742F"/>
    <w:rsid w:val="00E5765E"/>
    <w:rsid w:val="00E57B4C"/>
    <w:rsid w:val="00E57DC7"/>
    <w:rsid w:val="00E60461"/>
    <w:rsid w:val="00E605AB"/>
    <w:rsid w:val="00E61153"/>
    <w:rsid w:val="00E62086"/>
    <w:rsid w:val="00E62EA9"/>
    <w:rsid w:val="00E63B17"/>
    <w:rsid w:val="00E63FD3"/>
    <w:rsid w:val="00E6402C"/>
    <w:rsid w:val="00E6472C"/>
    <w:rsid w:val="00E64C35"/>
    <w:rsid w:val="00E65105"/>
    <w:rsid w:val="00E65E1B"/>
    <w:rsid w:val="00E67064"/>
    <w:rsid w:val="00E67594"/>
    <w:rsid w:val="00E70537"/>
    <w:rsid w:val="00E70DAC"/>
    <w:rsid w:val="00E71056"/>
    <w:rsid w:val="00E7215C"/>
    <w:rsid w:val="00E7241E"/>
    <w:rsid w:val="00E72B17"/>
    <w:rsid w:val="00E72BD7"/>
    <w:rsid w:val="00E73E64"/>
    <w:rsid w:val="00E747B2"/>
    <w:rsid w:val="00E7505F"/>
    <w:rsid w:val="00E75B6B"/>
    <w:rsid w:val="00E75C81"/>
    <w:rsid w:val="00E75EF5"/>
    <w:rsid w:val="00E75F29"/>
    <w:rsid w:val="00E75F87"/>
    <w:rsid w:val="00E76D7B"/>
    <w:rsid w:val="00E76ED2"/>
    <w:rsid w:val="00E77306"/>
    <w:rsid w:val="00E77701"/>
    <w:rsid w:val="00E77CE1"/>
    <w:rsid w:val="00E77F57"/>
    <w:rsid w:val="00E80357"/>
    <w:rsid w:val="00E810AD"/>
    <w:rsid w:val="00E81C1B"/>
    <w:rsid w:val="00E821BD"/>
    <w:rsid w:val="00E8251F"/>
    <w:rsid w:val="00E82FCA"/>
    <w:rsid w:val="00E8306F"/>
    <w:rsid w:val="00E833C4"/>
    <w:rsid w:val="00E837E6"/>
    <w:rsid w:val="00E83A45"/>
    <w:rsid w:val="00E83CF1"/>
    <w:rsid w:val="00E83CF7"/>
    <w:rsid w:val="00E8436F"/>
    <w:rsid w:val="00E8511B"/>
    <w:rsid w:val="00E8551F"/>
    <w:rsid w:val="00E85AE9"/>
    <w:rsid w:val="00E85D9D"/>
    <w:rsid w:val="00E8647F"/>
    <w:rsid w:val="00E8659F"/>
    <w:rsid w:val="00E86ADB"/>
    <w:rsid w:val="00E8743D"/>
    <w:rsid w:val="00E87495"/>
    <w:rsid w:val="00E87C5D"/>
    <w:rsid w:val="00E87CEA"/>
    <w:rsid w:val="00E90411"/>
    <w:rsid w:val="00E90546"/>
    <w:rsid w:val="00E90E5F"/>
    <w:rsid w:val="00E90EE6"/>
    <w:rsid w:val="00E91F02"/>
    <w:rsid w:val="00E92533"/>
    <w:rsid w:val="00E9253F"/>
    <w:rsid w:val="00E9294D"/>
    <w:rsid w:val="00E93FE0"/>
    <w:rsid w:val="00E944C0"/>
    <w:rsid w:val="00E9490A"/>
    <w:rsid w:val="00E94EF5"/>
    <w:rsid w:val="00E954DC"/>
    <w:rsid w:val="00E9557B"/>
    <w:rsid w:val="00E95A58"/>
    <w:rsid w:val="00E95FD1"/>
    <w:rsid w:val="00E964C0"/>
    <w:rsid w:val="00E96F9D"/>
    <w:rsid w:val="00E976C3"/>
    <w:rsid w:val="00E9770C"/>
    <w:rsid w:val="00E97AA6"/>
    <w:rsid w:val="00EA00E2"/>
    <w:rsid w:val="00EA0470"/>
    <w:rsid w:val="00EA1643"/>
    <w:rsid w:val="00EA1C7E"/>
    <w:rsid w:val="00EA1D35"/>
    <w:rsid w:val="00EA226F"/>
    <w:rsid w:val="00EA2623"/>
    <w:rsid w:val="00EA2708"/>
    <w:rsid w:val="00EA2734"/>
    <w:rsid w:val="00EA2EEF"/>
    <w:rsid w:val="00EA32E1"/>
    <w:rsid w:val="00EA4214"/>
    <w:rsid w:val="00EA4460"/>
    <w:rsid w:val="00EA468B"/>
    <w:rsid w:val="00EA4C96"/>
    <w:rsid w:val="00EA5001"/>
    <w:rsid w:val="00EA53EB"/>
    <w:rsid w:val="00EA544E"/>
    <w:rsid w:val="00EA5494"/>
    <w:rsid w:val="00EA61F2"/>
    <w:rsid w:val="00EA652A"/>
    <w:rsid w:val="00EA6ED4"/>
    <w:rsid w:val="00EA716F"/>
    <w:rsid w:val="00EB01AB"/>
    <w:rsid w:val="00EB020C"/>
    <w:rsid w:val="00EB0790"/>
    <w:rsid w:val="00EB09B5"/>
    <w:rsid w:val="00EB14AF"/>
    <w:rsid w:val="00EB2BBC"/>
    <w:rsid w:val="00EB2E2C"/>
    <w:rsid w:val="00EB36E7"/>
    <w:rsid w:val="00EB41B2"/>
    <w:rsid w:val="00EB497C"/>
    <w:rsid w:val="00EB4CC0"/>
    <w:rsid w:val="00EB4D33"/>
    <w:rsid w:val="00EB5305"/>
    <w:rsid w:val="00EB547C"/>
    <w:rsid w:val="00EB572C"/>
    <w:rsid w:val="00EB5A1E"/>
    <w:rsid w:val="00EB5A2C"/>
    <w:rsid w:val="00EB5B9E"/>
    <w:rsid w:val="00EB6931"/>
    <w:rsid w:val="00EB76A7"/>
    <w:rsid w:val="00EB786F"/>
    <w:rsid w:val="00EB7D65"/>
    <w:rsid w:val="00EC0A28"/>
    <w:rsid w:val="00EC15D0"/>
    <w:rsid w:val="00EC1A6A"/>
    <w:rsid w:val="00EC1D0E"/>
    <w:rsid w:val="00EC26C1"/>
    <w:rsid w:val="00EC2818"/>
    <w:rsid w:val="00EC2A1F"/>
    <w:rsid w:val="00EC2B00"/>
    <w:rsid w:val="00EC2C4A"/>
    <w:rsid w:val="00EC3144"/>
    <w:rsid w:val="00EC38C5"/>
    <w:rsid w:val="00EC3E8B"/>
    <w:rsid w:val="00EC49FA"/>
    <w:rsid w:val="00EC5120"/>
    <w:rsid w:val="00EC57D5"/>
    <w:rsid w:val="00EC587D"/>
    <w:rsid w:val="00EC5B81"/>
    <w:rsid w:val="00EC5D9D"/>
    <w:rsid w:val="00EC7CE5"/>
    <w:rsid w:val="00ED092D"/>
    <w:rsid w:val="00ED1505"/>
    <w:rsid w:val="00ED2669"/>
    <w:rsid w:val="00ED2854"/>
    <w:rsid w:val="00ED290B"/>
    <w:rsid w:val="00ED3323"/>
    <w:rsid w:val="00ED3BB4"/>
    <w:rsid w:val="00ED3E3A"/>
    <w:rsid w:val="00ED4917"/>
    <w:rsid w:val="00ED4D07"/>
    <w:rsid w:val="00ED510D"/>
    <w:rsid w:val="00ED5F77"/>
    <w:rsid w:val="00ED6122"/>
    <w:rsid w:val="00ED6289"/>
    <w:rsid w:val="00ED6932"/>
    <w:rsid w:val="00ED6B5F"/>
    <w:rsid w:val="00ED6F43"/>
    <w:rsid w:val="00EE015B"/>
    <w:rsid w:val="00EE0B27"/>
    <w:rsid w:val="00EE1826"/>
    <w:rsid w:val="00EE1F27"/>
    <w:rsid w:val="00EE238B"/>
    <w:rsid w:val="00EE25BC"/>
    <w:rsid w:val="00EE28BD"/>
    <w:rsid w:val="00EE34E6"/>
    <w:rsid w:val="00EE36DC"/>
    <w:rsid w:val="00EE38C0"/>
    <w:rsid w:val="00EE3E44"/>
    <w:rsid w:val="00EE52A8"/>
    <w:rsid w:val="00EE5347"/>
    <w:rsid w:val="00EE5431"/>
    <w:rsid w:val="00EE5C5E"/>
    <w:rsid w:val="00EE64BE"/>
    <w:rsid w:val="00EE684D"/>
    <w:rsid w:val="00EE69BA"/>
    <w:rsid w:val="00EE6CD4"/>
    <w:rsid w:val="00EE729F"/>
    <w:rsid w:val="00EE7503"/>
    <w:rsid w:val="00EE7A7C"/>
    <w:rsid w:val="00EF046A"/>
    <w:rsid w:val="00EF0E6C"/>
    <w:rsid w:val="00EF2372"/>
    <w:rsid w:val="00EF278F"/>
    <w:rsid w:val="00EF3172"/>
    <w:rsid w:val="00EF3434"/>
    <w:rsid w:val="00EF385C"/>
    <w:rsid w:val="00EF468C"/>
    <w:rsid w:val="00EF482B"/>
    <w:rsid w:val="00EF4F83"/>
    <w:rsid w:val="00EF6209"/>
    <w:rsid w:val="00F00B2F"/>
    <w:rsid w:val="00F00D5E"/>
    <w:rsid w:val="00F0128E"/>
    <w:rsid w:val="00F0170F"/>
    <w:rsid w:val="00F01A08"/>
    <w:rsid w:val="00F01EF4"/>
    <w:rsid w:val="00F0289B"/>
    <w:rsid w:val="00F02979"/>
    <w:rsid w:val="00F03391"/>
    <w:rsid w:val="00F033CF"/>
    <w:rsid w:val="00F033D2"/>
    <w:rsid w:val="00F0416E"/>
    <w:rsid w:val="00F0457B"/>
    <w:rsid w:val="00F05C10"/>
    <w:rsid w:val="00F0615D"/>
    <w:rsid w:val="00F062D7"/>
    <w:rsid w:val="00F06869"/>
    <w:rsid w:val="00F069C7"/>
    <w:rsid w:val="00F06A79"/>
    <w:rsid w:val="00F07127"/>
    <w:rsid w:val="00F077E7"/>
    <w:rsid w:val="00F078DA"/>
    <w:rsid w:val="00F079C4"/>
    <w:rsid w:val="00F1115C"/>
    <w:rsid w:val="00F115F7"/>
    <w:rsid w:val="00F12832"/>
    <w:rsid w:val="00F129FA"/>
    <w:rsid w:val="00F12EA5"/>
    <w:rsid w:val="00F1322B"/>
    <w:rsid w:val="00F1329F"/>
    <w:rsid w:val="00F134EB"/>
    <w:rsid w:val="00F135D0"/>
    <w:rsid w:val="00F1377B"/>
    <w:rsid w:val="00F14373"/>
    <w:rsid w:val="00F145FE"/>
    <w:rsid w:val="00F14B9A"/>
    <w:rsid w:val="00F15C24"/>
    <w:rsid w:val="00F15EB6"/>
    <w:rsid w:val="00F164C5"/>
    <w:rsid w:val="00F174D0"/>
    <w:rsid w:val="00F1756F"/>
    <w:rsid w:val="00F178FC"/>
    <w:rsid w:val="00F20B9D"/>
    <w:rsid w:val="00F214B0"/>
    <w:rsid w:val="00F239AE"/>
    <w:rsid w:val="00F24AE1"/>
    <w:rsid w:val="00F2597D"/>
    <w:rsid w:val="00F25CCC"/>
    <w:rsid w:val="00F26EFD"/>
    <w:rsid w:val="00F2706A"/>
    <w:rsid w:val="00F27743"/>
    <w:rsid w:val="00F30198"/>
    <w:rsid w:val="00F3049B"/>
    <w:rsid w:val="00F3081C"/>
    <w:rsid w:val="00F308BE"/>
    <w:rsid w:val="00F30D3B"/>
    <w:rsid w:val="00F31157"/>
    <w:rsid w:val="00F31785"/>
    <w:rsid w:val="00F31C2B"/>
    <w:rsid w:val="00F3269B"/>
    <w:rsid w:val="00F32F3D"/>
    <w:rsid w:val="00F33349"/>
    <w:rsid w:val="00F33A36"/>
    <w:rsid w:val="00F34654"/>
    <w:rsid w:val="00F346FA"/>
    <w:rsid w:val="00F34FF2"/>
    <w:rsid w:val="00F350EB"/>
    <w:rsid w:val="00F355DD"/>
    <w:rsid w:val="00F35994"/>
    <w:rsid w:val="00F35ADC"/>
    <w:rsid w:val="00F35B93"/>
    <w:rsid w:val="00F364F8"/>
    <w:rsid w:val="00F3665E"/>
    <w:rsid w:val="00F36A3D"/>
    <w:rsid w:val="00F375D0"/>
    <w:rsid w:val="00F3773E"/>
    <w:rsid w:val="00F37AB3"/>
    <w:rsid w:val="00F37D7C"/>
    <w:rsid w:val="00F41D11"/>
    <w:rsid w:val="00F41E50"/>
    <w:rsid w:val="00F42016"/>
    <w:rsid w:val="00F42CB9"/>
    <w:rsid w:val="00F42E62"/>
    <w:rsid w:val="00F431AE"/>
    <w:rsid w:val="00F4325C"/>
    <w:rsid w:val="00F43863"/>
    <w:rsid w:val="00F43D01"/>
    <w:rsid w:val="00F446CD"/>
    <w:rsid w:val="00F44863"/>
    <w:rsid w:val="00F4526E"/>
    <w:rsid w:val="00F46029"/>
    <w:rsid w:val="00F50359"/>
    <w:rsid w:val="00F5049C"/>
    <w:rsid w:val="00F50591"/>
    <w:rsid w:val="00F510CC"/>
    <w:rsid w:val="00F5118D"/>
    <w:rsid w:val="00F52A1A"/>
    <w:rsid w:val="00F52D2B"/>
    <w:rsid w:val="00F52D88"/>
    <w:rsid w:val="00F5342B"/>
    <w:rsid w:val="00F53BFD"/>
    <w:rsid w:val="00F54056"/>
    <w:rsid w:val="00F552D2"/>
    <w:rsid w:val="00F55C05"/>
    <w:rsid w:val="00F56DDE"/>
    <w:rsid w:val="00F57B09"/>
    <w:rsid w:val="00F6169C"/>
    <w:rsid w:val="00F61A64"/>
    <w:rsid w:val="00F623B2"/>
    <w:rsid w:val="00F628E7"/>
    <w:rsid w:val="00F62CA5"/>
    <w:rsid w:val="00F62CFB"/>
    <w:rsid w:val="00F62E48"/>
    <w:rsid w:val="00F646DF"/>
    <w:rsid w:val="00F64D26"/>
    <w:rsid w:val="00F64E3F"/>
    <w:rsid w:val="00F64E5F"/>
    <w:rsid w:val="00F659F8"/>
    <w:rsid w:val="00F65B55"/>
    <w:rsid w:val="00F65E33"/>
    <w:rsid w:val="00F65E70"/>
    <w:rsid w:val="00F66F09"/>
    <w:rsid w:val="00F67D83"/>
    <w:rsid w:val="00F67F62"/>
    <w:rsid w:val="00F7022F"/>
    <w:rsid w:val="00F708ED"/>
    <w:rsid w:val="00F71587"/>
    <w:rsid w:val="00F7159A"/>
    <w:rsid w:val="00F71F34"/>
    <w:rsid w:val="00F72394"/>
    <w:rsid w:val="00F72F5B"/>
    <w:rsid w:val="00F734D7"/>
    <w:rsid w:val="00F73AB8"/>
    <w:rsid w:val="00F73D06"/>
    <w:rsid w:val="00F74474"/>
    <w:rsid w:val="00F74479"/>
    <w:rsid w:val="00F747EC"/>
    <w:rsid w:val="00F750DE"/>
    <w:rsid w:val="00F756B4"/>
    <w:rsid w:val="00F75C72"/>
    <w:rsid w:val="00F76792"/>
    <w:rsid w:val="00F76D04"/>
    <w:rsid w:val="00F80154"/>
    <w:rsid w:val="00F802D1"/>
    <w:rsid w:val="00F809A5"/>
    <w:rsid w:val="00F80C97"/>
    <w:rsid w:val="00F80EAC"/>
    <w:rsid w:val="00F8110D"/>
    <w:rsid w:val="00F811A2"/>
    <w:rsid w:val="00F818BC"/>
    <w:rsid w:val="00F819D7"/>
    <w:rsid w:val="00F81A61"/>
    <w:rsid w:val="00F822FD"/>
    <w:rsid w:val="00F82CAE"/>
    <w:rsid w:val="00F839BE"/>
    <w:rsid w:val="00F83EF4"/>
    <w:rsid w:val="00F847DF"/>
    <w:rsid w:val="00F86368"/>
    <w:rsid w:val="00F8654B"/>
    <w:rsid w:val="00F86C1E"/>
    <w:rsid w:val="00F86DDA"/>
    <w:rsid w:val="00F902A0"/>
    <w:rsid w:val="00F9075E"/>
    <w:rsid w:val="00F91259"/>
    <w:rsid w:val="00F9225E"/>
    <w:rsid w:val="00F92326"/>
    <w:rsid w:val="00F9238D"/>
    <w:rsid w:val="00F9254F"/>
    <w:rsid w:val="00F92946"/>
    <w:rsid w:val="00F92DDB"/>
    <w:rsid w:val="00F93101"/>
    <w:rsid w:val="00F93DB5"/>
    <w:rsid w:val="00F94311"/>
    <w:rsid w:val="00F94E77"/>
    <w:rsid w:val="00F95A86"/>
    <w:rsid w:val="00F95B65"/>
    <w:rsid w:val="00F95BCE"/>
    <w:rsid w:val="00F97378"/>
    <w:rsid w:val="00F97603"/>
    <w:rsid w:val="00F976CE"/>
    <w:rsid w:val="00F97CF6"/>
    <w:rsid w:val="00F97D27"/>
    <w:rsid w:val="00F97FF1"/>
    <w:rsid w:val="00FA0713"/>
    <w:rsid w:val="00FA0ABE"/>
    <w:rsid w:val="00FA1693"/>
    <w:rsid w:val="00FA2090"/>
    <w:rsid w:val="00FA215F"/>
    <w:rsid w:val="00FA294E"/>
    <w:rsid w:val="00FA3408"/>
    <w:rsid w:val="00FA3B05"/>
    <w:rsid w:val="00FA3FE0"/>
    <w:rsid w:val="00FA409C"/>
    <w:rsid w:val="00FA412E"/>
    <w:rsid w:val="00FA44A7"/>
    <w:rsid w:val="00FA554A"/>
    <w:rsid w:val="00FA5995"/>
    <w:rsid w:val="00FA641D"/>
    <w:rsid w:val="00FA6AA5"/>
    <w:rsid w:val="00FA76C9"/>
    <w:rsid w:val="00FA78E9"/>
    <w:rsid w:val="00FA7952"/>
    <w:rsid w:val="00FA7DD2"/>
    <w:rsid w:val="00FB0F7F"/>
    <w:rsid w:val="00FB11F3"/>
    <w:rsid w:val="00FB1660"/>
    <w:rsid w:val="00FB2246"/>
    <w:rsid w:val="00FB2BD7"/>
    <w:rsid w:val="00FB2F64"/>
    <w:rsid w:val="00FB34F6"/>
    <w:rsid w:val="00FB3A93"/>
    <w:rsid w:val="00FB3BA7"/>
    <w:rsid w:val="00FB4430"/>
    <w:rsid w:val="00FB4498"/>
    <w:rsid w:val="00FB4F4A"/>
    <w:rsid w:val="00FB680F"/>
    <w:rsid w:val="00FB6AEB"/>
    <w:rsid w:val="00FB6DE7"/>
    <w:rsid w:val="00FB7130"/>
    <w:rsid w:val="00FB7458"/>
    <w:rsid w:val="00FB75D0"/>
    <w:rsid w:val="00FB771A"/>
    <w:rsid w:val="00FC0040"/>
    <w:rsid w:val="00FC15DD"/>
    <w:rsid w:val="00FC2345"/>
    <w:rsid w:val="00FC2765"/>
    <w:rsid w:val="00FC308E"/>
    <w:rsid w:val="00FC3FF9"/>
    <w:rsid w:val="00FC46ED"/>
    <w:rsid w:val="00FC5CB1"/>
    <w:rsid w:val="00FC65AC"/>
    <w:rsid w:val="00FC6B53"/>
    <w:rsid w:val="00FC7B8D"/>
    <w:rsid w:val="00FC7F9E"/>
    <w:rsid w:val="00FD08B0"/>
    <w:rsid w:val="00FD0E28"/>
    <w:rsid w:val="00FD1E2C"/>
    <w:rsid w:val="00FD1F71"/>
    <w:rsid w:val="00FD22C6"/>
    <w:rsid w:val="00FD29B6"/>
    <w:rsid w:val="00FD2A86"/>
    <w:rsid w:val="00FD2AFF"/>
    <w:rsid w:val="00FD2D2B"/>
    <w:rsid w:val="00FD2F11"/>
    <w:rsid w:val="00FD3249"/>
    <w:rsid w:val="00FD3F19"/>
    <w:rsid w:val="00FD4B35"/>
    <w:rsid w:val="00FD4DD4"/>
    <w:rsid w:val="00FD5097"/>
    <w:rsid w:val="00FD6EEA"/>
    <w:rsid w:val="00FD7585"/>
    <w:rsid w:val="00FD7835"/>
    <w:rsid w:val="00FE011A"/>
    <w:rsid w:val="00FE05CD"/>
    <w:rsid w:val="00FE0BED"/>
    <w:rsid w:val="00FE12C1"/>
    <w:rsid w:val="00FE1E92"/>
    <w:rsid w:val="00FE328F"/>
    <w:rsid w:val="00FE46A9"/>
    <w:rsid w:val="00FE5380"/>
    <w:rsid w:val="00FE5564"/>
    <w:rsid w:val="00FE577D"/>
    <w:rsid w:val="00FE5B8D"/>
    <w:rsid w:val="00FE6541"/>
    <w:rsid w:val="00FE666D"/>
    <w:rsid w:val="00FE73F5"/>
    <w:rsid w:val="00FF1620"/>
    <w:rsid w:val="00FF1637"/>
    <w:rsid w:val="00FF183E"/>
    <w:rsid w:val="00FF1E19"/>
    <w:rsid w:val="00FF238F"/>
    <w:rsid w:val="00FF2E29"/>
    <w:rsid w:val="00FF3405"/>
    <w:rsid w:val="00FF3E96"/>
    <w:rsid w:val="00FF51A9"/>
    <w:rsid w:val="00FF579F"/>
    <w:rsid w:val="00FF5BF4"/>
    <w:rsid w:val="00FF5D55"/>
    <w:rsid w:val="00FF63F7"/>
    <w:rsid w:val="00FF7E88"/>
    <w:rsid w:val="0115BD4F"/>
    <w:rsid w:val="0135FA69"/>
    <w:rsid w:val="0157E487"/>
    <w:rsid w:val="0166B22F"/>
    <w:rsid w:val="01A685D7"/>
    <w:rsid w:val="01B5B840"/>
    <w:rsid w:val="01D7F73E"/>
    <w:rsid w:val="01E76A31"/>
    <w:rsid w:val="01EE791B"/>
    <w:rsid w:val="024CEBC9"/>
    <w:rsid w:val="026B16EC"/>
    <w:rsid w:val="027A9338"/>
    <w:rsid w:val="02C8DAF2"/>
    <w:rsid w:val="02CD2116"/>
    <w:rsid w:val="02D734B1"/>
    <w:rsid w:val="02DFC9AB"/>
    <w:rsid w:val="02E137C8"/>
    <w:rsid w:val="03265E2A"/>
    <w:rsid w:val="0338E674"/>
    <w:rsid w:val="035322D9"/>
    <w:rsid w:val="03736ADC"/>
    <w:rsid w:val="039FDAE6"/>
    <w:rsid w:val="03B621BA"/>
    <w:rsid w:val="03C5C84C"/>
    <w:rsid w:val="03E652B5"/>
    <w:rsid w:val="0401D254"/>
    <w:rsid w:val="0416AB33"/>
    <w:rsid w:val="041BB13B"/>
    <w:rsid w:val="04409E3B"/>
    <w:rsid w:val="04504B00"/>
    <w:rsid w:val="04511C26"/>
    <w:rsid w:val="045D755A"/>
    <w:rsid w:val="04970086"/>
    <w:rsid w:val="049B52AF"/>
    <w:rsid w:val="04A34828"/>
    <w:rsid w:val="05153779"/>
    <w:rsid w:val="053F3D65"/>
    <w:rsid w:val="054669CB"/>
    <w:rsid w:val="056DB1D8"/>
    <w:rsid w:val="0581380D"/>
    <w:rsid w:val="05B5D498"/>
    <w:rsid w:val="05B770CD"/>
    <w:rsid w:val="05C2DC8A"/>
    <w:rsid w:val="05E20568"/>
    <w:rsid w:val="0600D794"/>
    <w:rsid w:val="0604C1D8"/>
    <w:rsid w:val="06664B14"/>
    <w:rsid w:val="066E0272"/>
    <w:rsid w:val="06C40382"/>
    <w:rsid w:val="06CD7F44"/>
    <w:rsid w:val="06D395E9"/>
    <w:rsid w:val="06DAE926"/>
    <w:rsid w:val="0792B3AC"/>
    <w:rsid w:val="079C73E0"/>
    <w:rsid w:val="07B72842"/>
    <w:rsid w:val="07BF5445"/>
    <w:rsid w:val="07C02555"/>
    <w:rsid w:val="07CD55EB"/>
    <w:rsid w:val="07CE7C08"/>
    <w:rsid w:val="07DE3AB9"/>
    <w:rsid w:val="07F0AE01"/>
    <w:rsid w:val="07FBDA3F"/>
    <w:rsid w:val="0810F5C0"/>
    <w:rsid w:val="081446F3"/>
    <w:rsid w:val="081A76D2"/>
    <w:rsid w:val="0829853C"/>
    <w:rsid w:val="082A5D7C"/>
    <w:rsid w:val="082E867B"/>
    <w:rsid w:val="084E9373"/>
    <w:rsid w:val="087162DF"/>
    <w:rsid w:val="0889A660"/>
    <w:rsid w:val="08A317E7"/>
    <w:rsid w:val="090E1007"/>
    <w:rsid w:val="09198C87"/>
    <w:rsid w:val="091C8CD7"/>
    <w:rsid w:val="091DA4BD"/>
    <w:rsid w:val="094BDB50"/>
    <w:rsid w:val="0959F829"/>
    <w:rsid w:val="096EEFB8"/>
    <w:rsid w:val="098BDCED"/>
    <w:rsid w:val="09E37DBA"/>
    <w:rsid w:val="09FA60AA"/>
    <w:rsid w:val="0A188669"/>
    <w:rsid w:val="0A1E3238"/>
    <w:rsid w:val="0A301EFD"/>
    <w:rsid w:val="0A3550FA"/>
    <w:rsid w:val="0A4C0DED"/>
    <w:rsid w:val="0A948D11"/>
    <w:rsid w:val="0AA5E1FB"/>
    <w:rsid w:val="0AA9DF08"/>
    <w:rsid w:val="0AB9F0D0"/>
    <w:rsid w:val="0ADAC0A8"/>
    <w:rsid w:val="0AE3EC78"/>
    <w:rsid w:val="0AF83E25"/>
    <w:rsid w:val="0AFD7B90"/>
    <w:rsid w:val="0B1009A4"/>
    <w:rsid w:val="0B27B07A"/>
    <w:rsid w:val="0B5A5497"/>
    <w:rsid w:val="0B8D2C98"/>
    <w:rsid w:val="0B9D0C5E"/>
    <w:rsid w:val="0BB5F9D7"/>
    <w:rsid w:val="0BF58BE3"/>
    <w:rsid w:val="0C6D28DE"/>
    <w:rsid w:val="0C6E63F5"/>
    <w:rsid w:val="0C72FF39"/>
    <w:rsid w:val="0CA241DC"/>
    <w:rsid w:val="0CCABEFD"/>
    <w:rsid w:val="0CE47213"/>
    <w:rsid w:val="0CF49FD9"/>
    <w:rsid w:val="0CFFCAFE"/>
    <w:rsid w:val="0D013320"/>
    <w:rsid w:val="0D27B271"/>
    <w:rsid w:val="0D3838FC"/>
    <w:rsid w:val="0D40412C"/>
    <w:rsid w:val="0D423DAE"/>
    <w:rsid w:val="0D43EF26"/>
    <w:rsid w:val="0D51D713"/>
    <w:rsid w:val="0D5A5473"/>
    <w:rsid w:val="0DC21310"/>
    <w:rsid w:val="0DC23BE9"/>
    <w:rsid w:val="0DC9ADAF"/>
    <w:rsid w:val="0DD45B59"/>
    <w:rsid w:val="0DE17FCA"/>
    <w:rsid w:val="0DECFB01"/>
    <w:rsid w:val="0DF34095"/>
    <w:rsid w:val="0E0B7680"/>
    <w:rsid w:val="0E16EBD1"/>
    <w:rsid w:val="0E361428"/>
    <w:rsid w:val="0E659C68"/>
    <w:rsid w:val="0E96F419"/>
    <w:rsid w:val="0EA6E69A"/>
    <w:rsid w:val="0EBEBA38"/>
    <w:rsid w:val="0EC1BF97"/>
    <w:rsid w:val="0EC47F56"/>
    <w:rsid w:val="0EC6B54C"/>
    <w:rsid w:val="0EDB2D44"/>
    <w:rsid w:val="0EF86219"/>
    <w:rsid w:val="0EFDA3E0"/>
    <w:rsid w:val="0F0B17CC"/>
    <w:rsid w:val="0F7CC897"/>
    <w:rsid w:val="0F85ADB1"/>
    <w:rsid w:val="0FA062AC"/>
    <w:rsid w:val="0FA19E4F"/>
    <w:rsid w:val="0FB0A54D"/>
    <w:rsid w:val="0FB8575D"/>
    <w:rsid w:val="0FBE8F7E"/>
    <w:rsid w:val="0FC0BA41"/>
    <w:rsid w:val="0FC16EE2"/>
    <w:rsid w:val="0FD5861C"/>
    <w:rsid w:val="0FEAC27F"/>
    <w:rsid w:val="0FF343E0"/>
    <w:rsid w:val="0FFF002B"/>
    <w:rsid w:val="10348E02"/>
    <w:rsid w:val="1047D8A0"/>
    <w:rsid w:val="104FD911"/>
    <w:rsid w:val="1052B12D"/>
    <w:rsid w:val="1053541F"/>
    <w:rsid w:val="10547F20"/>
    <w:rsid w:val="10C5AF19"/>
    <w:rsid w:val="10C6DCE3"/>
    <w:rsid w:val="10F80799"/>
    <w:rsid w:val="11018876"/>
    <w:rsid w:val="11036DEB"/>
    <w:rsid w:val="11391E44"/>
    <w:rsid w:val="11671E79"/>
    <w:rsid w:val="116B7268"/>
    <w:rsid w:val="1181A113"/>
    <w:rsid w:val="11AE40EF"/>
    <w:rsid w:val="11E0A3C0"/>
    <w:rsid w:val="11F23E7F"/>
    <w:rsid w:val="11F8DFD2"/>
    <w:rsid w:val="1201E0C8"/>
    <w:rsid w:val="121A42B0"/>
    <w:rsid w:val="12293681"/>
    <w:rsid w:val="122CEC6A"/>
    <w:rsid w:val="122D72FF"/>
    <w:rsid w:val="123DA343"/>
    <w:rsid w:val="12665EC4"/>
    <w:rsid w:val="128215F6"/>
    <w:rsid w:val="12A76A16"/>
    <w:rsid w:val="12AB070A"/>
    <w:rsid w:val="12B73056"/>
    <w:rsid w:val="12BB8011"/>
    <w:rsid w:val="1300BE43"/>
    <w:rsid w:val="131D413D"/>
    <w:rsid w:val="134516FC"/>
    <w:rsid w:val="135AB51D"/>
    <w:rsid w:val="1364DDA4"/>
    <w:rsid w:val="1373A555"/>
    <w:rsid w:val="13745D5C"/>
    <w:rsid w:val="13957D32"/>
    <w:rsid w:val="13B29ACC"/>
    <w:rsid w:val="147FBAB4"/>
    <w:rsid w:val="148702C7"/>
    <w:rsid w:val="14AC67A9"/>
    <w:rsid w:val="14BE0CCB"/>
    <w:rsid w:val="14E1BEC4"/>
    <w:rsid w:val="150EBC9F"/>
    <w:rsid w:val="1513FBF0"/>
    <w:rsid w:val="1571144A"/>
    <w:rsid w:val="15ACDE34"/>
    <w:rsid w:val="15B7EFDA"/>
    <w:rsid w:val="15C120ED"/>
    <w:rsid w:val="16002F7F"/>
    <w:rsid w:val="1622D328"/>
    <w:rsid w:val="16362AD8"/>
    <w:rsid w:val="163AD55B"/>
    <w:rsid w:val="1642E20B"/>
    <w:rsid w:val="1673712B"/>
    <w:rsid w:val="16741C67"/>
    <w:rsid w:val="168B6216"/>
    <w:rsid w:val="1694BD9D"/>
    <w:rsid w:val="16ADDAAF"/>
    <w:rsid w:val="16D28D7D"/>
    <w:rsid w:val="16DB5BB8"/>
    <w:rsid w:val="174FBDBD"/>
    <w:rsid w:val="175BCB35"/>
    <w:rsid w:val="176FB649"/>
    <w:rsid w:val="17745C33"/>
    <w:rsid w:val="178FD979"/>
    <w:rsid w:val="17904F96"/>
    <w:rsid w:val="17969868"/>
    <w:rsid w:val="179D1B80"/>
    <w:rsid w:val="17A651AF"/>
    <w:rsid w:val="17BA176F"/>
    <w:rsid w:val="180ABD2D"/>
    <w:rsid w:val="183DACA4"/>
    <w:rsid w:val="184A52BE"/>
    <w:rsid w:val="18618003"/>
    <w:rsid w:val="18797B48"/>
    <w:rsid w:val="189068E9"/>
    <w:rsid w:val="18B8D50E"/>
    <w:rsid w:val="192C36BC"/>
    <w:rsid w:val="194E78FF"/>
    <w:rsid w:val="19505AEA"/>
    <w:rsid w:val="195CBAC4"/>
    <w:rsid w:val="1977869F"/>
    <w:rsid w:val="19DADAB6"/>
    <w:rsid w:val="19F4CEE3"/>
    <w:rsid w:val="19FA7DC8"/>
    <w:rsid w:val="1A154BA9"/>
    <w:rsid w:val="1A1A729B"/>
    <w:rsid w:val="1A32021D"/>
    <w:rsid w:val="1A6A3A26"/>
    <w:rsid w:val="1A718D45"/>
    <w:rsid w:val="1A89F6A0"/>
    <w:rsid w:val="1AC3F3CE"/>
    <w:rsid w:val="1ACC3707"/>
    <w:rsid w:val="1B151D00"/>
    <w:rsid w:val="1B448D04"/>
    <w:rsid w:val="1B60398B"/>
    <w:rsid w:val="1B8692F8"/>
    <w:rsid w:val="1B8BE390"/>
    <w:rsid w:val="1C2FAF9E"/>
    <w:rsid w:val="1C60AFE2"/>
    <w:rsid w:val="1C63C0B9"/>
    <w:rsid w:val="1C7C6D49"/>
    <w:rsid w:val="1C877059"/>
    <w:rsid w:val="1C951A25"/>
    <w:rsid w:val="1D04AD27"/>
    <w:rsid w:val="1D28D4C1"/>
    <w:rsid w:val="1D29673A"/>
    <w:rsid w:val="1D683F21"/>
    <w:rsid w:val="1D6C4032"/>
    <w:rsid w:val="1D8A9B31"/>
    <w:rsid w:val="1DCA0A35"/>
    <w:rsid w:val="1DE4FBE6"/>
    <w:rsid w:val="1DF1DE91"/>
    <w:rsid w:val="1E3F6114"/>
    <w:rsid w:val="1E4ADA80"/>
    <w:rsid w:val="1E5DB3CB"/>
    <w:rsid w:val="1E628EF1"/>
    <w:rsid w:val="1E6DC4DE"/>
    <w:rsid w:val="1E6EB195"/>
    <w:rsid w:val="1E7C2DC6"/>
    <w:rsid w:val="1E89A15D"/>
    <w:rsid w:val="1E8D7534"/>
    <w:rsid w:val="1EA17609"/>
    <w:rsid w:val="1EBBD94F"/>
    <w:rsid w:val="1EC5FB83"/>
    <w:rsid w:val="1ED2B3AC"/>
    <w:rsid w:val="1EFAAB20"/>
    <w:rsid w:val="1F0EE341"/>
    <w:rsid w:val="1F198844"/>
    <w:rsid w:val="1F33B8C9"/>
    <w:rsid w:val="1F3BA945"/>
    <w:rsid w:val="1F785C89"/>
    <w:rsid w:val="1FCA195D"/>
    <w:rsid w:val="1FCA4FAD"/>
    <w:rsid w:val="1FCE3897"/>
    <w:rsid w:val="1FE8A1D8"/>
    <w:rsid w:val="20099DD5"/>
    <w:rsid w:val="2009D624"/>
    <w:rsid w:val="201410A2"/>
    <w:rsid w:val="201ABC9F"/>
    <w:rsid w:val="20381321"/>
    <w:rsid w:val="203A5854"/>
    <w:rsid w:val="20432913"/>
    <w:rsid w:val="20A4C617"/>
    <w:rsid w:val="20BD9D4A"/>
    <w:rsid w:val="20C7F2B2"/>
    <w:rsid w:val="20E6C21E"/>
    <w:rsid w:val="20F74523"/>
    <w:rsid w:val="2103ED7B"/>
    <w:rsid w:val="210F4CC9"/>
    <w:rsid w:val="210F8052"/>
    <w:rsid w:val="211A77E2"/>
    <w:rsid w:val="21310E25"/>
    <w:rsid w:val="2172AE6C"/>
    <w:rsid w:val="2173124D"/>
    <w:rsid w:val="21A8D1B1"/>
    <w:rsid w:val="21AD34EA"/>
    <w:rsid w:val="21B14A8F"/>
    <w:rsid w:val="21BF91A3"/>
    <w:rsid w:val="21CBA1F2"/>
    <w:rsid w:val="2226842B"/>
    <w:rsid w:val="22376192"/>
    <w:rsid w:val="2242852A"/>
    <w:rsid w:val="22844FC3"/>
    <w:rsid w:val="22936E9E"/>
    <w:rsid w:val="229E6868"/>
    <w:rsid w:val="229FE1FD"/>
    <w:rsid w:val="22FDA1DF"/>
    <w:rsid w:val="2334A1BB"/>
    <w:rsid w:val="2365BC1F"/>
    <w:rsid w:val="238FF22B"/>
    <w:rsid w:val="23AF101D"/>
    <w:rsid w:val="23B37FDB"/>
    <w:rsid w:val="23DEF664"/>
    <w:rsid w:val="24133362"/>
    <w:rsid w:val="24304FAA"/>
    <w:rsid w:val="24378E5B"/>
    <w:rsid w:val="2475B470"/>
    <w:rsid w:val="248388D1"/>
    <w:rsid w:val="24A121EB"/>
    <w:rsid w:val="24A268E4"/>
    <w:rsid w:val="24E5128E"/>
    <w:rsid w:val="24EC1C91"/>
    <w:rsid w:val="25624CF8"/>
    <w:rsid w:val="2565CDD2"/>
    <w:rsid w:val="256F2B7B"/>
    <w:rsid w:val="258B6357"/>
    <w:rsid w:val="25BB768D"/>
    <w:rsid w:val="25C6B9D9"/>
    <w:rsid w:val="25E8B616"/>
    <w:rsid w:val="25FAADDD"/>
    <w:rsid w:val="26178724"/>
    <w:rsid w:val="2637C980"/>
    <w:rsid w:val="263A1D9A"/>
    <w:rsid w:val="264E0D15"/>
    <w:rsid w:val="2671ED9D"/>
    <w:rsid w:val="2687CAB5"/>
    <w:rsid w:val="274743D1"/>
    <w:rsid w:val="27C326B7"/>
    <w:rsid w:val="27CE72F5"/>
    <w:rsid w:val="27E46FF8"/>
    <w:rsid w:val="28041064"/>
    <w:rsid w:val="281737F7"/>
    <w:rsid w:val="281D73F3"/>
    <w:rsid w:val="28279996"/>
    <w:rsid w:val="28463019"/>
    <w:rsid w:val="284FC705"/>
    <w:rsid w:val="286BBBFF"/>
    <w:rsid w:val="287088C4"/>
    <w:rsid w:val="28810DF6"/>
    <w:rsid w:val="289D2B48"/>
    <w:rsid w:val="28ADA475"/>
    <w:rsid w:val="28C9D1DB"/>
    <w:rsid w:val="28E6C485"/>
    <w:rsid w:val="28FDA037"/>
    <w:rsid w:val="296B66C0"/>
    <w:rsid w:val="29832D94"/>
    <w:rsid w:val="299A525E"/>
    <w:rsid w:val="29A5EAE1"/>
    <w:rsid w:val="29BCA53A"/>
    <w:rsid w:val="29C47491"/>
    <w:rsid w:val="29E378B7"/>
    <w:rsid w:val="29F85008"/>
    <w:rsid w:val="29F8FA21"/>
    <w:rsid w:val="2A066FA8"/>
    <w:rsid w:val="2A13272E"/>
    <w:rsid w:val="2A25ABF0"/>
    <w:rsid w:val="2A2AAE5F"/>
    <w:rsid w:val="2A735B0B"/>
    <w:rsid w:val="2A7E7A48"/>
    <w:rsid w:val="2A815E3D"/>
    <w:rsid w:val="2A9A8CEA"/>
    <w:rsid w:val="2AA516E0"/>
    <w:rsid w:val="2AE3EF68"/>
    <w:rsid w:val="2AEBCFD0"/>
    <w:rsid w:val="2AEF8D2A"/>
    <w:rsid w:val="2AF04F78"/>
    <w:rsid w:val="2AFEB80E"/>
    <w:rsid w:val="2B01AAD5"/>
    <w:rsid w:val="2B3F0478"/>
    <w:rsid w:val="2B4527CB"/>
    <w:rsid w:val="2B9BD5A5"/>
    <w:rsid w:val="2B9DBB01"/>
    <w:rsid w:val="2BA8C534"/>
    <w:rsid w:val="2BB8AEB8"/>
    <w:rsid w:val="2BBFD36C"/>
    <w:rsid w:val="2BC1B30F"/>
    <w:rsid w:val="2BC67EC0"/>
    <w:rsid w:val="2BDCF2E5"/>
    <w:rsid w:val="2BF42B48"/>
    <w:rsid w:val="2BF4A584"/>
    <w:rsid w:val="2C02030C"/>
    <w:rsid w:val="2C2DE025"/>
    <w:rsid w:val="2C7002FB"/>
    <w:rsid w:val="2C89DF25"/>
    <w:rsid w:val="2CA0D3DB"/>
    <w:rsid w:val="2CB53F46"/>
    <w:rsid w:val="2CD120B0"/>
    <w:rsid w:val="2CD40110"/>
    <w:rsid w:val="2CED3334"/>
    <w:rsid w:val="2D026F96"/>
    <w:rsid w:val="2D3C8DD6"/>
    <w:rsid w:val="2D559C2D"/>
    <w:rsid w:val="2D745957"/>
    <w:rsid w:val="2D7B7960"/>
    <w:rsid w:val="2D906A52"/>
    <w:rsid w:val="2D93D07A"/>
    <w:rsid w:val="2D9FD942"/>
    <w:rsid w:val="2DBCB206"/>
    <w:rsid w:val="2DBE96B8"/>
    <w:rsid w:val="2DD5FAA6"/>
    <w:rsid w:val="2DD8F6CF"/>
    <w:rsid w:val="2DEB1C27"/>
    <w:rsid w:val="2DEE3331"/>
    <w:rsid w:val="2DF991CF"/>
    <w:rsid w:val="2E443777"/>
    <w:rsid w:val="2E6F553A"/>
    <w:rsid w:val="2E8CD5AD"/>
    <w:rsid w:val="2E920789"/>
    <w:rsid w:val="2EAACB21"/>
    <w:rsid w:val="2EAF1A4A"/>
    <w:rsid w:val="2EDC14C5"/>
    <w:rsid w:val="2EEE4571"/>
    <w:rsid w:val="2F2FA0DB"/>
    <w:rsid w:val="2F430853"/>
    <w:rsid w:val="2F642336"/>
    <w:rsid w:val="2FA1AF94"/>
    <w:rsid w:val="2FA71978"/>
    <w:rsid w:val="2FA86EB0"/>
    <w:rsid w:val="2FAB3147"/>
    <w:rsid w:val="2FF4EF5B"/>
    <w:rsid w:val="2FFEBF3B"/>
    <w:rsid w:val="303E96A5"/>
    <w:rsid w:val="30903B4E"/>
    <w:rsid w:val="30C2D6D1"/>
    <w:rsid w:val="30DC87E3"/>
    <w:rsid w:val="310DC229"/>
    <w:rsid w:val="3140113F"/>
    <w:rsid w:val="31844E09"/>
    <w:rsid w:val="31862821"/>
    <w:rsid w:val="31DC8A12"/>
    <w:rsid w:val="31F4FAC2"/>
    <w:rsid w:val="31F7B7A6"/>
    <w:rsid w:val="32051A78"/>
    <w:rsid w:val="320A639B"/>
    <w:rsid w:val="321AD4B2"/>
    <w:rsid w:val="3227F03C"/>
    <w:rsid w:val="32433A5A"/>
    <w:rsid w:val="3267419D"/>
    <w:rsid w:val="3284EE38"/>
    <w:rsid w:val="3290AE5A"/>
    <w:rsid w:val="32C7DA74"/>
    <w:rsid w:val="32CDA612"/>
    <w:rsid w:val="32F682C9"/>
    <w:rsid w:val="3310C9D4"/>
    <w:rsid w:val="3324CE7A"/>
    <w:rsid w:val="33259999"/>
    <w:rsid w:val="333C3349"/>
    <w:rsid w:val="334756B3"/>
    <w:rsid w:val="3393DF77"/>
    <w:rsid w:val="33A532A0"/>
    <w:rsid w:val="33C3C09D"/>
    <w:rsid w:val="33CDAD77"/>
    <w:rsid w:val="33DAA177"/>
    <w:rsid w:val="33E64342"/>
    <w:rsid w:val="33E64F4E"/>
    <w:rsid w:val="340D4AF5"/>
    <w:rsid w:val="341E5E5A"/>
    <w:rsid w:val="343E7C75"/>
    <w:rsid w:val="3471B188"/>
    <w:rsid w:val="348D36CD"/>
    <w:rsid w:val="34A7C637"/>
    <w:rsid w:val="34AA424B"/>
    <w:rsid w:val="34CC10F0"/>
    <w:rsid w:val="34D219BC"/>
    <w:rsid w:val="3510A8A9"/>
    <w:rsid w:val="3524ABCF"/>
    <w:rsid w:val="3574ED63"/>
    <w:rsid w:val="358DE4F1"/>
    <w:rsid w:val="35AA1E0E"/>
    <w:rsid w:val="35ABC8FD"/>
    <w:rsid w:val="35E05CB4"/>
    <w:rsid w:val="36191DE8"/>
    <w:rsid w:val="361D0855"/>
    <w:rsid w:val="361E3710"/>
    <w:rsid w:val="3630C16B"/>
    <w:rsid w:val="36520403"/>
    <w:rsid w:val="367AB428"/>
    <w:rsid w:val="369057A8"/>
    <w:rsid w:val="369EC9D8"/>
    <w:rsid w:val="36D7A209"/>
    <w:rsid w:val="36DAC812"/>
    <w:rsid w:val="36ED9999"/>
    <w:rsid w:val="36FB615F"/>
    <w:rsid w:val="36FBA208"/>
    <w:rsid w:val="37165DD0"/>
    <w:rsid w:val="374676B5"/>
    <w:rsid w:val="378E5A93"/>
    <w:rsid w:val="37A44F7D"/>
    <w:rsid w:val="37BEA283"/>
    <w:rsid w:val="37C06360"/>
    <w:rsid w:val="37CC91CC"/>
    <w:rsid w:val="37EC155A"/>
    <w:rsid w:val="37F06D8D"/>
    <w:rsid w:val="37F23652"/>
    <w:rsid w:val="38021F98"/>
    <w:rsid w:val="3818A974"/>
    <w:rsid w:val="382A5CB0"/>
    <w:rsid w:val="38390706"/>
    <w:rsid w:val="38534F65"/>
    <w:rsid w:val="386A8946"/>
    <w:rsid w:val="38B0E9EA"/>
    <w:rsid w:val="391FA2CC"/>
    <w:rsid w:val="394522AB"/>
    <w:rsid w:val="394A4A53"/>
    <w:rsid w:val="394A51D1"/>
    <w:rsid w:val="39581558"/>
    <w:rsid w:val="3971984C"/>
    <w:rsid w:val="39C9A59C"/>
    <w:rsid w:val="3A05E98E"/>
    <w:rsid w:val="3A116D06"/>
    <w:rsid w:val="3A1B97FD"/>
    <w:rsid w:val="3A30F11C"/>
    <w:rsid w:val="3A330221"/>
    <w:rsid w:val="3A42E475"/>
    <w:rsid w:val="3A4FF624"/>
    <w:rsid w:val="3A5807AC"/>
    <w:rsid w:val="3A6BAA03"/>
    <w:rsid w:val="3A6C058E"/>
    <w:rsid w:val="3A86E229"/>
    <w:rsid w:val="3AE3CCDE"/>
    <w:rsid w:val="3AF29D76"/>
    <w:rsid w:val="3AFBFE6B"/>
    <w:rsid w:val="3B00280E"/>
    <w:rsid w:val="3B49BF38"/>
    <w:rsid w:val="3B5D5FED"/>
    <w:rsid w:val="3B6A5167"/>
    <w:rsid w:val="3B8AA920"/>
    <w:rsid w:val="3B95F64C"/>
    <w:rsid w:val="3BC2FAAE"/>
    <w:rsid w:val="3BED5B98"/>
    <w:rsid w:val="3C364661"/>
    <w:rsid w:val="3C5B0C75"/>
    <w:rsid w:val="3C693EF8"/>
    <w:rsid w:val="3C7F9D3F"/>
    <w:rsid w:val="3C897C2D"/>
    <w:rsid w:val="3C933744"/>
    <w:rsid w:val="3CC2A89D"/>
    <w:rsid w:val="3CE14A8C"/>
    <w:rsid w:val="3CEB8754"/>
    <w:rsid w:val="3CF6736F"/>
    <w:rsid w:val="3CF8C212"/>
    <w:rsid w:val="3D0F299C"/>
    <w:rsid w:val="3D5F2F00"/>
    <w:rsid w:val="3D692A58"/>
    <w:rsid w:val="3D713AC6"/>
    <w:rsid w:val="3DB9A05E"/>
    <w:rsid w:val="3DDB0A38"/>
    <w:rsid w:val="3DF25C4E"/>
    <w:rsid w:val="3E1B08F9"/>
    <w:rsid w:val="3E254A4E"/>
    <w:rsid w:val="3E3E053B"/>
    <w:rsid w:val="3E54AB9E"/>
    <w:rsid w:val="3E86BB40"/>
    <w:rsid w:val="3E8EF2B4"/>
    <w:rsid w:val="3E9126F9"/>
    <w:rsid w:val="3F2CF5EE"/>
    <w:rsid w:val="3FBE0E52"/>
    <w:rsid w:val="3FDEBFBB"/>
    <w:rsid w:val="3FE04C93"/>
    <w:rsid w:val="3FE10DDA"/>
    <w:rsid w:val="3FE5AD8F"/>
    <w:rsid w:val="4033DC13"/>
    <w:rsid w:val="4062B5A7"/>
    <w:rsid w:val="409D40D0"/>
    <w:rsid w:val="411554D3"/>
    <w:rsid w:val="4138F8B3"/>
    <w:rsid w:val="417EF15C"/>
    <w:rsid w:val="41802CA7"/>
    <w:rsid w:val="418E6CAC"/>
    <w:rsid w:val="41A69F0D"/>
    <w:rsid w:val="41D6902F"/>
    <w:rsid w:val="421A7A09"/>
    <w:rsid w:val="42552328"/>
    <w:rsid w:val="425FAA3B"/>
    <w:rsid w:val="426CA6D4"/>
    <w:rsid w:val="42739FC7"/>
    <w:rsid w:val="427D3C42"/>
    <w:rsid w:val="42817E1C"/>
    <w:rsid w:val="42950DAF"/>
    <w:rsid w:val="42BC8036"/>
    <w:rsid w:val="42D0BB59"/>
    <w:rsid w:val="431731F9"/>
    <w:rsid w:val="43365BCD"/>
    <w:rsid w:val="435EEB40"/>
    <w:rsid w:val="436D5389"/>
    <w:rsid w:val="43E275C3"/>
    <w:rsid w:val="43F829BE"/>
    <w:rsid w:val="44262DB4"/>
    <w:rsid w:val="44347D18"/>
    <w:rsid w:val="4456BF1B"/>
    <w:rsid w:val="4490972D"/>
    <w:rsid w:val="4491A735"/>
    <w:rsid w:val="44B3025A"/>
    <w:rsid w:val="44B626C7"/>
    <w:rsid w:val="44BAC5DC"/>
    <w:rsid w:val="44C0C06D"/>
    <w:rsid w:val="44D8536E"/>
    <w:rsid w:val="44DFA75A"/>
    <w:rsid w:val="44E353FA"/>
    <w:rsid w:val="44E674E3"/>
    <w:rsid w:val="44E7A644"/>
    <w:rsid w:val="4545AF11"/>
    <w:rsid w:val="45487858"/>
    <w:rsid w:val="4573DD7C"/>
    <w:rsid w:val="458D5E6F"/>
    <w:rsid w:val="45B2AE28"/>
    <w:rsid w:val="45B6D30C"/>
    <w:rsid w:val="45B73A03"/>
    <w:rsid w:val="45CAB1D7"/>
    <w:rsid w:val="45DEF688"/>
    <w:rsid w:val="45F45658"/>
    <w:rsid w:val="460399E0"/>
    <w:rsid w:val="460EDDF2"/>
    <w:rsid w:val="46158E13"/>
    <w:rsid w:val="466BF045"/>
    <w:rsid w:val="4678D119"/>
    <w:rsid w:val="46951439"/>
    <w:rsid w:val="46C05629"/>
    <w:rsid w:val="46C1819C"/>
    <w:rsid w:val="46E33983"/>
    <w:rsid w:val="46F653BE"/>
    <w:rsid w:val="47055E6F"/>
    <w:rsid w:val="4707C7F0"/>
    <w:rsid w:val="471537EA"/>
    <w:rsid w:val="47322616"/>
    <w:rsid w:val="473BA031"/>
    <w:rsid w:val="4759D7A8"/>
    <w:rsid w:val="4760515E"/>
    <w:rsid w:val="4774F430"/>
    <w:rsid w:val="477513C6"/>
    <w:rsid w:val="47840F01"/>
    <w:rsid w:val="47AABD70"/>
    <w:rsid w:val="47B2080C"/>
    <w:rsid w:val="47BA9F3C"/>
    <w:rsid w:val="47D9D081"/>
    <w:rsid w:val="47F1F895"/>
    <w:rsid w:val="47F69C89"/>
    <w:rsid w:val="480D01D6"/>
    <w:rsid w:val="4841BA26"/>
    <w:rsid w:val="48715A59"/>
    <w:rsid w:val="489ADA7E"/>
    <w:rsid w:val="492C5395"/>
    <w:rsid w:val="49367D7F"/>
    <w:rsid w:val="493BB2DC"/>
    <w:rsid w:val="494AB8AF"/>
    <w:rsid w:val="49702E6A"/>
    <w:rsid w:val="49817838"/>
    <w:rsid w:val="49926CEA"/>
    <w:rsid w:val="49BEBE7C"/>
    <w:rsid w:val="49BEDB30"/>
    <w:rsid w:val="49D04BD9"/>
    <w:rsid w:val="49FA3668"/>
    <w:rsid w:val="49FE2E17"/>
    <w:rsid w:val="4A193BA8"/>
    <w:rsid w:val="4A2F99C5"/>
    <w:rsid w:val="4A2FD334"/>
    <w:rsid w:val="4A40A3C6"/>
    <w:rsid w:val="4A6F0CFC"/>
    <w:rsid w:val="4A7CEA06"/>
    <w:rsid w:val="4AB01038"/>
    <w:rsid w:val="4AB55804"/>
    <w:rsid w:val="4AE4AA7B"/>
    <w:rsid w:val="4AE5B8E3"/>
    <w:rsid w:val="4B032734"/>
    <w:rsid w:val="4B2E3D4B"/>
    <w:rsid w:val="4B521474"/>
    <w:rsid w:val="4B817E5E"/>
    <w:rsid w:val="4BDA50D2"/>
    <w:rsid w:val="4BEEBA37"/>
    <w:rsid w:val="4C1837FB"/>
    <w:rsid w:val="4C4B21E9"/>
    <w:rsid w:val="4C72959E"/>
    <w:rsid w:val="4C8BDAAB"/>
    <w:rsid w:val="4C9CC005"/>
    <w:rsid w:val="4CF13EE3"/>
    <w:rsid w:val="4D0A1DF2"/>
    <w:rsid w:val="4D322C70"/>
    <w:rsid w:val="4D34C55C"/>
    <w:rsid w:val="4D6025B2"/>
    <w:rsid w:val="4D6A4A40"/>
    <w:rsid w:val="4D6E4BA1"/>
    <w:rsid w:val="4DC430C3"/>
    <w:rsid w:val="4DEED065"/>
    <w:rsid w:val="4E0D49C1"/>
    <w:rsid w:val="4E5306A1"/>
    <w:rsid w:val="4EA03003"/>
    <w:rsid w:val="4EEE79C4"/>
    <w:rsid w:val="4EF1107D"/>
    <w:rsid w:val="4EF8FA58"/>
    <w:rsid w:val="4F25B92E"/>
    <w:rsid w:val="4F2EA06E"/>
    <w:rsid w:val="4F5C7AE8"/>
    <w:rsid w:val="4F623C4C"/>
    <w:rsid w:val="4F758BF0"/>
    <w:rsid w:val="4F82ABF5"/>
    <w:rsid w:val="4F860C4C"/>
    <w:rsid w:val="4FB5480E"/>
    <w:rsid w:val="501955B3"/>
    <w:rsid w:val="505A7542"/>
    <w:rsid w:val="509657CB"/>
    <w:rsid w:val="50967553"/>
    <w:rsid w:val="509DB206"/>
    <w:rsid w:val="50A5228F"/>
    <w:rsid w:val="50C6DC78"/>
    <w:rsid w:val="50CEB7B6"/>
    <w:rsid w:val="51172D31"/>
    <w:rsid w:val="511996C3"/>
    <w:rsid w:val="5127F84E"/>
    <w:rsid w:val="513DD122"/>
    <w:rsid w:val="514677B3"/>
    <w:rsid w:val="5155D77D"/>
    <w:rsid w:val="515AC15F"/>
    <w:rsid w:val="515AE1C7"/>
    <w:rsid w:val="51BC6A2E"/>
    <w:rsid w:val="51C952B9"/>
    <w:rsid w:val="51DD8F15"/>
    <w:rsid w:val="51EDF802"/>
    <w:rsid w:val="5211AA95"/>
    <w:rsid w:val="5215CE83"/>
    <w:rsid w:val="521F1B7F"/>
    <w:rsid w:val="524EF419"/>
    <w:rsid w:val="52509AA9"/>
    <w:rsid w:val="528B57F6"/>
    <w:rsid w:val="52C43451"/>
    <w:rsid w:val="52D78D6D"/>
    <w:rsid w:val="5322D25C"/>
    <w:rsid w:val="53398C64"/>
    <w:rsid w:val="5346EC2E"/>
    <w:rsid w:val="53478BCC"/>
    <w:rsid w:val="535D2659"/>
    <w:rsid w:val="536F47DC"/>
    <w:rsid w:val="53868779"/>
    <w:rsid w:val="539524C5"/>
    <w:rsid w:val="53B30FDB"/>
    <w:rsid w:val="53E426D3"/>
    <w:rsid w:val="54200694"/>
    <w:rsid w:val="542189EB"/>
    <w:rsid w:val="5425E71A"/>
    <w:rsid w:val="54270EC3"/>
    <w:rsid w:val="543946FD"/>
    <w:rsid w:val="543D77E9"/>
    <w:rsid w:val="54513785"/>
    <w:rsid w:val="54696C98"/>
    <w:rsid w:val="5484E194"/>
    <w:rsid w:val="54852E0C"/>
    <w:rsid w:val="550500D4"/>
    <w:rsid w:val="55337385"/>
    <w:rsid w:val="553F0A7E"/>
    <w:rsid w:val="554476C8"/>
    <w:rsid w:val="5551F06D"/>
    <w:rsid w:val="5554F9B8"/>
    <w:rsid w:val="55635C05"/>
    <w:rsid w:val="558674E6"/>
    <w:rsid w:val="5596A17E"/>
    <w:rsid w:val="55A6DE70"/>
    <w:rsid w:val="55BE65BA"/>
    <w:rsid w:val="55C08BEE"/>
    <w:rsid w:val="55C2946C"/>
    <w:rsid w:val="55C41EBC"/>
    <w:rsid w:val="55CE5F05"/>
    <w:rsid w:val="55CEA6FA"/>
    <w:rsid w:val="55D1C59C"/>
    <w:rsid w:val="55E8D2EA"/>
    <w:rsid w:val="56042F5C"/>
    <w:rsid w:val="563E4332"/>
    <w:rsid w:val="56567031"/>
    <w:rsid w:val="5672B007"/>
    <w:rsid w:val="5698909F"/>
    <w:rsid w:val="56ADB20F"/>
    <w:rsid w:val="56B16BDB"/>
    <w:rsid w:val="56DAECBE"/>
    <w:rsid w:val="56EDF065"/>
    <w:rsid w:val="56F1049D"/>
    <w:rsid w:val="5710E60A"/>
    <w:rsid w:val="573F1149"/>
    <w:rsid w:val="576022BA"/>
    <w:rsid w:val="578647AD"/>
    <w:rsid w:val="579008BC"/>
    <w:rsid w:val="57B6A5C4"/>
    <w:rsid w:val="57B9A61B"/>
    <w:rsid w:val="57D1A716"/>
    <w:rsid w:val="57F52634"/>
    <w:rsid w:val="57FBC2FC"/>
    <w:rsid w:val="580763B1"/>
    <w:rsid w:val="5844AB82"/>
    <w:rsid w:val="58498270"/>
    <w:rsid w:val="58725C59"/>
    <w:rsid w:val="587C7819"/>
    <w:rsid w:val="588C0FBE"/>
    <w:rsid w:val="58A13A62"/>
    <w:rsid w:val="58BAEA5E"/>
    <w:rsid w:val="58CCC506"/>
    <w:rsid w:val="59271120"/>
    <w:rsid w:val="592BBA07"/>
    <w:rsid w:val="594289A6"/>
    <w:rsid w:val="595E9FE9"/>
    <w:rsid w:val="598304AE"/>
    <w:rsid w:val="59AF553C"/>
    <w:rsid w:val="59E552D1"/>
    <w:rsid w:val="59F4AF66"/>
    <w:rsid w:val="59FC9204"/>
    <w:rsid w:val="5A0231E6"/>
    <w:rsid w:val="5A1C801A"/>
    <w:rsid w:val="5A68ED94"/>
    <w:rsid w:val="5A6BEB4C"/>
    <w:rsid w:val="5A6DEB8F"/>
    <w:rsid w:val="5A771AE9"/>
    <w:rsid w:val="5A80D3F7"/>
    <w:rsid w:val="5AA29154"/>
    <w:rsid w:val="5ABAFABB"/>
    <w:rsid w:val="5ADC07C4"/>
    <w:rsid w:val="5B46CFAE"/>
    <w:rsid w:val="5B68ED60"/>
    <w:rsid w:val="5B731CB0"/>
    <w:rsid w:val="5B91F6D3"/>
    <w:rsid w:val="5B94184F"/>
    <w:rsid w:val="5BA8938C"/>
    <w:rsid w:val="5BAD8413"/>
    <w:rsid w:val="5BDEEDF4"/>
    <w:rsid w:val="5BF7C783"/>
    <w:rsid w:val="5C1ADD18"/>
    <w:rsid w:val="5C2EB2B0"/>
    <w:rsid w:val="5C6D741C"/>
    <w:rsid w:val="5C8216FC"/>
    <w:rsid w:val="5C96D6A9"/>
    <w:rsid w:val="5C9C778D"/>
    <w:rsid w:val="5CC4ACEB"/>
    <w:rsid w:val="5CC5E07C"/>
    <w:rsid w:val="5CF89F75"/>
    <w:rsid w:val="5D1A3240"/>
    <w:rsid w:val="5D370994"/>
    <w:rsid w:val="5D98D8DE"/>
    <w:rsid w:val="5D9B38E9"/>
    <w:rsid w:val="5DA7B08B"/>
    <w:rsid w:val="5DAEFAAC"/>
    <w:rsid w:val="5DECDE11"/>
    <w:rsid w:val="5DFAA5B2"/>
    <w:rsid w:val="5E02C070"/>
    <w:rsid w:val="5E1DE75D"/>
    <w:rsid w:val="5E40E772"/>
    <w:rsid w:val="5E4508F8"/>
    <w:rsid w:val="5E4C20BA"/>
    <w:rsid w:val="5E5CE491"/>
    <w:rsid w:val="5E68F5BE"/>
    <w:rsid w:val="5E8B1E3E"/>
    <w:rsid w:val="5EA07AA3"/>
    <w:rsid w:val="5EB8C3F4"/>
    <w:rsid w:val="5EEE6462"/>
    <w:rsid w:val="5EEE9850"/>
    <w:rsid w:val="5F26D23E"/>
    <w:rsid w:val="5F369AA2"/>
    <w:rsid w:val="5F91E756"/>
    <w:rsid w:val="5FA13D0A"/>
    <w:rsid w:val="5FD5F78C"/>
    <w:rsid w:val="601ED907"/>
    <w:rsid w:val="60521A1B"/>
    <w:rsid w:val="606E481C"/>
    <w:rsid w:val="60B439CD"/>
    <w:rsid w:val="60D27E1E"/>
    <w:rsid w:val="60D75480"/>
    <w:rsid w:val="60DAE213"/>
    <w:rsid w:val="60E6CCCC"/>
    <w:rsid w:val="60E76A5B"/>
    <w:rsid w:val="610C0B8E"/>
    <w:rsid w:val="610E9B0D"/>
    <w:rsid w:val="6130B01B"/>
    <w:rsid w:val="61376915"/>
    <w:rsid w:val="615DDB36"/>
    <w:rsid w:val="616D9C17"/>
    <w:rsid w:val="61887AFE"/>
    <w:rsid w:val="61A14586"/>
    <w:rsid w:val="61AEE302"/>
    <w:rsid w:val="61D96940"/>
    <w:rsid w:val="61F2287E"/>
    <w:rsid w:val="621C3765"/>
    <w:rsid w:val="623C4B89"/>
    <w:rsid w:val="626EC90D"/>
    <w:rsid w:val="6284B363"/>
    <w:rsid w:val="628DA9DD"/>
    <w:rsid w:val="629AA788"/>
    <w:rsid w:val="62ADF9E8"/>
    <w:rsid w:val="62B6BDC7"/>
    <w:rsid w:val="62B8397F"/>
    <w:rsid w:val="62C1E853"/>
    <w:rsid w:val="62EA842A"/>
    <w:rsid w:val="63030DF1"/>
    <w:rsid w:val="634EE054"/>
    <w:rsid w:val="635D3E5C"/>
    <w:rsid w:val="6383346A"/>
    <w:rsid w:val="638A73DC"/>
    <w:rsid w:val="63DC6726"/>
    <w:rsid w:val="63E9EE03"/>
    <w:rsid w:val="642BE7CD"/>
    <w:rsid w:val="643AF58D"/>
    <w:rsid w:val="644C8456"/>
    <w:rsid w:val="647465C4"/>
    <w:rsid w:val="64B6B6DE"/>
    <w:rsid w:val="64E70C88"/>
    <w:rsid w:val="64F0976B"/>
    <w:rsid w:val="64F9B843"/>
    <w:rsid w:val="650FDD07"/>
    <w:rsid w:val="6517080A"/>
    <w:rsid w:val="65242B65"/>
    <w:rsid w:val="65410AC2"/>
    <w:rsid w:val="6541C2DD"/>
    <w:rsid w:val="65487212"/>
    <w:rsid w:val="658289A9"/>
    <w:rsid w:val="6597A6AB"/>
    <w:rsid w:val="659B888D"/>
    <w:rsid w:val="65A46194"/>
    <w:rsid w:val="65AE82FA"/>
    <w:rsid w:val="65F05BB3"/>
    <w:rsid w:val="660E4ABC"/>
    <w:rsid w:val="66347E5D"/>
    <w:rsid w:val="6658EFED"/>
    <w:rsid w:val="665AA4D6"/>
    <w:rsid w:val="666BB3EE"/>
    <w:rsid w:val="666E5596"/>
    <w:rsid w:val="667281D7"/>
    <w:rsid w:val="668250BA"/>
    <w:rsid w:val="669F81FF"/>
    <w:rsid w:val="66ADD885"/>
    <w:rsid w:val="66BA5AD0"/>
    <w:rsid w:val="66D91162"/>
    <w:rsid w:val="66E1AFB9"/>
    <w:rsid w:val="66EE66BB"/>
    <w:rsid w:val="670C26BD"/>
    <w:rsid w:val="6736AB88"/>
    <w:rsid w:val="674E0B02"/>
    <w:rsid w:val="67721624"/>
    <w:rsid w:val="677C059F"/>
    <w:rsid w:val="67A6E997"/>
    <w:rsid w:val="67A8BFE1"/>
    <w:rsid w:val="67B54B22"/>
    <w:rsid w:val="67F0DC2B"/>
    <w:rsid w:val="67F67537"/>
    <w:rsid w:val="67F884DA"/>
    <w:rsid w:val="682A06E1"/>
    <w:rsid w:val="6853A3B8"/>
    <w:rsid w:val="6857AE2A"/>
    <w:rsid w:val="6870B2E1"/>
    <w:rsid w:val="687E76FE"/>
    <w:rsid w:val="687FE809"/>
    <w:rsid w:val="68815D59"/>
    <w:rsid w:val="68D4B6BE"/>
    <w:rsid w:val="68D55F71"/>
    <w:rsid w:val="68E6198C"/>
    <w:rsid w:val="68E77A32"/>
    <w:rsid w:val="6929529D"/>
    <w:rsid w:val="6958E362"/>
    <w:rsid w:val="698D5626"/>
    <w:rsid w:val="69A2E39A"/>
    <w:rsid w:val="69DF0BB4"/>
    <w:rsid w:val="69EA792D"/>
    <w:rsid w:val="69F84616"/>
    <w:rsid w:val="6A06C187"/>
    <w:rsid w:val="6A1BDE6B"/>
    <w:rsid w:val="6A51B79C"/>
    <w:rsid w:val="6AA3CB79"/>
    <w:rsid w:val="6AC9A616"/>
    <w:rsid w:val="6B11604E"/>
    <w:rsid w:val="6B1ADEBA"/>
    <w:rsid w:val="6B4249D2"/>
    <w:rsid w:val="6B71C215"/>
    <w:rsid w:val="6B7797ED"/>
    <w:rsid w:val="6B83C56B"/>
    <w:rsid w:val="6BC71F20"/>
    <w:rsid w:val="6BF6EC74"/>
    <w:rsid w:val="6BFD89F2"/>
    <w:rsid w:val="6C0446C0"/>
    <w:rsid w:val="6C2894E2"/>
    <w:rsid w:val="6C32D6D4"/>
    <w:rsid w:val="6C37A35A"/>
    <w:rsid w:val="6C3945B2"/>
    <w:rsid w:val="6C585631"/>
    <w:rsid w:val="6C680818"/>
    <w:rsid w:val="6C72C0F2"/>
    <w:rsid w:val="6C8F2166"/>
    <w:rsid w:val="6CA5CB17"/>
    <w:rsid w:val="6CD95490"/>
    <w:rsid w:val="6CF6E5AC"/>
    <w:rsid w:val="6D517345"/>
    <w:rsid w:val="6D67A968"/>
    <w:rsid w:val="6DACB6D5"/>
    <w:rsid w:val="6DC30C73"/>
    <w:rsid w:val="6DC3C951"/>
    <w:rsid w:val="6DD924D6"/>
    <w:rsid w:val="6E2E16DA"/>
    <w:rsid w:val="6E63C19B"/>
    <w:rsid w:val="6E773048"/>
    <w:rsid w:val="6E79A1FF"/>
    <w:rsid w:val="6E86688D"/>
    <w:rsid w:val="6E88BAE4"/>
    <w:rsid w:val="6E9DABF7"/>
    <w:rsid w:val="6EBD30CA"/>
    <w:rsid w:val="6EBDE86A"/>
    <w:rsid w:val="6ED145A4"/>
    <w:rsid w:val="6F09CCB0"/>
    <w:rsid w:val="6F283681"/>
    <w:rsid w:val="6F332EE2"/>
    <w:rsid w:val="6F3611E0"/>
    <w:rsid w:val="6F3B1B22"/>
    <w:rsid w:val="6F73F34C"/>
    <w:rsid w:val="6F88FBA1"/>
    <w:rsid w:val="6F8B95BC"/>
    <w:rsid w:val="6F8E6C74"/>
    <w:rsid w:val="6FA6F1B8"/>
    <w:rsid w:val="6FB29232"/>
    <w:rsid w:val="6FB89303"/>
    <w:rsid w:val="6FC1F018"/>
    <w:rsid w:val="6FC9C4D0"/>
    <w:rsid w:val="6FC9EB78"/>
    <w:rsid w:val="6FDAAA58"/>
    <w:rsid w:val="703B6160"/>
    <w:rsid w:val="708DF4ED"/>
    <w:rsid w:val="70930A17"/>
    <w:rsid w:val="70F6C0DB"/>
    <w:rsid w:val="712A8076"/>
    <w:rsid w:val="7132D280"/>
    <w:rsid w:val="7168B040"/>
    <w:rsid w:val="719774FC"/>
    <w:rsid w:val="71A65A88"/>
    <w:rsid w:val="71CAC085"/>
    <w:rsid w:val="7208BDE4"/>
    <w:rsid w:val="72224DFA"/>
    <w:rsid w:val="722AAB6E"/>
    <w:rsid w:val="72BE3253"/>
    <w:rsid w:val="72D025A8"/>
    <w:rsid w:val="72F17CA1"/>
    <w:rsid w:val="73046836"/>
    <w:rsid w:val="7318125D"/>
    <w:rsid w:val="734BD1AF"/>
    <w:rsid w:val="73532B11"/>
    <w:rsid w:val="7366B1FA"/>
    <w:rsid w:val="738AAAF6"/>
    <w:rsid w:val="7390DAD7"/>
    <w:rsid w:val="73A48E45"/>
    <w:rsid w:val="73A7B883"/>
    <w:rsid w:val="73BEA4A5"/>
    <w:rsid w:val="73CE23BF"/>
    <w:rsid w:val="73D765EE"/>
    <w:rsid w:val="73DC9905"/>
    <w:rsid w:val="73F658F6"/>
    <w:rsid w:val="743E84D8"/>
    <w:rsid w:val="74543357"/>
    <w:rsid w:val="74613AC9"/>
    <w:rsid w:val="74A92482"/>
    <w:rsid w:val="74CF8A52"/>
    <w:rsid w:val="74D219BB"/>
    <w:rsid w:val="74D240DC"/>
    <w:rsid w:val="75117199"/>
    <w:rsid w:val="7516A4C0"/>
    <w:rsid w:val="751A32C4"/>
    <w:rsid w:val="75828303"/>
    <w:rsid w:val="7584A65D"/>
    <w:rsid w:val="7584B1E8"/>
    <w:rsid w:val="758DB832"/>
    <w:rsid w:val="759D1B86"/>
    <w:rsid w:val="75BB4301"/>
    <w:rsid w:val="761DB5A2"/>
    <w:rsid w:val="7635A344"/>
    <w:rsid w:val="7636D9D9"/>
    <w:rsid w:val="764BDCA2"/>
    <w:rsid w:val="76651402"/>
    <w:rsid w:val="76763831"/>
    <w:rsid w:val="767A11D9"/>
    <w:rsid w:val="767F59B6"/>
    <w:rsid w:val="768E48BA"/>
    <w:rsid w:val="769A3120"/>
    <w:rsid w:val="769F44E7"/>
    <w:rsid w:val="76D84459"/>
    <w:rsid w:val="770C8A07"/>
    <w:rsid w:val="772F5806"/>
    <w:rsid w:val="77331A31"/>
    <w:rsid w:val="77437D50"/>
    <w:rsid w:val="77448B79"/>
    <w:rsid w:val="775C1A7B"/>
    <w:rsid w:val="78616FB9"/>
    <w:rsid w:val="788F6C38"/>
    <w:rsid w:val="78BA51CF"/>
    <w:rsid w:val="78BFA098"/>
    <w:rsid w:val="79144B7A"/>
    <w:rsid w:val="79373C3D"/>
    <w:rsid w:val="794B6158"/>
    <w:rsid w:val="795BA049"/>
    <w:rsid w:val="79689F4A"/>
    <w:rsid w:val="7998209C"/>
    <w:rsid w:val="79E243A6"/>
    <w:rsid w:val="79E4973A"/>
    <w:rsid w:val="79E75AD2"/>
    <w:rsid w:val="7A045F39"/>
    <w:rsid w:val="7A0E446B"/>
    <w:rsid w:val="7A2987FC"/>
    <w:rsid w:val="7A38333E"/>
    <w:rsid w:val="7A3A3FC5"/>
    <w:rsid w:val="7A4BF9AE"/>
    <w:rsid w:val="7A5BA3A8"/>
    <w:rsid w:val="7A755CBB"/>
    <w:rsid w:val="7AD1D7AA"/>
    <w:rsid w:val="7AFEBD97"/>
    <w:rsid w:val="7B056203"/>
    <w:rsid w:val="7B667E92"/>
    <w:rsid w:val="7B9404C0"/>
    <w:rsid w:val="7BA0BE5E"/>
    <w:rsid w:val="7BC79046"/>
    <w:rsid w:val="7BCC8854"/>
    <w:rsid w:val="7BCEFC27"/>
    <w:rsid w:val="7BD2695E"/>
    <w:rsid w:val="7C07A26D"/>
    <w:rsid w:val="7C2BED5D"/>
    <w:rsid w:val="7C2CDB68"/>
    <w:rsid w:val="7C56A0A7"/>
    <w:rsid w:val="7C73539D"/>
    <w:rsid w:val="7C8FFC4A"/>
    <w:rsid w:val="7CCBAA66"/>
    <w:rsid w:val="7D10FCF7"/>
    <w:rsid w:val="7D342B7F"/>
    <w:rsid w:val="7D4A04F4"/>
    <w:rsid w:val="7D4EE5B7"/>
    <w:rsid w:val="7DA4C0BD"/>
    <w:rsid w:val="7DE8E8C5"/>
    <w:rsid w:val="7E014EA5"/>
    <w:rsid w:val="7E19203F"/>
    <w:rsid w:val="7E2F116C"/>
    <w:rsid w:val="7E5D6B2E"/>
    <w:rsid w:val="7E79A60E"/>
    <w:rsid w:val="7ED1E394"/>
    <w:rsid w:val="7EDFA28F"/>
    <w:rsid w:val="7EF18426"/>
    <w:rsid w:val="7F0722DC"/>
    <w:rsid w:val="7F0FE1CA"/>
    <w:rsid w:val="7F226BF9"/>
    <w:rsid w:val="7F360774"/>
    <w:rsid w:val="7F4BD5CA"/>
    <w:rsid w:val="7F672C60"/>
    <w:rsid w:val="7FA4CA8D"/>
    <w:rsid w:val="7FBE98E2"/>
  </w:rsids>
  <m:mathPr>
    <m:mathFont m:val="Cambria Math"/>
    <m:brkBin m:val="before"/>
    <m:brkBinSub m:val="--"/>
    <m:smallFrac m:val="0"/>
    <m:dispDef/>
    <m:lMargin m:val="0"/>
    <m:rMargin m:val="0"/>
    <m:defJc m:val="centerGroup"/>
    <m:wrapIndent m:val="1440"/>
    <m:intLim m:val="subSup"/>
    <m:naryLim m:val="undOvr"/>
  </m:mathPr>
  <w:themeFontLang w:val="pt-BR"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56C0E66"/>
  <w15:chartTrackingRefBased/>
  <w15:docId w15:val="{00D5E855-08D5-4FD8-AFA6-3B84F1117E6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pt-BR"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574E3"/>
    <w:rPr>
      <w:lang w:eastAsia="pt-BR"/>
    </w:rPr>
  </w:style>
  <w:style w:type="paragraph" w:styleId="Ttulo1">
    <w:name w:val="heading 1"/>
    <w:basedOn w:val="Normal"/>
    <w:next w:val="Normal"/>
    <w:qFormat/>
    <w:pPr>
      <w:keepNext/>
      <w:outlineLvl w:val="0"/>
    </w:pPr>
    <w:rPr>
      <w:b/>
      <w:sz w:val="22"/>
    </w:rPr>
  </w:style>
  <w:style w:type="paragraph" w:styleId="Ttulo2">
    <w:name w:val="heading 2"/>
    <w:basedOn w:val="Normal"/>
    <w:next w:val="Normal"/>
    <w:qFormat/>
    <w:pPr>
      <w:keepNext/>
      <w:spacing w:before="240" w:after="60"/>
      <w:outlineLvl w:val="1"/>
    </w:pPr>
    <w:rPr>
      <w:rFonts w:ascii="Arial" w:hAnsi="Arial"/>
      <w:b/>
      <w:i/>
      <w:sz w:val="24"/>
    </w:rPr>
  </w:style>
  <w:style w:type="paragraph" w:styleId="Ttulo3">
    <w:name w:val="heading 3"/>
    <w:basedOn w:val="Normal"/>
    <w:next w:val="Normal"/>
    <w:qFormat/>
    <w:pPr>
      <w:keepNext/>
      <w:spacing w:before="240" w:after="60"/>
      <w:outlineLvl w:val="2"/>
    </w:pPr>
    <w:rPr>
      <w:rFonts w:ascii="Arial" w:hAnsi="Arial"/>
      <w:sz w:val="24"/>
    </w:rPr>
  </w:style>
  <w:style w:type="paragraph" w:styleId="Ttulo4">
    <w:name w:val="heading 4"/>
    <w:basedOn w:val="Normal"/>
    <w:next w:val="Normal"/>
    <w:qFormat/>
    <w:pPr>
      <w:keepNext/>
      <w:spacing w:before="240" w:after="60"/>
      <w:outlineLvl w:val="3"/>
    </w:pPr>
    <w:rPr>
      <w:rFonts w:ascii="Arial" w:hAnsi="Arial"/>
      <w:b/>
      <w:sz w:val="24"/>
    </w:rPr>
  </w:style>
  <w:style w:type="paragraph" w:styleId="Ttulo5">
    <w:name w:val="heading 5"/>
    <w:basedOn w:val="Normal"/>
    <w:next w:val="Normal"/>
    <w:qFormat/>
    <w:pPr>
      <w:spacing w:before="240" w:after="60"/>
      <w:outlineLvl w:val="4"/>
    </w:pPr>
    <w:rPr>
      <w:sz w:val="22"/>
    </w:rPr>
  </w:style>
  <w:style w:type="paragraph" w:styleId="Ttulo6">
    <w:name w:val="heading 6"/>
    <w:basedOn w:val="Normal"/>
    <w:next w:val="Normal"/>
    <w:qFormat/>
    <w:pPr>
      <w:spacing w:before="240" w:after="60"/>
      <w:outlineLvl w:val="5"/>
    </w:pPr>
    <w:rPr>
      <w:i/>
      <w:sz w:val="22"/>
    </w:rPr>
  </w:style>
  <w:style w:type="paragraph" w:styleId="Ttulo7">
    <w:name w:val="heading 7"/>
    <w:basedOn w:val="Normal"/>
    <w:next w:val="Normal"/>
    <w:qFormat/>
    <w:pPr>
      <w:spacing w:before="240" w:after="60"/>
      <w:outlineLvl w:val="6"/>
    </w:pPr>
    <w:rPr>
      <w:rFonts w:ascii="Arial" w:hAnsi="Arial"/>
    </w:rPr>
  </w:style>
  <w:style w:type="paragraph" w:styleId="Ttulo8">
    <w:name w:val="heading 8"/>
    <w:basedOn w:val="Normal"/>
    <w:next w:val="Normal"/>
    <w:qFormat/>
    <w:pPr>
      <w:spacing w:before="240" w:after="60"/>
      <w:outlineLvl w:val="7"/>
    </w:pPr>
    <w:rPr>
      <w:rFonts w:ascii="Arial" w:hAnsi="Arial"/>
      <w:i/>
    </w:rPr>
  </w:style>
  <w:style w:type="paragraph" w:styleId="Ttulo9">
    <w:name w:val="heading 9"/>
    <w:basedOn w:val="Normal"/>
    <w:next w:val="Normal"/>
    <w:qFormat/>
    <w:pPr>
      <w:keepNext/>
      <w:spacing w:after="120" w:line="360" w:lineRule="auto"/>
      <w:jc w:val="both"/>
      <w:outlineLvl w:val="8"/>
    </w:pPr>
    <w:rPr>
      <w:rFonts w:ascii="Tahoma" w:hAnsi="Tahoma"/>
      <w:b/>
      <w:sz w:val="24"/>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NormalWeb">
    <w:name w:val="Normal (Web)"/>
    <w:basedOn w:val="Normal"/>
    <w:uiPriority w:val="99"/>
    <w:semiHidden/>
    <w:pPr>
      <w:spacing w:before="100" w:after="100"/>
    </w:pPr>
    <w:rPr>
      <w:rFonts w:ascii="Arial Unicode MS" w:eastAsia="Arial Unicode MS" w:hAnsi="Arial Unicode MS"/>
      <w:sz w:val="24"/>
    </w:rPr>
  </w:style>
  <w:style w:type="paragraph" w:styleId="Recuodecorpodetexto">
    <w:name w:val="Body Text Indent"/>
    <w:basedOn w:val="Normal"/>
    <w:semiHidden/>
    <w:pPr>
      <w:spacing w:after="240"/>
      <w:ind w:firstLine="709"/>
      <w:jc w:val="both"/>
    </w:pPr>
    <w:rPr>
      <w:sz w:val="24"/>
    </w:rPr>
  </w:style>
  <w:style w:type="paragraph" w:styleId="Corpodetexto">
    <w:name w:val="Body Text"/>
    <w:basedOn w:val="Normal"/>
    <w:link w:val="CorpodetextoChar"/>
    <w:semiHidden/>
    <w:pPr>
      <w:spacing w:line="360" w:lineRule="auto"/>
      <w:jc w:val="both"/>
    </w:pPr>
    <w:rPr>
      <w:rFonts w:ascii="Arial" w:hAnsi="Arial"/>
      <w:sz w:val="24"/>
    </w:rPr>
  </w:style>
  <w:style w:type="paragraph" w:styleId="Recuodecorpodetexto3">
    <w:name w:val="Body Text Indent 3"/>
    <w:basedOn w:val="Normal"/>
    <w:semiHidden/>
    <w:pPr>
      <w:ind w:firstLine="708"/>
      <w:jc w:val="both"/>
    </w:pPr>
    <w:rPr>
      <w:sz w:val="24"/>
    </w:rPr>
  </w:style>
  <w:style w:type="paragraph" w:styleId="Recuodecorpodetexto2">
    <w:name w:val="Body Text Indent 2"/>
    <w:basedOn w:val="Normal"/>
    <w:semiHidden/>
    <w:pPr>
      <w:ind w:firstLine="567"/>
      <w:jc w:val="both"/>
    </w:pPr>
    <w:rPr>
      <w:rFonts w:ascii="Arial" w:hAnsi="Arial"/>
    </w:rPr>
  </w:style>
  <w:style w:type="paragraph" w:styleId="Corpodetexto2">
    <w:name w:val="Body Text 2"/>
    <w:basedOn w:val="Normal"/>
    <w:semiHidden/>
    <w:pPr>
      <w:jc w:val="both"/>
    </w:pPr>
    <w:rPr>
      <w:rFonts w:ascii="Arial" w:hAnsi="Arial"/>
    </w:rPr>
  </w:style>
  <w:style w:type="character" w:styleId="Nmerodepgina">
    <w:name w:val="page number"/>
    <w:basedOn w:val="Fontepargpadro"/>
    <w:semiHidden/>
  </w:style>
  <w:style w:type="paragraph" w:styleId="Rodap">
    <w:name w:val="footer"/>
    <w:basedOn w:val="Normal"/>
    <w:semiHidden/>
    <w:pPr>
      <w:tabs>
        <w:tab w:val="center" w:pos="4419"/>
        <w:tab w:val="right" w:pos="8838"/>
      </w:tabs>
    </w:pPr>
    <w:rPr>
      <w:sz w:val="24"/>
    </w:rPr>
  </w:style>
  <w:style w:type="character" w:customStyle="1" w:styleId="Hiperlink">
    <w:name w:val="Hiperlink"/>
    <w:rPr>
      <w:color w:val="0000FF"/>
      <w:u w:val="single"/>
    </w:rPr>
  </w:style>
  <w:style w:type="character" w:styleId="Hyperlink">
    <w:name w:val="Hyperlink"/>
    <w:semiHidden/>
    <w:rPr>
      <w:color w:val="0000FF"/>
      <w:u w:val="single"/>
    </w:rPr>
  </w:style>
  <w:style w:type="character" w:styleId="Refdenotaderodap">
    <w:name w:val="footnote reference"/>
    <w:uiPriority w:val="99"/>
    <w:semiHidden/>
    <w:rPr>
      <w:vertAlign w:val="superscript"/>
    </w:rPr>
  </w:style>
  <w:style w:type="paragraph" w:styleId="Textodenotaderodap">
    <w:name w:val="footnote text"/>
    <w:basedOn w:val="Normal"/>
    <w:link w:val="TextodenotaderodapChar"/>
    <w:uiPriority w:val="99"/>
    <w:semiHidden/>
  </w:style>
  <w:style w:type="character" w:styleId="HiperlinkVisitado">
    <w:name w:val="FollowedHyperlink"/>
    <w:semiHidden/>
    <w:rPr>
      <w:color w:val="800080"/>
      <w:u w:val="single"/>
    </w:rPr>
  </w:style>
  <w:style w:type="paragraph" w:styleId="Corpodetexto3">
    <w:name w:val="Body Text 3"/>
    <w:basedOn w:val="Normal"/>
    <w:link w:val="Corpodetexto3Char"/>
    <w:semiHidden/>
    <w:pPr>
      <w:autoSpaceDE w:val="0"/>
      <w:autoSpaceDN w:val="0"/>
      <w:adjustRightInd w:val="0"/>
      <w:jc w:val="both"/>
    </w:pPr>
    <w:rPr>
      <w:rFonts w:ascii="Arial" w:hAnsi="Arial" w:cs="Arial"/>
      <w:color w:val="000000"/>
      <w:sz w:val="24"/>
      <w:szCs w:val="24"/>
    </w:rPr>
  </w:style>
  <w:style w:type="paragraph" w:styleId="Textodebalo">
    <w:name w:val="Balloon Text"/>
    <w:basedOn w:val="Normal"/>
    <w:semiHidden/>
    <w:unhideWhenUsed/>
    <w:rPr>
      <w:rFonts w:ascii="Tahoma" w:hAnsi="Tahoma" w:cs="Tahoma"/>
      <w:sz w:val="16"/>
      <w:szCs w:val="16"/>
    </w:rPr>
  </w:style>
  <w:style w:type="character" w:customStyle="1" w:styleId="TextodebaloChar">
    <w:name w:val="Texto de balão Char"/>
    <w:semiHidden/>
    <w:rPr>
      <w:rFonts w:ascii="Tahoma" w:hAnsi="Tahoma" w:cs="Tahoma"/>
      <w:sz w:val="16"/>
      <w:szCs w:val="16"/>
    </w:rPr>
  </w:style>
  <w:style w:type="table" w:styleId="Tabelacomgrade">
    <w:name w:val="Table Grid"/>
    <w:basedOn w:val="Tabelanormal"/>
    <w:uiPriority w:val="59"/>
    <w:rsid w:val="00C23A4F"/>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RelGesto">
    <w:name w:val="RelGestão"/>
    <w:basedOn w:val="Recuodecorpodetexto3"/>
    <w:rsid w:val="003473A3"/>
    <w:pPr>
      <w:spacing w:before="120" w:after="120" w:line="360" w:lineRule="auto"/>
      <w:ind w:firstLine="0"/>
    </w:pPr>
    <w:rPr>
      <w:rFonts w:ascii="Arial" w:hAnsi="Arial"/>
      <w:sz w:val="22"/>
    </w:rPr>
  </w:style>
  <w:style w:type="character" w:styleId="Refdecomentrio">
    <w:name w:val="annotation reference"/>
    <w:uiPriority w:val="99"/>
    <w:semiHidden/>
    <w:unhideWhenUsed/>
    <w:rsid w:val="008540A5"/>
    <w:rPr>
      <w:sz w:val="16"/>
      <w:szCs w:val="16"/>
    </w:rPr>
  </w:style>
  <w:style w:type="paragraph" w:styleId="Textodecomentrio">
    <w:name w:val="annotation text"/>
    <w:basedOn w:val="Normal"/>
    <w:link w:val="TextodecomentrioChar"/>
    <w:uiPriority w:val="99"/>
    <w:unhideWhenUsed/>
    <w:rsid w:val="008540A5"/>
  </w:style>
  <w:style w:type="character" w:customStyle="1" w:styleId="TextodecomentrioChar">
    <w:name w:val="Texto de comentário Char"/>
    <w:basedOn w:val="Fontepargpadro"/>
    <w:link w:val="Textodecomentrio"/>
    <w:uiPriority w:val="99"/>
    <w:rsid w:val="008540A5"/>
  </w:style>
  <w:style w:type="paragraph" w:styleId="Assuntodocomentrio">
    <w:name w:val="annotation subject"/>
    <w:basedOn w:val="Textodecomentrio"/>
    <w:next w:val="Textodecomentrio"/>
    <w:link w:val="AssuntodocomentrioChar"/>
    <w:uiPriority w:val="99"/>
    <w:semiHidden/>
    <w:unhideWhenUsed/>
    <w:rsid w:val="008540A5"/>
    <w:rPr>
      <w:b/>
      <w:bCs/>
    </w:rPr>
  </w:style>
  <w:style w:type="character" w:customStyle="1" w:styleId="AssuntodocomentrioChar">
    <w:name w:val="Assunto do comentário Char"/>
    <w:link w:val="Assuntodocomentrio"/>
    <w:uiPriority w:val="99"/>
    <w:semiHidden/>
    <w:rsid w:val="008540A5"/>
    <w:rPr>
      <w:b/>
      <w:bCs/>
    </w:rPr>
  </w:style>
  <w:style w:type="character" w:customStyle="1" w:styleId="CorpodetextoChar">
    <w:name w:val="Corpo de texto Char"/>
    <w:link w:val="Corpodetexto"/>
    <w:semiHidden/>
    <w:rsid w:val="00EC3E8B"/>
    <w:rPr>
      <w:rFonts w:ascii="Arial" w:hAnsi="Arial"/>
      <w:sz w:val="24"/>
    </w:rPr>
  </w:style>
  <w:style w:type="character" w:customStyle="1" w:styleId="Corpodetexto3Char">
    <w:name w:val="Corpo de texto 3 Char"/>
    <w:link w:val="Corpodetexto3"/>
    <w:semiHidden/>
    <w:rsid w:val="00EC3E8B"/>
    <w:rPr>
      <w:rFonts w:ascii="Arial" w:hAnsi="Arial" w:cs="Arial"/>
      <w:color w:val="000000"/>
      <w:sz w:val="24"/>
      <w:szCs w:val="24"/>
    </w:rPr>
  </w:style>
  <w:style w:type="character" w:customStyle="1" w:styleId="TextodenotaderodapChar">
    <w:name w:val="Texto de nota de rodapé Char"/>
    <w:basedOn w:val="Fontepargpadro"/>
    <w:link w:val="Textodenotaderodap"/>
    <w:uiPriority w:val="99"/>
    <w:semiHidden/>
    <w:rsid w:val="002A52E3"/>
  </w:style>
  <w:style w:type="paragraph" w:styleId="Reviso">
    <w:name w:val="Revision"/>
    <w:hidden/>
    <w:uiPriority w:val="99"/>
    <w:semiHidden/>
    <w:rsid w:val="00AF2BD9"/>
    <w:rPr>
      <w:lang w:eastAsia="pt-BR"/>
    </w:rPr>
  </w:style>
  <w:style w:type="character" w:customStyle="1" w:styleId="ui-provider">
    <w:name w:val="ui-provider"/>
    <w:basedOn w:val="Fontepargpadro"/>
    <w:rsid w:val="00E964C0"/>
  </w:style>
  <w:style w:type="paragraph" w:styleId="Cabealho">
    <w:name w:val="header"/>
    <w:basedOn w:val="Normal"/>
    <w:link w:val="CabealhoChar"/>
    <w:uiPriority w:val="99"/>
    <w:semiHidden/>
    <w:unhideWhenUsed/>
    <w:rsid w:val="00587B54"/>
    <w:pPr>
      <w:tabs>
        <w:tab w:val="center" w:pos="4680"/>
        <w:tab w:val="right" w:pos="9360"/>
      </w:tabs>
    </w:pPr>
  </w:style>
  <w:style w:type="character" w:customStyle="1" w:styleId="CabealhoChar">
    <w:name w:val="Cabeçalho Char"/>
    <w:basedOn w:val="Fontepargpadro"/>
    <w:link w:val="Cabealho"/>
    <w:uiPriority w:val="99"/>
    <w:semiHidden/>
    <w:rsid w:val="00587B54"/>
    <w:rPr>
      <w:lang w:eastAsia="pt-BR"/>
    </w:rPr>
  </w:style>
  <w:style w:type="character" w:styleId="MenoPendente">
    <w:name w:val="Unresolved Mention"/>
    <w:basedOn w:val="Fontepargpadro"/>
    <w:uiPriority w:val="99"/>
    <w:semiHidden/>
    <w:unhideWhenUsed/>
    <w:rsid w:val="003B30B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120">
      <w:bodyDiv w:val="1"/>
      <w:marLeft w:val="0"/>
      <w:marRight w:val="0"/>
      <w:marTop w:val="0"/>
      <w:marBottom w:val="0"/>
      <w:divBdr>
        <w:top w:val="none" w:sz="0" w:space="0" w:color="auto"/>
        <w:left w:val="none" w:sz="0" w:space="0" w:color="auto"/>
        <w:bottom w:val="none" w:sz="0" w:space="0" w:color="auto"/>
        <w:right w:val="none" w:sz="0" w:space="0" w:color="auto"/>
      </w:divBdr>
      <w:divsChild>
        <w:div w:id="1460878086">
          <w:marLeft w:val="0"/>
          <w:marRight w:val="0"/>
          <w:marTop w:val="0"/>
          <w:marBottom w:val="0"/>
          <w:divBdr>
            <w:top w:val="none" w:sz="0" w:space="0" w:color="auto"/>
            <w:left w:val="none" w:sz="0" w:space="0" w:color="auto"/>
            <w:bottom w:val="none" w:sz="0" w:space="0" w:color="auto"/>
            <w:right w:val="none" w:sz="0" w:space="0" w:color="auto"/>
          </w:divBdr>
          <w:divsChild>
            <w:div w:id="1439792082">
              <w:marLeft w:val="0"/>
              <w:marRight w:val="0"/>
              <w:marTop w:val="0"/>
              <w:marBottom w:val="0"/>
              <w:divBdr>
                <w:top w:val="none" w:sz="0" w:space="0" w:color="auto"/>
                <w:left w:val="none" w:sz="0" w:space="0" w:color="auto"/>
                <w:bottom w:val="none" w:sz="0" w:space="0" w:color="auto"/>
                <w:right w:val="none" w:sz="0" w:space="0" w:color="auto"/>
              </w:divBdr>
              <w:divsChild>
                <w:div w:id="1427120339">
                  <w:marLeft w:val="0"/>
                  <w:marRight w:val="0"/>
                  <w:marTop w:val="0"/>
                  <w:marBottom w:val="0"/>
                  <w:divBdr>
                    <w:top w:val="none" w:sz="0" w:space="0" w:color="auto"/>
                    <w:left w:val="none" w:sz="0" w:space="0" w:color="auto"/>
                    <w:bottom w:val="none" w:sz="0" w:space="0" w:color="auto"/>
                    <w:right w:val="none" w:sz="0" w:space="0" w:color="auto"/>
                  </w:divBdr>
                  <w:divsChild>
                    <w:div w:id="20021528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167089">
      <w:bodyDiv w:val="1"/>
      <w:marLeft w:val="0"/>
      <w:marRight w:val="0"/>
      <w:marTop w:val="0"/>
      <w:marBottom w:val="0"/>
      <w:divBdr>
        <w:top w:val="none" w:sz="0" w:space="0" w:color="auto"/>
        <w:left w:val="none" w:sz="0" w:space="0" w:color="auto"/>
        <w:bottom w:val="none" w:sz="0" w:space="0" w:color="auto"/>
        <w:right w:val="none" w:sz="0" w:space="0" w:color="auto"/>
      </w:divBdr>
      <w:divsChild>
        <w:div w:id="964039831">
          <w:marLeft w:val="0"/>
          <w:marRight w:val="0"/>
          <w:marTop w:val="0"/>
          <w:marBottom w:val="0"/>
          <w:divBdr>
            <w:top w:val="none" w:sz="0" w:space="0" w:color="auto"/>
            <w:left w:val="none" w:sz="0" w:space="0" w:color="auto"/>
            <w:bottom w:val="none" w:sz="0" w:space="0" w:color="auto"/>
            <w:right w:val="none" w:sz="0" w:space="0" w:color="auto"/>
          </w:divBdr>
          <w:divsChild>
            <w:div w:id="2077238796">
              <w:marLeft w:val="0"/>
              <w:marRight w:val="0"/>
              <w:marTop w:val="0"/>
              <w:marBottom w:val="0"/>
              <w:divBdr>
                <w:top w:val="none" w:sz="0" w:space="0" w:color="auto"/>
                <w:left w:val="none" w:sz="0" w:space="0" w:color="auto"/>
                <w:bottom w:val="none" w:sz="0" w:space="0" w:color="auto"/>
                <w:right w:val="none" w:sz="0" w:space="0" w:color="auto"/>
              </w:divBdr>
              <w:divsChild>
                <w:div w:id="1407340546">
                  <w:marLeft w:val="0"/>
                  <w:marRight w:val="0"/>
                  <w:marTop w:val="0"/>
                  <w:marBottom w:val="0"/>
                  <w:divBdr>
                    <w:top w:val="none" w:sz="0" w:space="0" w:color="auto"/>
                    <w:left w:val="none" w:sz="0" w:space="0" w:color="auto"/>
                    <w:bottom w:val="none" w:sz="0" w:space="0" w:color="auto"/>
                    <w:right w:val="none" w:sz="0" w:space="0" w:color="auto"/>
                  </w:divBdr>
                  <w:divsChild>
                    <w:div w:id="1696036557">
                      <w:marLeft w:val="0"/>
                      <w:marRight w:val="0"/>
                      <w:marTop w:val="0"/>
                      <w:marBottom w:val="0"/>
                      <w:divBdr>
                        <w:top w:val="none" w:sz="0" w:space="0" w:color="auto"/>
                        <w:left w:val="none" w:sz="0" w:space="0" w:color="auto"/>
                        <w:bottom w:val="none" w:sz="0" w:space="0" w:color="auto"/>
                        <w:right w:val="none" w:sz="0" w:space="0" w:color="auto"/>
                      </w:divBdr>
                      <w:divsChild>
                        <w:div w:id="2111390414">
                          <w:marLeft w:val="0"/>
                          <w:marRight w:val="0"/>
                          <w:marTop w:val="0"/>
                          <w:marBottom w:val="0"/>
                          <w:divBdr>
                            <w:top w:val="none" w:sz="0" w:space="0" w:color="auto"/>
                            <w:left w:val="none" w:sz="0" w:space="0" w:color="auto"/>
                            <w:bottom w:val="none" w:sz="0" w:space="0" w:color="auto"/>
                            <w:right w:val="none" w:sz="0" w:space="0" w:color="auto"/>
                          </w:divBdr>
                          <w:divsChild>
                            <w:div w:id="668949173">
                              <w:marLeft w:val="125"/>
                              <w:marRight w:val="200"/>
                              <w:marTop w:val="0"/>
                              <w:marBottom w:val="0"/>
                              <w:divBdr>
                                <w:top w:val="none" w:sz="0" w:space="0" w:color="auto"/>
                                <w:left w:val="none" w:sz="0" w:space="0" w:color="auto"/>
                                <w:bottom w:val="none" w:sz="0" w:space="0" w:color="auto"/>
                                <w:right w:val="none" w:sz="0" w:space="0" w:color="auto"/>
                              </w:divBdr>
                              <w:divsChild>
                                <w:div w:id="935215760">
                                  <w:marLeft w:val="0"/>
                                  <w:marRight w:val="0"/>
                                  <w:marTop w:val="363"/>
                                  <w:marBottom w:val="0"/>
                                  <w:divBdr>
                                    <w:top w:val="none" w:sz="0" w:space="0" w:color="auto"/>
                                    <w:left w:val="none" w:sz="0" w:space="0" w:color="auto"/>
                                    <w:bottom w:val="none" w:sz="0" w:space="0" w:color="auto"/>
                                    <w:right w:val="none" w:sz="0" w:space="0" w:color="auto"/>
                                  </w:divBdr>
                                  <w:divsChild>
                                    <w:div w:id="580605145">
                                      <w:marLeft w:val="0"/>
                                      <w:marRight w:val="0"/>
                                      <w:marTop w:val="0"/>
                                      <w:marBottom w:val="0"/>
                                      <w:divBdr>
                                        <w:top w:val="none" w:sz="0" w:space="0" w:color="auto"/>
                                        <w:left w:val="none" w:sz="0" w:space="0" w:color="auto"/>
                                        <w:bottom w:val="none" w:sz="0" w:space="0" w:color="auto"/>
                                        <w:right w:val="none" w:sz="0" w:space="0" w:color="auto"/>
                                      </w:divBdr>
                                      <w:divsChild>
                                        <w:div w:id="1694526209">
                                          <w:marLeft w:val="0"/>
                                          <w:marRight w:val="0"/>
                                          <w:marTop w:val="0"/>
                                          <w:marBottom w:val="0"/>
                                          <w:divBdr>
                                            <w:top w:val="none" w:sz="0" w:space="0" w:color="auto"/>
                                            <w:left w:val="none" w:sz="0" w:space="0" w:color="auto"/>
                                            <w:bottom w:val="none" w:sz="0" w:space="0" w:color="auto"/>
                                            <w:right w:val="none" w:sz="0" w:space="0" w:color="auto"/>
                                          </w:divBdr>
                                          <w:divsChild>
                                            <w:div w:id="855070775">
                                              <w:marLeft w:val="0"/>
                                              <w:marRight w:val="0"/>
                                              <w:marTop w:val="0"/>
                                              <w:marBottom w:val="0"/>
                                              <w:divBdr>
                                                <w:top w:val="none" w:sz="0" w:space="0" w:color="auto"/>
                                                <w:left w:val="none" w:sz="0" w:space="0" w:color="auto"/>
                                                <w:bottom w:val="none" w:sz="0" w:space="0" w:color="auto"/>
                                                <w:right w:val="none" w:sz="0" w:space="0" w:color="auto"/>
                                              </w:divBdr>
                                              <w:divsChild>
                                                <w:div w:id="1619219743">
                                                  <w:marLeft w:val="0"/>
                                                  <w:marRight w:val="0"/>
                                                  <w:marTop w:val="0"/>
                                                  <w:marBottom w:val="0"/>
                                                  <w:divBdr>
                                                    <w:top w:val="none" w:sz="0" w:space="0" w:color="auto"/>
                                                    <w:left w:val="none" w:sz="0" w:space="0" w:color="auto"/>
                                                    <w:bottom w:val="none" w:sz="0" w:space="0" w:color="auto"/>
                                                    <w:right w:val="none" w:sz="0" w:space="0" w:color="auto"/>
                                                  </w:divBdr>
                                                  <w:divsChild>
                                                    <w:div w:id="710888155">
                                                      <w:marLeft w:val="0"/>
                                                      <w:marRight w:val="275"/>
                                                      <w:marTop w:val="0"/>
                                                      <w:marBottom w:val="175"/>
                                                      <w:divBdr>
                                                        <w:top w:val="none" w:sz="0" w:space="0" w:color="auto"/>
                                                        <w:left w:val="none" w:sz="0" w:space="0" w:color="auto"/>
                                                        <w:bottom w:val="none" w:sz="0" w:space="0" w:color="auto"/>
                                                        <w:right w:val="none" w:sz="0" w:space="0" w:color="auto"/>
                                                      </w:divBdr>
                                                      <w:divsChild>
                                                        <w:div w:id="1706903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sChild>
    </w:div>
    <w:div w:id="137067644">
      <w:bodyDiv w:val="1"/>
      <w:marLeft w:val="0"/>
      <w:marRight w:val="0"/>
      <w:marTop w:val="0"/>
      <w:marBottom w:val="0"/>
      <w:divBdr>
        <w:top w:val="none" w:sz="0" w:space="0" w:color="auto"/>
        <w:left w:val="none" w:sz="0" w:space="0" w:color="auto"/>
        <w:bottom w:val="none" w:sz="0" w:space="0" w:color="auto"/>
        <w:right w:val="none" w:sz="0" w:space="0" w:color="auto"/>
      </w:divBdr>
      <w:divsChild>
        <w:div w:id="434400791">
          <w:marLeft w:val="0"/>
          <w:marRight w:val="0"/>
          <w:marTop w:val="0"/>
          <w:marBottom w:val="0"/>
          <w:divBdr>
            <w:top w:val="none" w:sz="0" w:space="0" w:color="auto"/>
            <w:left w:val="none" w:sz="0" w:space="0" w:color="auto"/>
            <w:bottom w:val="none" w:sz="0" w:space="0" w:color="auto"/>
            <w:right w:val="none" w:sz="0" w:space="0" w:color="auto"/>
          </w:divBdr>
          <w:divsChild>
            <w:div w:id="1560171977">
              <w:marLeft w:val="0"/>
              <w:marRight w:val="0"/>
              <w:marTop w:val="0"/>
              <w:marBottom w:val="0"/>
              <w:divBdr>
                <w:top w:val="none" w:sz="0" w:space="0" w:color="auto"/>
                <w:left w:val="none" w:sz="0" w:space="0" w:color="auto"/>
                <w:bottom w:val="none" w:sz="0" w:space="0" w:color="auto"/>
                <w:right w:val="none" w:sz="0" w:space="0" w:color="auto"/>
              </w:divBdr>
              <w:divsChild>
                <w:div w:id="1770082525">
                  <w:marLeft w:val="0"/>
                  <w:marRight w:val="0"/>
                  <w:marTop w:val="0"/>
                  <w:marBottom w:val="0"/>
                  <w:divBdr>
                    <w:top w:val="none" w:sz="0" w:space="0" w:color="auto"/>
                    <w:left w:val="none" w:sz="0" w:space="0" w:color="auto"/>
                    <w:bottom w:val="none" w:sz="0" w:space="0" w:color="auto"/>
                    <w:right w:val="none" w:sz="0" w:space="0" w:color="auto"/>
                  </w:divBdr>
                  <w:divsChild>
                    <w:div w:id="1321731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950994">
      <w:bodyDiv w:val="1"/>
      <w:marLeft w:val="0"/>
      <w:marRight w:val="0"/>
      <w:marTop w:val="0"/>
      <w:marBottom w:val="0"/>
      <w:divBdr>
        <w:top w:val="none" w:sz="0" w:space="0" w:color="auto"/>
        <w:left w:val="none" w:sz="0" w:space="0" w:color="auto"/>
        <w:bottom w:val="none" w:sz="0" w:space="0" w:color="auto"/>
        <w:right w:val="none" w:sz="0" w:space="0" w:color="auto"/>
      </w:divBdr>
      <w:divsChild>
        <w:div w:id="1596473385">
          <w:marLeft w:val="0"/>
          <w:marRight w:val="0"/>
          <w:marTop w:val="0"/>
          <w:marBottom w:val="0"/>
          <w:divBdr>
            <w:top w:val="none" w:sz="0" w:space="0" w:color="auto"/>
            <w:left w:val="none" w:sz="0" w:space="0" w:color="auto"/>
            <w:bottom w:val="none" w:sz="0" w:space="0" w:color="auto"/>
            <w:right w:val="none" w:sz="0" w:space="0" w:color="auto"/>
          </w:divBdr>
          <w:divsChild>
            <w:div w:id="1720278091">
              <w:marLeft w:val="0"/>
              <w:marRight w:val="0"/>
              <w:marTop w:val="0"/>
              <w:marBottom w:val="0"/>
              <w:divBdr>
                <w:top w:val="none" w:sz="0" w:space="0" w:color="auto"/>
                <w:left w:val="none" w:sz="0" w:space="0" w:color="auto"/>
                <w:bottom w:val="none" w:sz="0" w:space="0" w:color="auto"/>
                <w:right w:val="none" w:sz="0" w:space="0" w:color="auto"/>
              </w:divBdr>
              <w:divsChild>
                <w:div w:id="1904828595">
                  <w:marLeft w:val="0"/>
                  <w:marRight w:val="0"/>
                  <w:marTop w:val="0"/>
                  <w:marBottom w:val="0"/>
                  <w:divBdr>
                    <w:top w:val="none" w:sz="0" w:space="0" w:color="auto"/>
                    <w:left w:val="none" w:sz="0" w:space="0" w:color="auto"/>
                    <w:bottom w:val="none" w:sz="0" w:space="0" w:color="auto"/>
                    <w:right w:val="none" w:sz="0" w:space="0" w:color="auto"/>
                  </w:divBdr>
                  <w:divsChild>
                    <w:div w:id="1071973990">
                      <w:marLeft w:val="0"/>
                      <w:marRight w:val="0"/>
                      <w:marTop w:val="0"/>
                      <w:marBottom w:val="0"/>
                      <w:divBdr>
                        <w:top w:val="none" w:sz="0" w:space="0" w:color="auto"/>
                        <w:left w:val="none" w:sz="0" w:space="0" w:color="auto"/>
                        <w:bottom w:val="none" w:sz="0" w:space="0" w:color="auto"/>
                        <w:right w:val="none" w:sz="0" w:space="0" w:color="auto"/>
                      </w:divBdr>
                      <w:divsChild>
                        <w:div w:id="1142043003">
                          <w:marLeft w:val="0"/>
                          <w:marRight w:val="0"/>
                          <w:marTop w:val="0"/>
                          <w:marBottom w:val="0"/>
                          <w:divBdr>
                            <w:top w:val="none" w:sz="0" w:space="0" w:color="auto"/>
                            <w:left w:val="none" w:sz="0" w:space="0" w:color="auto"/>
                            <w:bottom w:val="none" w:sz="0" w:space="0" w:color="auto"/>
                            <w:right w:val="none" w:sz="0" w:space="0" w:color="auto"/>
                          </w:divBdr>
                          <w:divsChild>
                            <w:div w:id="925653387">
                              <w:marLeft w:val="125"/>
                              <w:marRight w:val="200"/>
                              <w:marTop w:val="0"/>
                              <w:marBottom w:val="0"/>
                              <w:divBdr>
                                <w:top w:val="none" w:sz="0" w:space="0" w:color="auto"/>
                                <w:left w:val="none" w:sz="0" w:space="0" w:color="auto"/>
                                <w:bottom w:val="none" w:sz="0" w:space="0" w:color="auto"/>
                                <w:right w:val="none" w:sz="0" w:space="0" w:color="auto"/>
                              </w:divBdr>
                              <w:divsChild>
                                <w:div w:id="1751806068">
                                  <w:marLeft w:val="0"/>
                                  <w:marRight w:val="0"/>
                                  <w:marTop w:val="363"/>
                                  <w:marBottom w:val="0"/>
                                  <w:divBdr>
                                    <w:top w:val="none" w:sz="0" w:space="0" w:color="auto"/>
                                    <w:left w:val="none" w:sz="0" w:space="0" w:color="auto"/>
                                    <w:bottom w:val="none" w:sz="0" w:space="0" w:color="auto"/>
                                    <w:right w:val="none" w:sz="0" w:space="0" w:color="auto"/>
                                  </w:divBdr>
                                  <w:divsChild>
                                    <w:div w:id="1991708849">
                                      <w:marLeft w:val="0"/>
                                      <w:marRight w:val="0"/>
                                      <w:marTop w:val="0"/>
                                      <w:marBottom w:val="0"/>
                                      <w:divBdr>
                                        <w:top w:val="none" w:sz="0" w:space="0" w:color="auto"/>
                                        <w:left w:val="none" w:sz="0" w:space="0" w:color="auto"/>
                                        <w:bottom w:val="none" w:sz="0" w:space="0" w:color="auto"/>
                                        <w:right w:val="none" w:sz="0" w:space="0" w:color="auto"/>
                                      </w:divBdr>
                                      <w:divsChild>
                                        <w:div w:id="1901211748">
                                          <w:marLeft w:val="0"/>
                                          <w:marRight w:val="0"/>
                                          <w:marTop w:val="0"/>
                                          <w:marBottom w:val="0"/>
                                          <w:divBdr>
                                            <w:top w:val="none" w:sz="0" w:space="0" w:color="auto"/>
                                            <w:left w:val="none" w:sz="0" w:space="0" w:color="auto"/>
                                            <w:bottom w:val="none" w:sz="0" w:space="0" w:color="auto"/>
                                            <w:right w:val="none" w:sz="0" w:space="0" w:color="auto"/>
                                          </w:divBdr>
                                          <w:divsChild>
                                            <w:div w:id="621472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229852637">
      <w:bodyDiv w:val="1"/>
      <w:marLeft w:val="0"/>
      <w:marRight w:val="0"/>
      <w:marTop w:val="0"/>
      <w:marBottom w:val="0"/>
      <w:divBdr>
        <w:top w:val="none" w:sz="0" w:space="0" w:color="auto"/>
        <w:left w:val="none" w:sz="0" w:space="0" w:color="auto"/>
        <w:bottom w:val="none" w:sz="0" w:space="0" w:color="auto"/>
        <w:right w:val="none" w:sz="0" w:space="0" w:color="auto"/>
      </w:divBdr>
      <w:divsChild>
        <w:div w:id="898203063">
          <w:marLeft w:val="0"/>
          <w:marRight w:val="0"/>
          <w:marTop w:val="0"/>
          <w:marBottom w:val="0"/>
          <w:divBdr>
            <w:top w:val="none" w:sz="0" w:space="0" w:color="auto"/>
            <w:left w:val="none" w:sz="0" w:space="0" w:color="auto"/>
            <w:bottom w:val="none" w:sz="0" w:space="0" w:color="auto"/>
            <w:right w:val="none" w:sz="0" w:space="0" w:color="auto"/>
          </w:divBdr>
        </w:div>
      </w:divsChild>
    </w:div>
    <w:div w:id="237831143">
      <w:bodyDiv w:val="1"/>
      <w:marLeft w:val="0"/>
      <w:marRight w:val="0"/>
      <w:marTop w:val="0"/>
      <w:marBottom w:val="0"/>
      <w:divBdr>
        <w:top w:val="none" w:sz="0" w:space="0" w:color="auto"/>
        <w:left w:val="none" w:sz="0" w:space="0" w:color="auto"/>
        <w:bottom w:val="none" w:sz="0" w:space="0" w:color="auto"/>
        <w:right w:val="none" w:sz="0" w:space="0" w:color="auto"/>
      </w:divBdr>
    </w:div>
    <w:div w:id="266278803">
      <w:bodyDiv w:val="1"/>
      <w:marLeft w:val="0"/>
      <w:marRight w:val="0"/>
      <w:marTop w:val="0"/>
      <w:marBottom w:val="0"/>
      <w:divBdr>
        <w:top w:val="none" w:sz="0" w:space="0" w:color="auto"/>
        <w:left w:val="none" w:sz="0" w:space="0" w:color="auto"/>
        <w:bottom w:val="none" w:sz="0" w:space="0" w:color="auto"/>
        <w:right w:val="none" w:sz="0" w:space="0" w:color="auto"/>
      </w:divBdr>
      <w:divsChild>
        <w:div w:id="902445934">
          <w:marLeft w:val="0"/>
          <w:marRight w:val="0"/>
          <w:marTop w:val="0"/>
          <w:marBottom w:val="0"/>
          <w:divBdr>
            <w:top w:val="none" w:sz="0" w:space="0" w:color="auto"/>
            <w:left w:val="none" w:sz="0" w:space="0" w:color="auto"/>
            <w:bottom w:val="none" w:sz="0" w:space="0" w:color="auto"/>
            <w:right w:val="none" w:sz="0" w:space="0" w:color="auto"/>
          </w:divBdr>
          <w:divsChild>
            <w:div w:id="412050577">
              <w:marLeft w:val="0"/>
              <w:marRight w:val="0"/>
              <w:marTop w:val="0"/>
              <w:marBottom w:val="0"/>
              <w:divBdr>
                <w:top w:val="none" w:sz="0" w:space="0" w:color="auto"/>
                <w:left w:val="none" w:sz="0" w:space="0" w:color="auto"/>
                <w:bottom w:val="none" w:sz="0" w:space="0" w:color="auto"/>
                <w:right w:val="none" w:sz="0" w:space="0" w:color="auto"/>
              </w:divBdr>
              <w:divsChild>
                <w:div w:id="1026293877">
                  <w:marLeft w:val="0"/>
                  <w:marRight w:val="0"/>
                  <w:marTop w:val="0"/>
                  <w:marBottom w:val="0"/>
                  <w:divBdr>
                    <w:top w:val="none" w:sz="0" w:space="0" w:color="auto"/>
                    <w:left w:val="none" w:sz="0" w:space="0" w:color="auto"/>
                    <w:bottom w:val="none" w:sz="0" w:space="0" w:color="auto"/>
                    <w:right w:val="none" w:sz="0" w:space="0" w:color="auto"/>
                  </w:divBdr>
                  <w:divsChild>
                    <w:div w:id="14195217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40553082">
      <w:bodyDiv w:val="1"/>
      <w:marLeft w:val="0"/>
      <w:marRight w:val="0"/>
      <w:marTop w:val="0"/>
      <w:marBottom w:val="0"/>
      <w:divBdr>
        <w:top w:val="none" w:sz="0" w:space="0" w:color="auto"/>
        <w:left w:val="none" w:sz="0" w:space="0" w:color="auto"/>
        <w:bottom w:val="none" w:sz="0" w:space="0" w:color="auto"/>
        <w:right w:val="none" w:sz="0" w:space="0" w:color="auto"/>
      </w:divBdr>
    </w:div>
    <w:div w:id="389692465">
      <w:bodyDiv w:val="1"/>
      <w:marLeft w:val="0"/>
      <w:marRight w:val="0"/>
      <w:marTop w:val="0"/>
      <w:marBottom w:val="17"/>
      <w:divBdr>
        <w:top w:val="none" w:sz="0" w:space="0" w:color="auto"/>
        <w:left w:val="none" w:sz="0" w:space="0" w:color="auto"/>
        <w:bottom w:val="none" w:sz="0" w:space="0" w:color="auto"/>
        <w:right w:val="none" w:sz="0" w:space="0" w:color="auto"/>
      </w:divBdr>
      <w:divsChild>
        <w:div w:id="1778213669">
          <w:marLeft w:val="0"/>
          <w:marRight w:val="0"/>
          <w:marTop w:val="0"/>
          <w:marBottom w:val="0"/>
          <w:divBdr>
            <w:top w:val="none" w:sz="0" w:space="0" w:color="auto"/>
            <w:left w:val="none" w:sz="0" w:space="0" w:color="auto"/>
            <w:bottom w:val="none" w:sz="0" w:space="0" w:color="auto"/>
            <w:right w:val="none" w:sz="0" w:space="0" w:color="auto"/>
          </w:divBdr>
          <w:divsChild>
            <w:div w:id="1798598546">
              <w:marLeft w:val="0"/>
              <w:marRight w:val="0"/>
              <w:marTop w:val="0"/>
              <w:marBottom w:val="0"/>
              <w:divBdr>
                <w:top w:val="none" w:sz="0" w:space="0" w:color="auto"/>
                <w:left w:val="none" w:sz="0" w:space="0" w:color="auto"/>
                <w:bottom w:val="none" w:sz="0" w:space="0" w:color="auto"/>
                <w:right w:val="none" w:sz="0" w:space="0" w:color="auto"/>
              </w:divBdr>
              <w:divsChild>
                <w:div w:id="76900963">
                  <w:blockQuote w:val="1"/>
                  <w:marLeft w:val="720"/>
                  <w:marRight w:val="720"/>
                  <w:marTop w:val="100"/>
                  <w:marBottom w:val="100"/>
                  <w:divBdr>
                    <w:top w:val="none" w:sz="0" w:space="0" w:color="auto"/>
                    <w:left w:val="none" w:sz="0" w:space="0" w:color="auto"/>
                    <w:bottom w:val="none" w:sz="0" w:space="0" w:color="auto"/>
                    <w:right w:val="none" w:sz="0" w:space="0" w:color="auto"/>
                  </w:divBdr>
                </w:div>
                <w:div w:id="1911305176">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399987818">
      <w:bodyDiv w:val="1"/>
      <w:marLeft w:val="0"/>
      <w:marRight w:val="0"/>
      <w:marTop w:val="0"/>
      <w:marBottom w:val="0"/>
      <w:divBdr>
        <w:top w:val="none" w:sz="0" w:space="0" w:color="auto"/>
        <w:left w:val="none" w:sz="0" w:space="0" w:color="auto"/>
        <w:bottom w:val="none" w:sz="0" w:space="0" w:color="auto"/>
        <w:right w:val="none" w:sz="0" w:space="0" w:color="auto"/>
      </w:divBdr>
      <w:divsChild>
        <w:div w:id="1162620418">
          <w:marLeft w:val="0"/>
          <w:marRight w:val="0"/>
          <w:marTop w:val="0"/>
          <w:marBottom w:val="0"/>
          <w:divBdr>
            <w:top w:val="none" w:sz="0" w:space="0" w:color="auto"/>
            <w:left w:val="none" w:sz="0" w:space="0" w:color="auto"/>
            <w:bottom w:val="none" w:sz="0" w:space="0" w:color="auto"/>
            <w:right w:val="none" w:sz="0" w:space="0" w:color="auto"/>
          </w:divBdr>
          <w:divsChild>
            <w:div w:id="1651323395">
              <w:marLeft w:val="0"/>
              <w:marRight w:val="0"/>
              <w:marTop w:val="100"/>
              <w:marBottom w:val="100"/>
              <w:divBdr>
                <w:top w:val="none" w:sz="0" w:space="0" w:color="auto"/>
                <w:left w:val="none" w:sz="0" w:space="0" w:color="auto"/>
                <w:bottom w:val="none" w:sz="0" w:space="0" w:color="auto"/>
                <w:right w:val="none" w:sz="0" w:space="0" w:color="auto"/>
              </w:divBdr>
              <w:divsChild>
                <w:div w:id="2036805734">
                  <w:marLeft w:val="0"/>
                  <w:marRight w:val="0"/>
                  <w:marTop w:val="0"/>
                  <w:marBottom w:val="0"/>
                  <w:divBdr>
                    <w:top w:val="none" w:sz="0" w:space="0" w:color="auto"/>
                    <w:left w:val="none" w:sz="0" w:space="0" w:color="auto"/>
                    <w:bottom w:val="none" w:sz="0" w:space="0" w:color="auto"/>
                    <w:right w:val="none" w:sz="0" w:space="0" w:color="auto"/>
                  </w:divBdr>
                  <w:divsChild>
                    <w:div w:id="1843468213">
                      <w:marLeft w:val="0"/>
                      <w:marRight w:val="335"/>
                      <w:marTop w:val="502"/>
                      <w:marBottom w:val="0"/>
                      <w:divBdr>
                        <w:top w:val="none" w:sz="0" w:space="0" w:color="auto"/>
                        <w:left w:val="none" w:sz="0" w:space="0" w:color="auto"/>
                        <w:bottom w:val="none" w:sz="0" w:space="0" w:color="auto"/>
                        <w:right w:val="none" w:sz="0" w:space="0" w:color="auto"/>
                      </w:divBdr>
                      <w:divsChild>
                        <w:div w:id="1272277766">
                          <w:marLeft w:val="0"/>
                          <w:marRight w:val="0"/>
                          <w:marTop w:val="0"/>
                          <w:marBottom w:val="0"/>
                          <w:divBdr>
                            <w:top w:val="none" w:sz="0" w:space="0" w:color="auto"/>
                            <w:left w:val="none" w:sz="0" w:space="0" w:color="auto"/>
                            <w:bottom w:val="none" w:sz="0" w:space="0" w:color="auto"/>
                            <w:right w:val="none" w:sz="0" w:space="0" w:color="auto"/>
                          </w:divBdr>
                          <w:divsChild>
                            <w:div w:id="1932690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15244394">
      <w:bodyDiv w:val="1"/>
      <w:marLeft w:val="0"/>
      <w:marRight w:val="0"/>
      <w:marTop w:val="0"/>
      <w:marBottom w:val="0"/>
      <w:divBdr>
        <w:top w:val="none" w:sz="0" w:space="0" w:color="auto"/>
        <w:left w:val="none" w:sz="0" w:space="0" w:color="auto"/>
        <w:bottom w:val="none" w:sz="0" w:space="0" w:color="auto"/>
        <w:right w:val="none" w:sz="0" w:space="0" w:color="auto"/>
      </w:divBdr>
      <w:divsChild>
        <w:div w:id="1209416071">
          <w:marLeft w:val="0"/>
          <w:marRight w:val="0"/>
          <w:marTop w:val="0"/>
          <w:marBottom w:val="0"/>
          <w:divBdr>
            <w:top w:val="none" w:sz="0" w:space="0" w:color="auto"/>
            <w:left w:val="none" w:sz="0" w:space="0" w:color="auto"/>
            <w:bottom w:val="none" w:sz="0" w:space="0" w:color="auto"/>
            <w:right w:val="none" w:sz="0" w:space="0" w:color="auto"/>
          </w:divBdr>
          <w:divsChild>
            <w:div w:id="1851067411">
              <w:marLeft w:val="0"/>
              <w:marRight w:val="0"/>
              <w:marTop w:val="0"/>
              <w:marBottom w:val="0"/>
              <w:divBdr>
                <w:top w:val="none" w:sz="0" w:space="0" w:color="auto"/>
                <w:left w:val="none" w:sz="0" w:space="0" w:color="auto"/>
                <w:bottom w:val="none" w:sz="0" w:space="0" w:color="auto"/>
                <w:right w:val="none" w:sz="0" w:space="0" w:color="auto"/>
              </w:divBdr>
              <w:divsChild>
                <w:div w:id="1684435659">
                  <w:marLeft w:val="0"/>
                  <w:marRight w:val="0"/>
                  <w:marTop w:val="0"/>
                  <w:marBottom w:val="0"/>
                  <w:divBdr>
                    <w:top w:val="none" w:sz="0" w:space="0" w:color="auto"/>
                    <w:left w:val="none" w:sz="0" w:space="0" w:color="auto"/>
                    <w:bottom w:val="none" w:sz="0" w:space="0" w:color="auto"/>
                    <w:right w:val="none" w:sz="0" w:space="0" w:color="auto"/>
                  </w:divBdr>
                  <w:divsChild>
                    <w:div w:id="794531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0915899">
      <w:bodyDiv w:val="1"/>
      <w:marLeft w:val="0"/>
      <w:marRight w:val="0"/>
      <w:marTop w:val="0"/>
      <w:marBottom w:val="0"/>
      <w:divBdr>
        <w:top w:val="none" w:sz="0" w:space="0" w:color="auto"/>
        <w:left w:val="none" w:sz="0" w:space="0" w:color="auto"/>
        <w:bottom w:val="none" w:sz="0" w:space="0" w:color="auto"/>
        <w:right w:val="none" w:sz="0" w:space="0" w:color="auto"/>
      </w:divBdr>
    </w:div>
    <w:div w:id="572469958">
      <w:bodyDiv w:val="1"/>
      <w:marLeft w:val="0"/>
      <w:marRight w:val="0"/>
      <w:marTop w:val="0"/>
      <w:marBottom w:val="0"/>
      <w:divBdr>
        <w:top w:val="none" w:sz="0" w:space="0" w:color="auto"/>
        <w:left w:val="none" w:sz="0" w:space="0" w:color="auto"/>
        <w:bottom w:val="none" w:sz="0" w:space="0" w:color="auto"/>
        <w:right w:val="none" w:sz="0" w:space="0" w:color="auto"/>
      </w:divBdr>
    </w:div>
    <w:div w:id="582839167">
      <w:bodyDiv w:val="1"/>
      <w:marLeft w:val="0"/>
      <w:marRight w:val="0"/>
      <w:marTop w:val="0"/>
      <w:marBottom w:val="17"/>
      <w:divBdr>
        <w:top w:val="none" w:sz="0" w:space="0" w:color="auto"/>
        <w:left w:val="none" w:sz="0" w:space="0" w:color="auto"/>
        <w:bottom w:val="none" w:sz="0" w:space="0" w:color="auto"/>
        <w:right w:val="none" w:sz="0" w:space="0" w:color="auto"/>
      </w:divBdr>
      <w:divsChild>
        <w:div w:id="2011982463">
          <w:marLeft w:val="0"/>
          <w:marRight w:val="0"/>
          <w:marTop w:val="0"/>
          <w:marBottom w:val="0"/>
          <w:divBdr>
            <w:top w:val="none" w:sz="0" w:space="0" w:color="auto"/>
            <w:left w:val="none" w:sz="0" w:space="0" w:color="auto"/>
            <w:bottom w:val="none" w:sz="0" w:space="0" w:color="auto"/>
            <w:right w:val="none" w:sz="0" w:space="0" w:color="auto"/>
          </w:divBdr>
          <w:divsChild>
            <w:div w:id="1916042732">
              <w:marLeft w:val="0"/>
              <w:marRight w:val="0"/>
              <w:marTop w:val="0"/>
              <w:marBottom w:val="0"/>
              <w:divBdr>
                <w:top w:val="none" w:sz="0" w:space="0" w:color="auto"/>
                <w:left w:val="none" w:sz="0" w:space="0" w:color="auto"/>
                <w:bottom w:val="none" w:sz="0" w:space="0" w:color="auto"/>
                <w:right w:val="none" w:sz="0" w:space="0" w:color="auto"/>
              </w:divBdr>
              <w:divsChild>
                <w:div w:id="1254976592">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sChild>
    </w:div>
    <w:div w:id="586697316">
      <w:bodyDiv w:val="1"/>
      <w:marLeft w:val="0"/>
      <w:marRight w:val="0"/>
      <w:marTop w:val="0"/>
      <w:marBottom w:val="0"/>
      <w:divBdr>
        <w:top w:val="none" w:sz="0" w:space="0" w:color="auto"/>
        <w:left w:val="none" w:sz="0" w:space="0" w:color="auto"/>
        <w:bottom w:val="none" w:sz="0" w:space="0" w:color="auto"/>
        <w:right w:val="none" w:sz="0" w:space="0" w:color="auto"/>
      </w:divBdr>
      <w:divsChild>
        <w:div w:id="2022275041">
          <w:marLeft w:val="0"/>
          <w:marRight w:val="0"/>
          <w:marTop w:val="0"/>
          <w:marBottom w:val="0"/>
          <w:divBdr>
            <w:top w:val="none" w:sz="0" w:space="0" w:color="auto"/>
            <w:left w:val="none" w:sz="0" w:space="0" w:color="auto"/>
            <w:bottom w:val="none" w:sz="0" w:space="0" w:color="auto"/>
            <w:right w:val="none" w:sz="0" w:space="0" w:color="auto"/>
          </w:divBdr>
          <w:divsChild>
            <w:div w:id="186871952">
              <w:marLeft w:val="0"/>
              <w:marRight w:val="0"/>
              <w:marTop w:val="0"/>
              <w:marBottom w:val="0"/>
              <w:divBdr>
                <w:top w:val="none" w:sz="0" w:space="0" w:color="auto"/>
                <w:left w:val="none" w:sz="0" w:space="0" w:color="auto"/>
                <w:bottom w:val="none" w:sz="0" w:space="0" w:color="auto"/>
                <w:right w:val="none" w:sz="0" w:space="0" w:color="auto"/>
              </w:divBdr>
              <w:divsChild>
                <w:div w:id="13448233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600063665">
      <w:bodyDiv w:val="1"/>
      <w:marLeft w:val="0"/>
      <w:marRight w:val="0"/>
      <w:marTop w:val="0"/>
      <w:marBottom w:val="0"/>
      <w:divBdr>
        <w:top w:val="none" w:sz="0" w:space="0" w:color="auto"/>
        <w:left w:val="none" w:sz="0" w:space="0" w:color="auto"/>
        <w:bottom w:val="none" w:sz="0" w:space="0" w:color="auto"/>
        <w:right w:val="none" w:sz="0" w:space="0" w:color="auto"/>
      </w:divBdr>
    </w:div>
    <w:div w:id="685711626">
      <w:bodyDiv w:val="1"/>
      <w:marLeft w:val="0"/>
      <w:marRight w:val="0"/>
      <w:marTop w:val="0"/>
      <w:marBottom w:val="0"/>
      <w:divBdr>
        <w:top w:val="none" w:sz="0" w:space="0" w:color="auto"/>
        <w:left w:val="none" w:sz="0" w:space="0" w:color="auto"/>
        <w:bottom w:val="none" w:sz="0" w:space="0" w:color="auto"/>
        <w:right w:val="none" w:sz="0" w:space="0" w:color="auto"/>
      </w:divBdr>
    </w:div>
    <w:div w:id="758406169">
      <w:bodyDiv w:val="1"/>
      <w:marLeft w:val="0"/>
      <w:marRight w:val="0"/>
      <w:marTop w:val="0"/>
      <w:marBottom w:val="0"/>
      <w:divBdr>
        <w:top w:val="none" w:sz="0" w:space="0" w:color="auto"/>
        <w:left w:val="none" w:sz="0" w:space="0" w:color="auto"/>
        <w:bottom w:val="none" w:sz="0" w:space="0" w:color="auto"/>
        <w:right w:val="none" w:sz="0" w:space="0" w:color="auto"/>
      </w:divBdr>
    </w:div>
    <w:div w:id="805507857">
      <w:bodyDiv w:val="1"/>
      <w:marLeft w:val="0"/>
      <w:marRight w:val="0"/>
      <w:marTop w:val="0"/>
      <w:marBottom w:val="0"/>
      <w:divBdr>
        <w:top w:val="none" w:sz="0" w:space="0" w:color="auto"/>
        <w:left w:val="none" w:sz="0" w:space="0" w:color="auto"/>
        <w:bottom w:val="none" w:sz="0" w:space="0" w:color="auto"/>
        <w:right w:val="none" w:sz="0" w:space="0" w:color="auto"/>
      </w:divBdr>
      <w:divsChild>
        <w:div w:id="1733039230">
          <w:marLeft w:val="0"/>
          <w:marRight w:val="0"/>
          <w:marTop w:val="0"/>
          <w:marBottom w:val="0"/>
          <w:divBdr>
            <w:top w:val="none" w:sz="0" w:space="0" w:color="auto"/>
            <w:left w:val="none" w:sz="0" w:space="0" w:color="auto"/>
            <w:bottom w:val="none" w:sz="0" w:space="0" w:color="auto"/>
            <w:right w:val="none" w:sz="0" w:space="0" w:color="auto"/>
          </w:divBdr>
          <w:divsChild>
            <w:div w:id="1680736769">
              <w:marLeft w:val="0"/>
              <w:marRight w:val="0"/>
              <w:marTop w:val="100"/>
              <w:marBottom w:val="100"/>
              <w:divBdr>
                <w:top w:val="none" w:sz="0" w:space="0" w:color="auto"/>
                <w:left w:val="none" w:sz="0" w:space="0" w:color="auto"/>
                <w:bottom w:val="none" w:sz="0" w:space="0" w:color="auto"/>
                <w:right w:val="none" w:sz="0" w:space="0" w:color="auto"/>
              </w:divBdr>
              <w:divsChild>
                <w:div w:id="1565261906">
                  <w:marLeft w:val="0"/>
                  <w:marRight w:val="0"/>
                  <w:marTop w:val="0"/>
                  <w:marBottom w:val="0"/>
                  <w:divBdr>
                    <w:top w:val="none" w:sz="0" w:space="0" w:color="auto"/>
                    <w:left w:val="none" w:sz="0" w:space="0" w:color="auto"/>
                    <w:bottom w:val="none" w:sz="0" w:space="0" w:color="auto"/>
                    <w:right w:val="none" w:sz="0" w:space="0" w:color="auto"/>
                  </w:divBdr>
                  <w:divsChild>
                    <w:div w:id="1822428313">
                      <w:marLeft w:val="0"/>
                      <w:marRight w:val="-6000"/>
                      <w:marTop w:val="0"/>
                      <w:marBottom w:val="0"/>
                      <w:divBdr>
                        <w:top w:val="none" w:sz="0" w:space="0" w:color="auto"/>
                        <w:left w:val="none" w:sz="0" w:space="0" w:color="auto"/>
                        <w:bottom w:val="none" w:sz="0" w:space="0" w:color="auto"/>
                        <w:right w:val="none" w:sz="0" w:space="0" w:color="auto"/>
                      </w:divBdr>
                      <w:divsChild>
                        <w:div w:id="1466700857">
                          <w:marLeft w:val="0"/>
                          <w:marRight w:val="5778"/>
                          <w:marTop w:val="0"/>
                          <w:marBottom w:val="0"/>
                          <w:divBdr>
                            <w:top w:val="none" w:sz="0" w:space="0" w:color="auto"/>
                            <w:left w:val="none" w:sz="0" w:space="0" w:color="auto"/>
                            <w:bottom w:val="none" w:sz="0" w:space="0" w:color="auto"/>
                            <w:right w:val="none" w:sz="0" w:space="0" w:color="auto"/>
                          </w:divBdr>
                          <w:divsChild>
                            <w:div w:id="1531797923">
                              <w:marLeft w:val="0"/>
                              <w:marRight w:val="0"/>
                              <w:marTop w:val="0"/>
                              <w:marBottom w:val="0"/>
                              <w:divBdr>
                                <w:top w:val="none" w:sz="0" w:space="0" w:color="auto"/>
                                <w:left w:val="none" w:sz="0" w:space="0" w:color="auto"/>
                                <w:bottom w:val="none" w:sz="0" w:space="0" w:color="auto"/>
                                <w:right w:val="none" w:sz="0" w:space="0" w:color="auto"/>
                              </w:divBdr>
                              <w:divsChild>
                                <w:div w:id="364720794">
                                  <w:marLeft w:val="0"/>
                                  <w:marRight w:val="0"/>
                                  <w:marTop w:val="0"/>
                                  <w:marBottom w:val="0"/>
                                  <w:divBdr>
                                    <w:top w:val="none" w:sz="0" w:space="0" w:color="auto"/>
                                    <w:left w:val="none" w:sz="0" w:space="0" w:color="auto"/>
                                    <w:bottom w:val="none" w:sz="0" w:space="0" w:color="auto"/>
                                    <w:right w:val="none" w:sz="0" w:space="0" w:color="auto"/>
                                  </w:divBdr>
                                  <w:divsChild>
                                    <w:div w:id="1957826415">
                                      <w:marLeft w:val="0"/>
                                      <w:marRight w:val="0"/>
                                      <w:marTop w:val="0"/>
                                      <w:marBottom w:val="388"/>
                                      <w:divBdr>
                                        <w:top w:val="none" w:sz="0" w:space="0" w:color="auto"/>
                                        <w:left w:val="none" w:sz="0" w:space="0" w:color="auto"/>
                                        <w:bottom w:val="none" w:sz="0" w:space="0" w:color="auto"/>
                                        <w:right w:val="none" w:sz="0" w:space="0" w:color="auto"/>
                                      </w:divBdr>
                                      <w:divsChild>
                                        <w:div w:id="18658226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31991252">
      <w:bodyDiv w:val="1"/>
      <w:marLeft w:val="0"/>
      <w:marRight w:val="0"/>
      <w:marTop w:val="0"/>
      <w:marBottom w:val="0"/>
      <w:divBdr>
        <w:top w:val="none" w:sz="0" w:space="0" w:color="auto"/>
        <w:left w:val="none" w:sz="0" w:space="0" w:color="auto"/>
        <w:bottom w:val="none" w:sz="0" w:space="0" w:color="auto"/>
        <w:right w:val="none" w:sz="0" w:space="0" w:color="auto"/>
      </w:divBdr>
      <w:divsChild>
        <w:div w:id="1771050364">
          <w:marLeft w:val="0"/>
          <w:marRight w:val="0"/>
          <w:marTop w:val="0"/>
          <w:marBottom w:val="0"/>
          <w:divBdr>
            <w:top w:val="none" w:sz="0" w:space="0" w:color="auto"/>
            <w:left w:val="none" w:sz="0" w:space="0" w:color="auto"/>
            <w:bottom w:val="none" w:sz="0" w:space="0" w:color="auto"/>
            <w:right w:val="none" w:sz="0" w:space="0" w:color="auto"/>
          </w:divBdr>
          <w:divsChild>
            <w:div w:id="451091000">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901060041">
      <w:bodyDiv w:val="1"/>
      <w:marLeft w:val="0"/>
      <w:marRight w:val="0"/>
      <w:marTop w:val="0"/>
      <w:marBottom w:val="0"/>
      <w:divBdr>
        <w:top w:val="none" w:sz="0" w:space="0" w:color="auto"/>
        <w:left w:val="none" w:sz="0" w:space="0" w:color="auto"/>
        <w:bottom w:val="none" w:sz="0" w:space="0" w:color="auto"/>
        <w:right w:val="none" w:sz="0" w:space="0" w:color="auto"/>
      </w:divBdr>
      <w:divsChild>
        <w:div w:id="1203447158">
          <w:marLeft w:val="0"/>
          <w:marRight w:val="0"/>
          <w:marTop w:val="0"/>
          <w:marBottom w:val="0"/>
          <w:divBdr>
            <w:top w:val="none" w:sz="0" w:space="0" w:color="auto"/>
            <w:left w:val="none" w:sz="0" w:space="0" w:color="auto"/>
            <w:bottom w:val="none" w:sz="0" w:space="0" w:color="auto"/>
            <w:right w:val="none" w:sz="0" w:space="0" w:color="auto"/>
          </w:divBdr>
        </w:div>
      </w:divsChild>
    </w:div>
    <w:div w:id="924535922">
      <w:bodyDiv w:val="1"/>
      <w:marLeft w:val="0"/>
      <w:marRight w:val="0"/>
      <w:marTop w:val="0"/>
      <w:marBottom w:val="0"/>
      <w:divBdr>
        <w:top w:val="none" w:sz="0" w:space="0" w:color="auto"/>
        <w:left w:val="none" w:sz="0" w:space="0" w:color="auto"/>
        <w:bottom w:val="none" w:sz="0" w:space="0" w:color="auto"/>
        <w:right w:val="none" w:sz="0" w:space="0" w:color="auto"/>
      </w:divBdr>
    </w:div>
    <w:div w:id="946424682">
      <w:bodyDiv w:val="1"/>
      <w:marLeft w:val="0"/>
      <w:marRight w:val="0"/>
      <w:marTop w:val="0"/>
      <w:marBottom w:val="0"/>
      <w:divBdr>
        <w:top w:val="none" w:sz="0" w:space="0" w:color="auto"/>
        <w:left w:val="none" w:sz="0" w:space="0" w:color="auto"/>
        <w:bottom w:val="none" w:sz="0" w:space="0" w:color="auto"/>
        <w:right w:val="none" w:sz="0" w:space="0" w:color="auto"/>
      </w:divBdr>
      <w:divsChild>
        <w:div w:id="175120528">
          <w:marLeft w:val="0"/>
          <w:marRight w:val="0"/>
          <w:marTop w:val="0"/>
          <w:marBottom w:val="0"/>
          <w:divBdr>
            <w:top w:val="none" w:sz="0" w:space="0" w:color="auto"/>
            <w:left w:val="none" w:sz="0" w:space="0" w:color="auto"/>
            <w:bottom w:val="none" w:sz="0" w:space="0" w:color="auto"/>
            <w:right w:val="none" w:sz="0" w:space="0" w:color="auto"/>
          </w:divBdr>
          <w:divsChild>
            <w:div w:id="996298548">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990519769">
      <w:bodyDiv w:val="1"/>
      <w:marLeft w:val="0"/>
      <w:marRight w:val="0"/>
      <w:marTop w:val="0"/>
      <w:marBottom w:val="0"/>
      <w:divBdr>
        <w:top w:val="none" w:sz="0" w:space="0" w:color="auto"/>
        <w:left w:val="none" w:sz="0" w:space="0" w:color="auto"/>
        <w:bottom w:val="none" w:sz="0" w:space="0" w:color="auto"/>
        <w:right w:val="none" w:sz="0" w:space="0" w:color="auto"/>
      </w:divBdr>
      <w:divsChild>
        <w:div w:id="594096483">
          <w:marLeft w:val="0"/>
          <w:marRight w:val="0"/>
          <w:marTop w:val="0"/>
          <w:marBottom w:val="0"/>
          <w:divBdr>
            <w:top w:val="none" w:sz="0" w:space="0" w:color="auto"/>
            <w:left w:val="none" w:sz="0" w:space="0" w:color="auto"/>
            <w:bottom w:val="none" w:sz="0" w:space="0" w:color="auto"/>
            <w:right w:val="none" w:sz="0" w:space="0" w:color="auto"/>
          </w:divBdr>
          <w:divsChild>
            <w:div w:id="1961644699">
              <w:marLeft w:val="0"/>
              <w:marRight w:val="0"/>
              <w:marTop w:val="0"/>
              <w:marBottom w:val="0"/>
              <w:divBdr>
                <w:top w:val="none" w:sz="0" w:space="0" w:color="auto"/>
                <w:left w:val="none" w:sz="0" w:space="0" w:color="auto"/>
                <w:bottom w:val="none" w:sz="0" w:space="0" w:color="auto"/>
                <w:right w:val="none" w:sz="0" w:space="0" w:color="auto"/>
              </w:divBdr>
              <w:divsChild>
                <w:div w:id="49691779">
                  <w:marLeft w:val="0"/>
                  <w:marRight w:val="125"/>
                  <w:marTop w:val="0"/>
                  <w:marBottom w:val="150"/>
                  <w:divBdr>
                    <w:top w:val="none" w:sz="0" w:space="0" w:color="auto"/>
                    <w:left w:val="none" w:sz="0" w:space="0" w:color="auto"/>
                    <w:bottom w:val="none" w:sz="0" w:space="0" w:color="auto"/>
                    <w:right w:val="none" w:sz="0" w:space="0" w:color="auto"/>
                  </w:divBdr>
                  <w:divsChild>
                    <w:div w:id="622536743">
                      <w:marLeft w:val="0"/>
                      <w:marRight w:val="0"/>
                      <w:marTop w:val="0"/>
                      <w:marBottom w:val="0"/>
                      <w:divBdr>
                        <w:top w:val="none" w:sz="0" w:space="0" w:color="auto"/>
                        <w:left w:val="none" w:sz="0" w:space="0" w:color="auto"/>
                        <w:bottom w:val="none" w:sz="0" w:space="0" w:color="auto"/>
                        <w:right w:val="none" w:sz="0" w:space="0" w:color="auto"/>
                      </w:divBdr>
                      <w:divsChild>
                        <w:div w:id="1886258501">
                          <w:marLeft w:val="0"/>
                          <w:marRight w:val="0"/>
                          <w:marTop w:val="0"/>
                          <w:marBottom w:val="0"/>
                          <w:divBdr>
                            <w:top w:val="none" w:sz="0" w:space="0" w:color="auto"/>
                            <w:left w:val="none" w:sz="0" w:space="0" w:color="auto"/>
                            <w:bottom w:val="none" w:sz="0" w:space="0" w:color="auto"/>
                            <w:right w:val="none" w:sz="0" w:space="0" w:color="auto"/>
                          </w:divBdr>
                          <w:divsChild>
                            <w:div w:id="1773358679">
                              <w:marLeft w:val="0"/>
                              <w:marRight w:val="0"/>
                              <w:marTop w:val="15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03582171">
      <w:bodyDiv w:val="1"/>
      <w:marLeft w:val="0"/>
      <w:marRight w:val="0"/>
      <w:marTop w:val="0"/>
      <w:marBottom w:val="0"/>
      <w:divBdr>
        <w:top w:val="none" w:sz="0" w:space="0" w:color="auto"/>
        <w:left w:val="none" w:sz="0" w:space="0" w:color="auto"/>
        <w:bottom w:val="none" w:sz="0" w:space="0" w:color="auto"/>
        <w:right w:val="none" w:sz="0" w:space="0" w:color="auto"/>
      </w:divBdr>
    </w:div>
    <w:div w:id="1068456508">
      <w:bodyDiv w:val="1"/>
      <w:marLeft w:val="0"/>
      <w:marRight w:val="0"/>
      <w:marTop w:val="0"/>
      <w:marBottom w:val="0"/>
      <w:divBdr>
        <w:top w:val="none" w:sz="0" w:space="0" w:color="auto"/>
        <w:left w:val="none" w:sz="0" w:space="0" w:color="auto"/>
        <w:bottom w:val="none" w:sz="0" w:space="0" w:color="auto"/>
        <w:right w:val="none" w:sz="0" w:space="0" w:color="auto"/>
      </w:divBdr>
    </w:div>
    <w:div w:id="1262184332">
      <w:bodyDiv w:val="1"/>
      <w:marLeft w:val="0"/>
      <w:marRight w:val="0"/>
      <w:marTop w:val="0"/>
      <w:marBottom w:val="0"/>
      <w:divBdr>
        <w:top w:val="none" w:sz="0" w:space="0" w:color="auto"/>
        <w:left w:val="none" w:sz="0" w:space="0" w:color="auto"/>
        <w:bottom w:val="none" w:sz="0" w:space="0" w:color="auto"/>
        <w:right w:val="none" w:sz="0" w:space="0" w:color="auto"/>
      </w:divBdr>
      <w:divsChild>
        <w:div w:id="1879585324">
          <w:marLeft w:val="0"/>
          <w:marRight w:val="0"/>
          <w:marTop w:val="0"/>
          <w:marBottom w:val="0"/>
          <w:divBdr>
            <w:top w:val="none" w:sz="0" w:space="0" w:color="auto"/>
            <w:left w:val="none" w:sz="0" w:space="0" w:color="auto"/>
            <w:bottom w:val="none" w:sz="0" w:space="0" w:color="auto"/>
            <w:right w:val="none" w:sz="0" w:space="0" w:color="auto"/>
          </w:divBdr>
          <w:divsChild>
            <w:div w:id="1600410182">
              <w:marLeft w:val="0"/>
              <w:marRight w:val="0"/>
              <w:marTop w:val="0"/>
              <w:marBottom w:val="0"/>
              <w:divBdr>
                <w:top w:val="none" w:sz="0" w:space="0" w:color="auto"/>
                <w:left w:val="none" w:sz="0" w:space="0" w:color="auto"/>
                <w:bottom w:val="none" w:sz="0" w:space="0" w:color="auto"/>
                <w:right w:val="none" w:sz="0" w:space="0" w:color="auto"/>
              </w:divBdr>
              <w:divsChild>
                <w:div w:id="1494178258">
                  <w:marLeft w:val="0"/>
                  <w:marRight w:val="0"/>
                  <w:marTop w:val="0"/>
                  <w:marBottom w:val="0"/>
                  <w:divBdr>
                    <w:top w:val="none" w:sz="0" w:space="0" w:color="auto"/>
                    <w:left w:val="none" w:sz="0" w:space="0" w:color="auto"/>
                    <w:bottom w:val="none" w:sz="0" w:space="0" w:color="auto"/>
                    <w:right w:val="none" w:sz="0" w:space="0" w:color="auto"/>
                  </w:divBdr>
                  <w:divsChild>
                    <w:div w:id="16201679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57384636">
      <w:bodyDiv w:val="1"/>
      <w:marLeft w:val="0"/>
      <w:marRight w:val="0"/>
      <w:marTop w:val="0"/>
      <w:marBottom w:val="0"/>
      <w:divBdr>
        <w:top w:val="none" w:sz="0" w:space="0" w:color="auto"/>
        <w:left w:val="none" w:sz="0" w:space="0" w:color="auto"/>
        <w:bottom w:val="none" w:sz="0" w:space="0" w:color="auto"/>
        <w:right w:val="none" w:sz="0" w:space="0" w:color="auto"/>
      </w:divBdr>
      <w:divsChild>
        <w:div w:id="1636834131">
          <w:marLeft w:val="0"/>
          <w:marRight w:val="0"/>
          <w:marTop w:val="0"/>
          <w:marBottom w:val="0"/>
          <w:divBdr>
            <w:top w:val="none" w:sz="0" w:space="0" w:color="auto"/>
            <w:left w:val="none" w:sz="0" w:space="0" w:color="auto"/>
            <w:bottom w:val="none" w:sz="0" w:space="0" w:color="auto"/>
            <w:right w:val="none" w:sz="0" w:space="0" w:color="auto"/>
          </w:divBdr>
          <w:divsChild>
            <w:div w:id="348331793">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1369253799">
      <w:bodyDiv w:val="1"/>
      <w:marLeft w:val="0"/>
      <w:marRight w:val="0"/>
      <w:marTop w:val="0"/>
      <w:marBottom w:val="0"/>
      <w:divBdr>
        <w:top w:val="none" w:sz="0" w:space="0" w:color="auto"/>
        <w:left w:val="none" w:sz="0" w:space="0" w:color="auto"/>
        <w:bottom w:val="none" w:sz="0" w:space="0" w:color="auto"/>
        <w:right w:val="none" w:sz="0" w:space="0" w:color="auto"/>
      </w:divBdr>
    </w:div>
    <w:div w:id="1396126333">
      <w:bodyDiv w:val="1"/>
      <w:marLeft w:val="0"/>
      <w:marRight w:val="0"/>
      <w:marTop w:val="0"/>
      <w:marBottom w:val="0"/>
      <w:divBdr>
        <w:top w:val="none" w:sz="0" w:space="0" w:color="auto"/>
        <w:left w:val="none" w:sz="0" w:space="0" w:color="auto"/>
        <w:bottom w:val="none" w:sz="0" w:space="0" w:color="auto"/>
        <w:right w:val="none" w:sz="0" w:space="0" w:color="auto"/>
      </w:divBdr>
      <w:divsChild>
        <w:div w:id="1985157117">
          <w:marLeft w:val="0"/>
          <w:marRight w:val="0"/>
          <w:marTop w:val="0"/>
          <w:marBottom w:val="0"/>
          <w:divBdr>
            <w:top w:val="none" w:sz="0" w:space="0" w:color="auto"/>
            <w:left w:val="none" w:sz="0" w:space="0" w:color="auto"/>
            <w:bottom w:val="none" w:sz="0" w:space="0" w:color="auto"/>
            <w:right w:val="none" w:sz="0" w:space="0" w:color="auto"/>
          </w:divBdr>
          <w:divsChild>
            <w:div w:id="349449119">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1493637543">
      <w:bodyDiv w:val="1"/>
      <w:marLeft w:val="0"/>
      <w:marRight w:val="0"/>
      <w:marTop w:val="0"/>
      <w:marBottom w:val="0"/>
      <w:divBdr>
        <w:top w:val="none" w:sz="0" w:space="0" w:color="auto"/>
        <w:left w:val="none" w:sz="0" w:space="0" w:color="auto"/>
        <w:bottom w:val="none" w:sz="0" w:space="0" w:color="auto"/>
        <w:right w:val="none" w:sz="0" w:space="0" w:color="auto"/>
      </w:divBdr>
      <w:divsChild>
        <w:div w:id="94635441">
          <w:marLeft w:val="0"/>
          <w:marRight w:val="0"/>
          <w:marTop w:val="0"/>
          <w:marBottom w:val="0"/>
          <w:divBdr>
            <w:top w:val="none" w:sz="0" w:space="0" w:color="auto"/>
            <w:left w:val="none" w:sz="0" w:space="0" w:color="auto"/>
            <w:bottom w:val="none" w:sz="0" w:space="0" w:color="auto"/>
            <w:right w:val="none" w:sz="0" w:space="0" w:color="auto"/>
          </w:divBdr>
          <w:divsChild>
            <w:div w:id="15621437">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1564753864">
      <w:bodyDiv w:val="1"/>
      <w:marLeft w:val="0"/>
      <w:marRight w:val="0"/>
      <w:marTop w:val="0"/>
      <w:marBottom w:val="0"/>
      <w:divBdr>
        <w:top w:val="none" w:sz="0" w:space="0" w:color="auto"/>
        <w:left w:val="none" w:sz="0" w:space="0" w:color="auto"/>
        <w:bottom w:val="none" w:sz="0" w:space="0" w:color="auto"/>
        <w:right w:val="none" w:sz="0" w:space="0" w:color="auto"/>
      </w:divBdr>
    </w:div>
    <w:div w:id="1690913017">
      <w:bodyDiv w:val="1"/>
      <w:marLeft w:val="0"/>
      <w:marRight w:val="0"/>
      <w:marTop w:val="0"/>
      <w:marBottom w:val="0"/>
      <w:divBdr>
        <w:top w:val="none" w:sz="0" w:space="0" w:color="auto"/>
        <w:left w:val="none" w:sz="0" w:space="0" w:color="auto"/>
        <w:bottom w:val="none" w:sz="0" w:space="0" w:color="auto"/>
        <w:right w:val="none" w:sz="0" w:space="0" w:color="auto"/>
      </w:divBdr>
    </w:div>
    <w:div w:id="1750881330">
      <w:bodyDiv w:val="1"/>
      <w:marLeft w:val="0"/>
      <w:marRight w:val="0"/>
      <w:marTop w:val="0"/>
      <w:marBottom w:val="0"/>
      <w:divBdr>
        <w:top w:val="none" w:sz="0" w:space="0" w:color="auto"/>
        <w:left w:val="none" w:sz="0" w:space="0" w:color="auto"/>
        <w:bottom w:val="none" w:sz="0" w:space="0" w:color="auto"/>
        <w:right w:val="none" w:sz="0" w:space="0" w:color="auto"/>
      </w:divBdr>
    </w:div>
    <w:div w:id="1912884611">
      <w:bodyDiv w:val="1"/>
      <w:marLeft w:val="0"/>
      <w:marRight w:val="0"/>
      <w:marTop w:val="0"/>
      <w:marBottom w:val="0"/>
      <w:divBdr>
        <w:top w:val="none" w:sz="0" w:space="0" w:color="auto"/>
        <w:left w:val="none" w:sz="0" w:space="0" w:color="auto"/>
        <w:bottom w:val="none" w:sz="0" w:space="0" w:color="auto"/>
        <w:right w:val="none" w:sz="0" w:space="0" w:color="auto"/>
      </w:divBdr>
    </w:div>
    <w:div w:id="1952785179">
      <w:bodyDiv w:val="1"/>
      <w:marLeft w:val="0"/>
      <w:marRight w:val="0"/>
      <w:marTop w:val="0"/>
      <w:marBottom w:val="0"/>
      <w:divBdr>
        <w:top w:val="none" w:sz="0" w:space="0" w:color="auto"/>
        <w:left w:val="none" w:sz="0" w:space="0" w:color="auto"/>
        <w:bottom w:val="none" w:sz="0" w:space="0" w:color="auto"/>
        <w:right w:val="none" w:sz="0" w:space="0" w:color="auto"/>
      </w:divBdr>
    </w:div>
    <w:div w:id="1984656983">
      <w:bodyDiv w:val="1"/>
      <w:marLeft w:val="0"/>
      <w:marRight w:val="0"/>
      <w:marTop w:val="0"/>
      <w:marBottom w:val="0"/>
      <w:divBdr>
        <w:top w:val="none" w:sz="0" w:space="0" w:color="auto"/>
        <w:left w:val="none" w:sz="0" w:space="0" w:color="auto"/>
        <w:bottom w:val="none" w:sz="0" w:space="0" w:color="auto"/>
        <w:right w:val="none" w:sz="0" w:space="0" w:color="auto"/>
      </w:divBdr>
    </w:div>
    <w:div w:id="2093424977">
      <w:bodyDiv w:val="1"/>
      <w:marLeft w:val="0"/>
      <w:marRight w:val="0"/>
      <w:marTop w:val="0"/>
      <w:marBottom w:val="0"/>
      <w:divBdr>
        <w:top w:val="none" w:sz="0" w:space="0" w:color="auto"/>
        <w:left w:val="none" w:sz="0" w:space="0" w:color="auto"/>
        <w:bottom w:val="none" w:sz="0" w:space="0" w:color="auto"/>
        <w:right w:val="none" w:sz="0" w:space="0" w:color="auto"/>
      </w:divBdr>
      <w:divsChild>
        <w:div w:id="118493542">
          <w:marLeft w:val="0"/>
          <w:marRight w:val="0"/>
          <w:marTop w:val="0"/>
          <w:marBottom w:val="0"/>
          <w:divBdr>
            <w:top w:val="none" w:sz="0" w:space="0" w:color="auto"/>
            <w:left w:val="none" w:sz="0" w:space="0" w:color="auto"/>
            <w:bottom w:val="none" w:sz="0" w:space="0" w:color="auto"/>
            <w:right w:val="none" w:sz="0" w:space="0" w:color="auto"/>
          </w:divBdr>
          <w:divsChild>
            <w:div w:id="519929111">
              <w:marLeft w:val="125"/>
              <w:marRight w:val="125"/>
              <w:marTop w:val="0"/>
              <w:marBottom w:val="0"/>
              <w:divBdr>
                <w:top w:val="none" w:sz="0" w:space="0" w:color="auto"/>
                <w:left w:val="none" w:sz="0" w:space="0" w:color="auto"/>
                <w:bottom w:val="none" w:sz="0" w:space="0" w:color="auto"/>
                <w:right w:val="none" w:sz="0" w:space="0" w:color="auto"/>
              </w:divBdr>
            </w:div>
          </w:divsChild>
        </w:div>
      </w:divsChild>
    </w:div>
    <w:div w:id="2112627380">
      <w:bodyDiv w:val="1"/>
      <w:marLeft w:val="0"/>
      <w:marRight w:val="0"/>
      <w:marTop w:val="0"/>
      <w:marBottom w:val="0"/>
      <w:divBdr>
        <w:top w:val="none" w:sz="0" w:space="0" w:color="auto"/>
        <w:left w:val="none" w:sz="0" w:space="0" w:color="auto"/>
        <w:bottom w:val="none" w:sz="0" w:space="0" w:color="auto"/>
        <w:right w:val="none" w:sz="0" w:space="0" w:color="auto"/>
      </w:divBdr>
    </w:div>
    <w:div w:id="2119107526">
      <w:bodyDiv w:val="1"/>
      <w:marLeft w:val="0"/>
      <w:marRight w:val="0"/>
      <w:marTop w:val="0"/>
      <w:marBottom w:val="0"/>
      <w:divBdr>
        <w:top w:val="none" w:sz="0" w:space="0" w:color="auto"/>
        <w:left w:val="none" w:sz="0" w:space="0" w:color="auto"/>
        <w:bottom w:val="none" w:sz="0" w:space="0" w:color="auto"/>
        <w:right w:val="none" w:sz="0" w:space="0" w:color="auto"/>
      </w:divBdr>
      <w:divsChild>
        <w:div w:id="936980470">
          <w:marLeft w:val="0"/>
          <w:marRight w:val="0"/>
          <w:marTop w:val="0"/>
          <w:marBottom w:val="0"/>
          <w:divBdr>
            <w:top w:val="none" w:sz="0" w:space="0" w:color="auto"/>
            <w:left w:val="none" w:sz="0" w:space="0" w:color="auto"/>
            <w:bottom w:val="none" w:sz="0" w:space="0" w:color="auto"/>
            <w:right w:val="none" w:sz="0" w:space="0" w:color="auto"/>
          </w:divBdr>
          <w:divsChild>
            <w:div w:id="137580124">
              <w:marLeft w:val="0"/>
              <w:marRight w:val="0"/>
              <w:marTop w:val="0"/>
              <w:marBottom w:val="0"/>
              <w:divBdr>
                <w:top w:val="none" w:sz="0" w:space="0" w:color="auto"/>
                <w:left w:val="none" w:sz="0" w:space="0" w:color="auto"/>
                <w:bottom w:val="none" w:sz="0" w:space="0" w:color="auto"/>
                <w:right w:val="none" w:sz="0" w:space="0" w:color="auto"/>
              </w:divBdr>
              <w:divsChild>
                <w:div w:id="1459685066">
                  <w:marLeft w:val="0"/>
                  <w:marRight w:val="0"/>
                  <w:marTop w:val="0"/>
                  <w:marBottom w:val="0"/>
                  <w:divBdr>
                    <w:top w:val="none" w:sz="0" w:space="0" w:color="auto"/>
                    <w:left w:val="none" w:sz="0" w:space="0" w:color="auto"/>
                    <w:bottom w:val="none" w:sz="0" w:space="0" w:color="auto"/>
                    <w:right w:val="none" w:sz="0" w:space="0" w:color="auto"/>
                  </w:divBdr>
                  <w:divsChild>
                    <w:div w:id="535626441">
                      <w:marLeft w:val="0"/>
                      <w:marRight w:val="0"/>
                      <w:marTop w:val="0"/>
                      <w:marBottom w:val="0"/>
                      <w:divBdr>
                        <w:top w:val="none" w:sz="0" w:space="0" w:color="auto"/>
                        <w:left w:val="none" w:sz="0" w:space="0" w:color="auto"/>
                        <w:bottom w:val="none" w:sz="0" w:space="0" w:color="auto"/>
                        <w:right w:val="none" w:sz="0" w:space="0" w:color="auto"/>
                      </w:divBdr>
                      <w:divsChild>
                        <w:div w:id="897135473">
                          <w:marLeft w:val="0"/>
                          <w:marRight w:val="0"/>
                          <w:marTop w:val="0"/>
                          <w:marBottom w:val="0"/>
                          <w:divBdr>
                            <w:top w:val="none" w:sz="0" w:space="0" w:color="auto"/>
                            <w:left w:val="none" w:sz="0" w:space="0" w:color="auto"/>
                            <w:bottom w:val="none" w:sz="0" w:space="0" w:color="auto"/>
                            <w:right w:val="none" w:sz="0" w:space="0" w:color="auto"/>
                          </w:divBdr>
                          <w:divsChild>
                            <w:div w:id="115802530">
                              <w:marLeft w:val="0"/>
                              <w:marRight w:val="0"/>
                              <w:marTop w:val="0"/>
                              <w:marBottom w:val="0"/>
                              <w:divBdr>
                                <w:top w:val="none" w:sz="0" w:space="0" w:color="auto"/>
                                <w:left w:val="none" w:sz="0" w:space="0" w:color="auto"/>
                                <w:bottom w:val="none" w:sz="0" w:space="0" w:color="auto"/>
                                <w:right w:val="none" w:sz="0" w:space="0" w:color="auto"/>
                              </w:divBdr>
                              <w:divsChild>
                                <w:div w:id="770200492">
                                  <w:marLeft w:val="0"/>
                                  <w:marRight w:val="0"/>
                                  <w:marTop w:val="0"/>
                                  <w:marBottom w:val="0"/>
                                  <w:divBdr>
                                    <w:top w:val="none" w:sz="0" w:space="0" w:color="auto"/>
                                    <w:left w:val="none" w:sz="0" w:space="0" w:color="auto"/>
                                    <w:bottom w:val="none" w:sz="0" w:space="0" w:color="auto"/>
                                    <w:right w:val="none" w:sz="0" w:space="0" w:color="auto"/>
                                  </w:divBdr>
                                  <w:divsChild>
                                    <w:div w:id="96222513">
                                      <w:marLeft w:val="0"/>
                                      <w:marRight w:val="0"/>
                                      <w:marTop w:val="0"/>
                                      <w:marBottom w:val="0"/>
                                      <w:divBdr>
                                        <w:top w:val="none" w:sz="0" w:space="0" w:color="auto"/>
                                        <w:left w:val="none" w:sz="0" w:space="0" w:color="auto"/>
                                        <w:bottom w:val="none" w:sz="0" w:space="0" w:color="auto"/>
                                        <w:right w:val="none" w:sz="0" w:space="0" w:color="auto"/>
                                      </w:divBdr>
                                      <w:divsChild>
                                        <w:div w:id="11227246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24BD3E4-A3F9-45E1-9283-FC2E9703E4C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230</TotalTime>
  <Pages>18</Pages>
  <Words>8955</Words>
  <Characters>48361</Characters>
  <Application>Microsoft Office Word</Application>
  <DocSecurity>0</DocSecurity>
  <Lines>403</Lines>
  <Paragraphs>114</Paragraphs>
  <ScaleCrop>false</ScaleCrop>
  <HeadingPairs>
    <vt:vector size="2" baseType="variant">
      <vt:variant>
        <vt:lpstr>Título</vt:lpstr>
      </vt:variant>
      <vt:variant>
        <vt:i4>1</vt:i4>
      </vt:variant>
    </vt:vector>
  </HeadingPairs>
  <TitlesOfParts>
    <vt:vector size="1" baseType="lpstr">
      <vt:lpstr>SEÇÃO 2 – Indústria Nacional do Petróleo</vt:lpstr>
    </vt:vector>
  </TitlesOfParts>
  <Company>ANP</Company>
  <LinksUpToDate>false</LinksUpToDate>
  <CharactersWithSpaces>57202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SEÇÃO 2 – Indústria Nacional do Petróleo</dc:title>
  <dc:subject/>
  <dc:creator>ANP;Fabio Moraes</dc:creator>
  <cp:keywords/>
  <dc:description/>
  <cp:lastModifiedBy>Jose Lopes de Souza</cp:lastModifiedBy>
  <cp:revision>7</cp:revision>
  <cp:lastPrinted>2015-04-28T00:21:00Z</cp:lastPrinted>
  <dcterms:created xsi:type="dcterms:W3CDTF">2026-06-12T19:28:00Z</dcterms:created>
  <dcterms:modified xsi:type="dcterms:W3CDTF">2026-06-16T19:22:00Z</dcterms:modified>
</cp:coreProperties>
</file>