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body>
    <w:p xmlns:wp14="http://schemas.microsoft.com/office/word/2010/wordml" w14:paraId="672A6659" wp14:textId="77777777">
      <w:pPr>
        <w:spacing w:before="400" w:after="1600"/>
        <w:jc w:val="center"/>
      </w:pPr>
      <w:r>
        <w:drawing>
          <wp:inline xmlns:wp14="http://schemas.microsoft.com/office/word/2010/wordprocessingDrawing" distT="0" distB="0" distL="0" distR="0" wp14:anchorId="0409B83F" wp14:editId="7777777">
            <wp:extent cx="1080000" cy="1720240"/>
            <wp:docPr id="1" name="Logo ANP vertical" descr="Logomarca AN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ogo ANP vertical"/>
                    <pic:cNvPicPr/>
                  </pic:nvPicPr>
                  <pic:blipFill>
                    <a:blip r:embed="rIdLogoV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7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0A64B399" wp14:textId="77777777">
      <w:pPr>
        <w:pStyle w:val="Title"/>
      </w:pPr>
      <w:r>
        <w:t xml:space="preserve">Orientações para Análise dos Dados Abertos do PMQC</w:t>
      </w:r>
    </w:p>
    <w:p xmlns:wp14="http://schemas.microsoft.com/office/word/2010/wordml" w14:paraId="0A37501D" wp14:textId="77777777">
      <w:pPr>
        <w:pBdr>
          <w:bottom w:val="single" w:color="006A40" w:sz="18" w:space="1"/>
        </w:pBdr>
        <w:spacing w:before="0" w:after="240"/>
        <w:jc w:val="center"/>
      </w:pPr>
    </w:p>
    <w:p xmlns:wp14="http://schemas.microsoft.com/office/word/2010/wordml" w14:paraId="080ABA0D" wp14:textId="77777777">
      <w:pPr>
        <w:pStyle w:val="Subtitle"/>
      </w:pPr>
      <w:r>
        <w:t xml:space="preserve">Programa de Monitoramento da Qualidade dos Combustíveis (PMQC)</w:t>
      </w:r>
    </w:p>
    <w:p xmlns:wp14="http://schemas.microsoft.com/office/word/2010/wordml" w14:paraId="0802807A" wp14:textId="77777777">
      <w:pPr>
        <w:pStyle w:val="CoverMeta"/>
        <w:spacing w:before="60" w:after="60"/>
      </w:pPr>
      <w:r>
        <w:rPr>
          <w:color w:val="454545"/>
          <w:sz w:val="22"/>
          <w:szCs w:val="22"/>
        </w:rPr>
        <w:t xml:space="preserve">Versão revisada — abertura integral dos dados</w:t>
      </w:r>
    </w:p>
    <w:p xmlns:wp14="http://schemas.microsoft.com/office/word/2010/wordml" w14:paraId="6BA43CC8" wp14:textId="77777777">
      <w:pPr>
        <w:pStyle w:val="CoverMeta"/>
        <w:spacing w:before="3200" w:after="40"/>
      </w:pPr>
      <w:r>
        <w:rPr>
          <w:rFonts w:ascii="Segoe UI Light" w:hAnsi="Segoe UI Light" w:cs="Segoe UI Light"/>
          <w:color w:val="636363"/>
          <w:sz w:val="20"/>
          <w:szCs w:val="20"/>
        </w:rPr>
        <w:t xml:space="preserve">Área responsável</w:t>
      </w:r>
    </w:p>
    <w:p xmlns:wp14="http://schemas.microsoft.com/office/word/2010/wordml" w14:paraId="534E8613" wp14:textId="77777777">
      <w:pPr>
        <w:pStyle w:val="CoverMeta"/>
      </w:pPr>
      <w:r>
        <w:rPr>
          <w:rFonts w:ascii="Segoe UI Semibold" w:hAnsi="Segoe UI Semibold" w:cs="Segoe UI Semibold"/>
        </w:rPr>
        <w:t xml:space="preserve">ANP/SBQ — Superintendência de Biocombustíveis e Qualidade de Produtos</w:t>
      </w:r>
    </w:p>
    <w:p xmlns:wp14="http://schemas.microsoft.com/office/word/2010/wordml" w14:paraId="6357A5C6" wp14:textId="77777777">
      <w:pPr>
        <w:pStyle w:val="CoverMeta"/>
        <w:spacing w:before="240" w:after="40"/>
      </w:pPr>
      <w:r>
        <w:rPr>
          <w:rFonts w:ascii="Segoe UI Light" w:hAnsi="Segoe UI Light" w:cs="Segoe UI Light"/>
          <w:color w:val="636363"/>
          <w:sz w:val="20"/>
          <w:szCs w:val="20"/>
        </w:rPr>
        <w:t xml:space="preserve">Data de publicação</w:t>
      </w:r>
    </w:p>
    <w:p xmlns:wp14="http://schemas.microsoft.com/office/word/2010/wordml" w14:paraId="7B16C3A9" wp14:textId="77777777">
      <w:pPr>
        <w:pStyle w:val="CoverMeta"/>
      </w:pPr>
      <w:r>
        <w:rPr>
          <w:rFonts w:ascii="Segoe UI Semibold" w:hAnsi="Segoe UI Semibold" w:cs="Segoe UI Semibold"/>
        </w:rPr>
        <w:t xml:space="preserve">Outubro de 2026</w:t>
      </w:r>
    </w:p>
    <w:p xmlns:wp14="http://schemas.microsoft.com/office/word/2010/wordml" w14:paraId="2D32F493" wp14:textId="77777777">
      <w:pPr>
        <w:pStyle w:val="TOCHeading"/>
        <w:pageBreakBefore/>
      </w:pPr>
      <w:r>
        <w:t xml:space="preserve">Sumário</w:t>
      </w:r>
    </w:p>
    <w:p xmlns:wp14="http://schemas.microsoft.com/office/word/2010/wordml" w14:paraId="336419F8" wp14:textId="77777777">
      <w:pPr>
        <w:pStyle w:val="TOC1"/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t xml:space="preserve">1. O que é o conjunto de dados</w:t>
      </w:r>
    </w:p>
    <w:p xmlns:wp14="http://schemas.microsoft.com/office/word/2010/wordml" w14:paraId="233D8137" wp14:textId="77777777">
      <w:pPr>
        <w:pStyle w:val="TOC1"/>
      </w:pPr>
      <w:r>
        <w:t xml:space="preserve">2. O que mudou com a abertura integral</w:t>
      </w:r>
    </w:p>
    <w:p xmlns:wp14="http://schemas.microsoft.com/office/word/2010/wordml" w14:paraId="0240B71D" wp14:textId="77777777">
      <w:pPr>
        <w:pStyle w:val="TOC1"/>
      </w:pPr>
      <w:r>
        <w:t xml:space="preserve">3. Base normativa de referência</w:t>
      </w:r>
    </w:p>
    <w:p xmlns:wp14="http://schemas.microsoft.com/office/word/2010/wordml" w14:paraId="361F2470" wp14:textId="77777777">
      <w:pPr>
        <w:pStyle w:val="TOC1"/>
      </w:pPr>
      <w:r>
        <w:t xml:space="preserve">4. Avaliação de conformidade da amostra (regra geral)</w:t>
      </w:r>
    </w:p>
    <w:p xmlns:wp14="http://schemas.microsoft.com/office/word/2010/wordml" w14:paraId="481F416C" wp14:textId="77777777">
      <w:pPr>
        <w:pStyle w:val="TOC2"/>
      </w:pPr>
      <w:r>
        <w:t xml:space="preserve">Exemplo — gasolina (sem exceção de Aspecto)</w:t>
      </w:r>
    </w:p>
    <w:p xmlns:wp14="http://schemas.microsoft.com/office/word/2010/wordml" w14:paraId="2CB1D60D" wp14:textId="77777777">
      <w:pPr>
        <w:pStyle w:val="TOC1"/>
      </w:pPr>
      <w:r>
        <w:t xml:space="preserve">5. Exceção: ensaios complementares do Aspecto (etanol e diesel)</w:t>
      </w:r>
    </w:p>
    <w:p xmlns:wp14="http://schemas.microsoft.com/office/word/2010/wordml" w14:paraId="538E4F02" wp14:textId="77777777">
      <w:pPr>
        <w:pStyle w:val="TOC2"/>
      </w:pPr>
      <w:r>
        <w:t xml:space="preserve">5.1 Etanol combustível (RANP nº 907/2022)</w:t>
      </w:r>
    </w:p>
    <w:p xmlns:wp14="http://schemas.microsoft.com/office/word/2010/wordml" w14:paraId="384881B6" wp14:textId="77777777">
      <w:pPr>
        <w:pStyle w:val="TOC2"/>
      </w:pPr>
      <w:r>
        <w:t xml:space="preserve">5.2 Óleo diesel — regra vigente (RANP nº 968/2024, art. 16)</w:t>
      </w:r>
    </w:p>
    <w:p xmlns:wp14="http://schemas.microsoft.com/office/word/2010/wordml" w14:paraId="298BCF8C" wp14:textId="77777777">
      <w:pPr>
        <w:pStyle w:val="TOC2"/>
      </w:pPr>
      <w:r>
        <w:t xml:space="preserve">5.3 Casos reais no arquivo atual</w:t>
      </w:r>
    </w:p>
    <w:p xmlns:wp14="http://schemas.microsoft.com/office/word/2010/wordml" w14:paraId="4944B7D5" wp14:textId="77777777">
      <w:pPr>
        <w:pStyle w:val="TOC1"/>
      </w:pPr>
      <w:r>
        <w:t xml:space="preserve">6. Limites e cuidados de análise</w:t>
      </w:r>
    </w:p>
    <w:p xmlns:wp14="http://schemas.microsoft.com/office/word/2010/wordml" w14:paraId="706C79A1" wp14:textId="77777777">
      <w:pPr>
        <w:pStyle w:val="TOC1"/>
      </w:pPr>
      <w:r>
        <w:t xml:space="preserve">7. O que foi corrigido nesta revisão</w:t>
      </w:r>
      <w:r>
        <w:fldChar w:fldCharType="end"/>
      </w:r>
    </w:p>
    <w:p xmlns:wp14="http://schemas.microsoft.com/office/word/2010/wordml" w14:paraId="56900131" wp14:textId="77777777">
      <w:pPr>
        <w:pStyle w:val="Callout"/>
        <w:pageBreakBefore/>
        <w:pBdr>
          <w:top w:val="single" w:color="C5D4EB" w:sz="4" w:space="6"/>
          <w:left w:val="single" w:color="C5D4EB" w:sz="4" w:space="6"/>
          <w:bottom w:val="single" w:color="C5D4EB" w:sz="4" w:space="6"/>
          <w:right w:val="single" w:color="C5D4EB" w:sz="4" w:space="6"/>
        </w:pBdr>
        <w:shd w:val="clear" w:color="auto" w:fill="E7EEFB"/>
        <w:spacing w:before="120" w:after="60"/>
      </w:pPr>
      <w:r w:rsidR="1A56094C">
        <w:rPr/>
        <w:t xml:space="preserve">Versão revisada em função da </w:t>
      </w:r>
      <w:r w:rsidRPr="1A56094C" w:rsidR="1A56094C">
        <w:rPr>
          <w:b w:val="1"/>
          <w:bCs w:val="1"/>
        </w:rPr>
        <w:t>abertura na íntegra</w:t>
      </w:r>
      <w:r w:rsidR="1A56094C">
        <w:rPr/>
        <w:t xml:space="preserve"> dos dados abertos do Programa de Monitoramento da Qualidade dos Combustíveis (PMQC).</w:t>
      </w:r>
    </w:p>
    <w:p xmlns:wp14="http://schemas.microsoft.com/office/word/2010/wordml" w14:paraId="6C339201" wp14:textId="77777777">
      <w:pPr>
        <w:pStyle w:val="Heading1"/>
      </w:pPr>
      <w:r>
        <w:t xml:space="preserve">1. O que é o conjunto de dados</w:t>
      </w:r>
    </w:p>
    <w:p xmlns:wp14="http://schemas.microsoft.com/office/word/2010/wordml" w14:paraId="3140E62E" wp14:textId="77777777">
      <w:r>
        <w:t xml:space="preserve">Os dados abertos do PMQC trazem o resultado das análises físico-químicas de amostras de combustíveis líquidos (gasolina C, etanol hidratado e óleo diesel B) coletadas na revenda em território brasileiro.</w:t>
      </w:r>
    </w:p>
    <w:p xmlns:wp14="http://schemas.microsoft.com/office/word/2010/wordml" w14:paraId="050B9A7C" wp14:textId="77777777">
      <w:r>
        <w:t xml:space="preserve">Cada </w:t>
      </w:r>
      <w:r>
        <w:rPr>
          <w:b/>
          <w:bCs/>
        </w:rPr>
        <w:t xml:space="preserve">linha</w:t>
      </w:r>
      <w:r>
        <w:t xml:space="preserve"> do arquivo corresponde a </w:t>
      </w:r>
      <w:r>
        <w:rPr>
          <w:b/>
          <w:bCs/>
        </w:rPr>
        <w:t xml:space="preserve">um ensaio de uma amostra</w:t>
      </w:r>
      <w:r>
        <w:t xml:space="preserve">. Cada </w:t>
      </w:r>
      <w:r>
        <w:rPr>
          <w:b/>
          <w:bCs/>
        </w:rPr>
        <w:t xml:space="preserve">amostra</w:t>
      </w:r>
      <w:r>
        <w:t xml:space="preserve"> é identificada por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 e aparece em tantas linhas quantos forem os ensaios nela realizados.</w:t>
      </w:r>
    </w:p>
    <w:p xmlns:wp14="http://schemas.microsoft.com/office/word/2010/wordml" w14:paraId="409811F1" wp14:textId="77777777">
      <w:pPr>
        <w:pStyle w:val="Heading1"/>
      </w:pPr>
      <w:r>
        <w:t xml:space="preserve">2. O que mudou com a abertura integral</w:t>
      </w:r>
    </w:p>
    <w:p xmlns:wp14="http://schemas.microsoft.com/office/word/2010/wordml" w14:paraId="2312B631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Antes (cadastro positivo):</w:t>
      </w:r>
      <w:r>
        <w:t xml:space="preserve"> o arquivo continha somente amostras julgadas conformes. O texto original deste documento dizia, corretamente à época, que "estão disponíveis apenas as informações das amostras consideradas conformes".</w:t>
      </w:r>
    </w:p>
    <w:p xmlns:wp14="http://schemas.microsoft.com/office/word/2010/wordml" w14:paraId="4D8AD232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Agora (abertura integral):</w:t>
      </w:r>
      <w:r>
        <w:t xml:space="preserve"> o arquivo contém </w:t>
      </w:r>
      <w:r>
        <w:rPr>
          <w:b/>
          <w:bCs/>
        </w:rPr>
        <w:t xml:space="preserve">todos os ensaios publicados no período, conformes e não conformes</w:t>
      </w:r>
      <w:r>
        <w:t xml:space="preserve">. A coluna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</w:t>
      </w:r>
      <w:r>
        <w:t xml:space="preserve"> passa a assumir os dois valores:</w:t>
      </w:r>
    </w:p>
    <w:p xmlns:wp14="http://schemas.microsoft.com/office/word/2010/wordml" w14:paraId="533B7270" wp14:textId="77777777">
      <w:pPr>
        <w:pStyle w:val="ListParagraph"/>
        <w:numPr>
          <w:ilvl w:val="1"/>
          <w:numId w:val="1"/>
        </w:numPr>
      </w:pP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 = ensaio conforme;</w:t>
      </w:r>
    </w:p>
    <w:p xmlns:wp14="http://schemas.microsoft.com/office/word/2010/wordml" w14:paraId="0769AE36" wp14:textId="77777777">
      <w:pPr>
        <w:pStyle w:val="ListParagraph"/>
        <w:numPr>
          <w:ilvl w:val="1"/>
          <w:numId w:val="1"/>
        </w:numPr>
      </w:pP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= ensaio não conforme.</w:t>
      </w:r>
    </w:p>
    <w:p xmlns:wp14="http://schemas.microsoft.com/office/word/2010/wordml" w14:paraId="7E8115C2" wp14:textId="77777777">
      <w:pPr>
        <w:pStyle w:val="ListParagraph"/>
        <w:numPr>
          <w:ilvl w:val="0"/>
          <w:numId w:val="1"/>
        </w:numPr>
      </w:pPr>
      <w:r>
        <w:t xml:space="preserve">A avaliação em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</w:t>
      </w:r>
      <w:r>
        <w:t xml:space="preserve"> é </w:t>
      </w:r>
      <w:r>
        <w:rPr>
          <w:b/>
          <w:bCs/>
        </w:rPr>
        <w:t xml:space="preserve">por ensaio</w:t>
      </w:r>
      <w:r>
        <w:t xml:space="preserve">. O julgamento da </w:t>
      </w:r>
      <w:r>
        <w:rPr>
          <w:b/>
          <w:bCs/>
        </w:rPr>
        <w:t xml:space="preserve">amostra</w:t>
      </w:r>
      <w:r>
        <w:t xml:space="preserve"> exige agregação (Seção 4) com a regra de ensaios complementares do Aspecto (Seção 5).</w:t>
      </w:r>
    </w:p>
    <w:p xmlns:wp14="http://schemas.microsoft.com/office/word/2010/wordml" w14:paraId="47E69CDD" wp14:textId="77777777">
      <w:pPr>
        <w:pStyle w:val="ListParagraph"/>
        <w:numPr>
          <w:ilvl w:val="0"/>
          <w:numId w:val="1"/>
        </w:numPr>
        <w:rPr/>
      </w:pPr>
      <w:r w:rsidR="1A56094C">
        <w:rPr>
          <w:b w:val="1"/>
          <w:bCs w:val="1"/>
        </w:rPr>
        <w:t xml:space="preserve">Arquivos antigos</w:t>
      </w:r>
      <w:r w:rsidR="1A56094C">
        <w:rPr/>
        <w:t xml:space="preserve"> ainda em circulação podem conter linhas residuais com </w:t>
      </w:r>
      <w:r w:rsidR="1A56094C">
        <w:rPr>
          <w:rFonts w:ascii="Consolas" w:hAnsi="Consolas" w:cs="Consolas"/>
          <w:sz w:val="21"/>
          <w:szCs w:val="21"/>
          <w:shd w:val="clear" w:color="auto" w:fill="F0F0F0"/>
        </w:rPr>
        <w:t xml:space="preserve">Conforme = Não</w:t>
      </w:r>
      <w:r w:rsidR="1A56094C">
        <w:rPr/>
        <w:t xml:space="preserve"> restritas ao ensaio </w:t>
      </w:r>
      <w:r w:rsidR="1A56094C">
        <w:rPr>
          <w:b w:val="1"/>
          <w:bCs w:val="1"/>
        </w:rPr>
        <w:t xml:space="preserve">Aspecto</w:t>
      </w:r>
      <w:r w:rsidR="1A56094C">
        <w:rPr/>
        <w:t xml:space="preserve">: Aspecto reprovado no ensaio isolado, mas amostra julgada conforme após complementares (ou por ausência deles). Na abertura integral, </w:t>
      </w:r>
      <w:r w:rsidR="1A56094C"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 w:rsidR="1A56094C">
        <w:rPr/>
        <w:t xml:space="preserve"> pode aparecer em </w:t>
      </w:r>
      <w:r w:rsidR="1A56094C">
        <w:rPr>
          <w:b w:val="1"/>
          <w:bCs w:val="1"/>
        </w:rPr>
        <w:t xml:space="preserve">qualquer ensaio</w:t>
      </w:r>
      <w:r w:rsidR="1A56094C">
        <w:rPr/>
        <w:t xml:space="preserve">.</w:t>
      </w:r>
    </w:p>
    <w:p xmlns:wp14="http://schemas.microsoft.com/office/word/2010/wordml" w14:paraId="2E84508B" wp14:textId="77777777">
      <w:pPr>
        <w:pStyle w:val="Heading1"/>
      </w:pPr>
      <w:r>
        <w:t xml:space="preserve">3. Base normativa de referência</w:t>
      </w:r>
    </w:p>
    <w:p xmlns:wp14="http://schemas.microsoft.com/office/word/2010/wordml" w14:paraId="1CA05515" wp14:textId="77777777">
      <w:r>
        <w:t xml:space="preserve">A conformidade de cada ensaio deve ser confrontada com o regulamento técnico vigente do produto:</w:t>
      </w:r>
    </w:p>
    <w:p xmlns:wp14="http://schemas.microsoft.com/office/word/2010/wordml" w14:paraId="39C3AEDE" wp14:textId="77777777">
      <w:pPr>
        <w:pStyle w:val="Caption"/>
      </w:pPr>
      <w:r>
        <w:t xml:space="preserve">Tabela 1 – Regulamento de referência por produto</w:t>
      </w:r>
    </w:p>
    <w:tbl>
      <w:tblPr>
        <w:tblW w:w="9071" w:type="dxa"/>
        <w:tblBorders>
          <w:top w:val="single" w:color="C5D4EB" w:sz="8" w:space="0"/>
          <w:left w:val="nil"/>
          <w:bottom w:val="single" w:color="C5D4EB" w:sz="8" w:space="0"/>
          <w:right w:val="nil"/>
          <w:insideH w:val="single" w:color="C5D4EB" w:sz="8" w:space="0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20" w:firstRow="1" w:lastRow="0" w:firstColumn="0" w:lastColumn="0" w:noHBand="0" w:noVBand="1"/>
      </w:tblPr>
      <w:tblGrid>
        <w:gridCol w:w="2358"/>
        <w:gridCol w:w="6713"/>
      </w:tblGrid>
      <w:tr xmlns:wp14="http://schemas.microsoft.com/office/word/2010/wordml" w14:paraId="3F0F13F5" wp14:textId="77777777">
        <w:trPr>
          <w:cantSplit/>
          <w:tblHeader/>
        </w:trPr>
        <w:tc>
          <w:tcPr>
            <w:tcW w:w="2358" w:type="dxa"/>
            <w:shd w:val="clear" w:color="auto" w:fill="F8F8F8"/>
            <w:vAlign w:val="center"/>
          </w:tcPr>
          <w:p w14:paraId="42A1F099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Produto</w:t>
            </w:r>
          </w:p>
        </w:tc>
        <w:tc>
          <w:tcPr>
            <w:tcW w:w="6713" w:type="dxa"/>
            <w:shd w:val="clear" w:color="auto" w:fill="F8F8F8"/>
            <w:vAlign w:val="center"/>
          </w:tcPr>
          <w:p w14:paraId="7108E2C2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Regulamento de referência</w:t>
            </w:r>
          </w:p>
        </w:tc>
      </w:tr>
      <w:tr xmlns:wp14="http://schemas.microsoft.com/office/word/2010/wordml" w14:paraId="2158EE8D" wp14:textId="77777777">
        <w:trPr>
          <w:cantSplit/>
        </w:trPr>
        <w:tc>
          <w:tcPr>
            <w:tcW w:w="2358" w:type="dxa"/>
            <w:vAlign w:val="top"/>
          </w:tcPr>
          <w:p w14:paraId="22A25DE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Etanol combustível</w:t>
            </w:r>
          </w:p>
        </w:tc>
        <w:tc>
          <w:tcPr>
            <w:tcW w:w="6713" w:type="dxa"/>
            <w:vAlign w:val="top"/>
          </w:tcPr>
          <w:p w14:paraId="6E1602D4" wp14:textId="77777777">
            <w:pPr>
              <w:pStyle w:val="TableText"/>
            </w:pPr>
            <w:hyperlink w:history="1" r:id="rId100">
              <w:r>
                <w:rPr>
                  <w:rStyle w:val="Hyperlink"/>
                  <w:sz w:val="20"/>
                  <w:szCs w:val="20"/>
                </w:rPr>
                <w:t xml:space="preserve">Resolução ANP nº 907/2022</w:t>
              </w:r>
            </w:hyperlink>
          </w:p>
        </w:tc>
      </w:tr>
      <w:tr xmlns:wp14="http://schemas.microsoft.com/office/word/2010/wordml" w14:paraId="007B3898" wp14:textId="77777777">
        <w:trPr>
          <w:cantSplit/>
        </w:trPr>
        <w:tc>
          <w:tcPr>
            <w:tcW w:w="2358" w:type="dxa"/>
            <w:vAlign w:val="top"/>
          </w:tcPr>
          <w:p w14:paraId="1CB2686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Gasolina automotiva</w:t>
            </w:r>
          </w:p>
        </w:tc>
        <w:tc>
          <w:tcPr>
            <w:tcW w:w="6713" w:type="dxa"/>
            <w:vAlign w:val="top"/>
          </w:tcPr>
          <w:p w14:paraId="1037B58B" wp14:textId="77777777">
            <w:pPr>
              <w:pStyle w:val="TableText"/>
            </w:pPr>
            <w:hyperlink w:history="1" r:id="rId101">
              <w:r>
                <w:rPr>
                  <w:rStyle w:val="Hyperlink"/>
                  <w:sz w:val="20"/>
                  <w:szCs w:val="20"/>
                </w:rPr>
                <w:t xml:space="preserve">Resolução ANP nº 807/2020</w:t>
              </w:r>
            </w:hyperlink>
          </w:p>
        </w:tc>
      </w:tr>
      <w:tr xmlns:wp14="http://schemas.microsoft.com/office/word/2010/wordml" w14:paraId="40D01E15" wp14:textId="77777777">
        <w:trPr>
          <w:cantSplit/>
        </w:trPr>
        <w:tc>
          <w:tcPr>
            <w:tcW w:w="2358" w:type="dxa"/>
            <w:vAlign w:val="top"/>
          </w:tcPr>
          <w:p w14:paraId="4856F57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Óleo diesel</w:t>
            </w:r>
          </w:p>
        </w:tc>
        <w:tc>
          <w:tcPr>
            <w:tcW w:w="6713" w:type="dxa"/>
            <w:vAlign w:val="top"/>
          </w:tcPr>
          <w:p w14:paraId="431E72D7" wp14:textId="77777777">
            <w:pPr>
              <w:pStyle w:val="TableText"/>
            </w:pPr>
            <w:hyperlink w:history="1" r:id="rId102">
              <w:r>
                <w:rPr>
                  <w:rStyle w:val="Hyperlink"/>
                  <w:sz w:val="20"/>
                  <w:szCs w:val="20"/>
                </w:rPr>
                <w:t xml:space="preserve">Resolução ANP nº 968/2024</w:t>
              </w:r>
            </w:hyperlink>
            <w:r>
              <w:rPr>
                <w:sz w:val="20"/>
                <w:szCs w:val="20"/>
              </w:rPr>
              <w:t xml:space="preserve"> — </w:t>
            </w:r>
            <w:r>
              <w:rPr>
                <w:b/>
                <w:bCs/>
                <w:sz w:val="20"/>
                <w:szCs w:val="20"/>
              </w:rPr>
              <w:t xml:space="preserve">revogou a Resolução ANP nº 50/2013</w:t>
            </w:r>
            <w:r>
              <w:rPr>
                <w:sz w:val="20"/>
                <w:szCs w:val="20"/>
              </w:rPr>
              <w:t xml:space="preserve"> (citada no documento original). Amostras coletadas sob a vigência da RANP nº 50/2013 seguem a regra antiga (ver Seção 5.2).</w:t>
            </w:r>
          </w:p>
        </w:tc>
      </w:tr>
    </w:tbl>
    <w:p xmlns:wp14="http://schemas.microsoft.com/office/word/2010/wordml" w14:paraId="36DE58C3" wp14:textId="77777777">
      <w:pPr>
        <w:pStyle w:val="Source"/>
      </w:pPr>
      <w:r>
        <w:t xml:space="preserve">Fonte: ANP, Resoluções nº 907/2022, 807/2020 e 968/2024.</w:t>
      </w:r>
    </w:p>
    <w:p xmlns:wp14="http://schemas.microsoft.com/office/word/2010/wordml" w14:paraId="631F4E10" wp14:textId="77777777">
      <w:pPr>
        <w:pStyle w:val="Callout"/>
        <w:pBdr>
          <w:top w:val="single" w:color="C5D4EB" w:sz="4" w:space="6"/>
          <w:left w:val="single" w:color="C5D4EB" w:sz="4" w:space="6"/>
          <w:bottom w:val="single" w:color="C5D4EB" w:sz="4" w:space="6"/>
          <w:right w:val="single" w:color="C5D4EB" w:sz="4" w:space="6"/>
        </w:pBdr>
        <w:shd w:val="clear" w:color="auto" w:fill="E7EEFB"/>
        <w:spacing w:before="120" w:after="240"/>
      </w:pPr>
      <w:r>
        <w:rPr>
          <w:b/>
          <w:bCs/>
        </w:rPr>
        <w:t xml:space="preserve">Teores definidos pelo CNPE.</w:t>
      </w:r>
      <w:r>
        <w:t xml:space="preserve"> O teor de etanol na gasolina e o teor de biodiesel no óleo diesel são definidos pelo Conselho Nacional de Política Energética (CNPE) e fiscalizados/regulados tecnicamente pela ANP. Portanto, </w:t>
      </w:r>
      <w:r>
        <w:rPr>
          <w:b/>
          <w:bCs/>
        </w:rPr>
        <w:t xml:space="preserve">estão sujeitos a mudança ao longo do tempo</w:t>
      </w:r>
      <w:r>
        <w:t xml:space="preserve"> (ex.: gasolina C com 30% de etanol anidro/E30 a partir de agosto de 2025). Antes de qualquer análise, confirme os regulamentos e teores vigentes </w:t>
      </w:r>
      <w:r>
        <w:rPr>
          <w:b/>
          <w:bCs/>
        </w:rPr>
        <w:t xml:space="preserve">na data da coleta</w:t>
      </w:r>
      <w:r>
        <w:t xml:space="preserve"> — mudanças de teor alteram faixas de conformidade sem alterar o layout do arquivo.</w:t>
      </w:r>
    </w:p>
    <w:p xmlns:wp14="http://schemas.microsoft.com/office/word/2010/wordml" w14:paraId="6D003DE0" wp14:textId="77777777">
      <w:pPr>
        <w:pStyle w:val="Heading1"/>
      </w:pPr>
      <w:r>
        <w:t xml:space="preserve">4. Avaliação de conformidade da amostra (regra geral)</w:t>
      </w:r>
    </w:p>
    <w:p xmlns:wp14="http://schemas.microsoft.com/office/word/2010/wordml" w14:paraId="152FB2D7" wp14:textId="77777777">
      <w:r>
        <w:t xml:space="preserve">Uma amostra é considerada </w:t>
      </w:r>
      <w:r>
        <w:rPr>
          <w:b/>
          <w:bCs/>
        </w:rPr>
        <w:t xml:space="preserve">conforme quanto à qualidade</w:t>
      </w:r>
      <w:r>
        <w:t xml:space="preserve"> se </w:t>
      </w:r>
      <w:r>
        <w:rPr>
          <w:b/>
          <w:bCs/>
        </w:rPr>
        <w:t xml:space="preserve">todos os seus ensaios</w:t>
      </w:r>
      <w:r>
        <w:t xml:space="preserve"> estiverem conformes — </w:t>
      </w:r>
      <w:r>
        <w:rPr>
          <w:b/>
          <w:bCs/>
        </w:rPr>
        <w:t xml:space="preserve">ressalvada a regra do Aspecto</w:t>
      </w:r>
      <w:r>
        <w:t xml:space="preserve"> para etanol e diesel (Seção 5), que exige ensaios complementares.</w:t>
      </w:r>
    </w:p>
    <w:p xmlns:wp14="http://schemas.microsoft.com/office/word/2010/wordml" w14:paraId="2113D407" wp14:textId="77777777">
      <w:r>
        <w:t xml:space="preserve">Procedimento recomendado:</w:t>
      </w:r>
    </w:p>
    <w:p xmlns:wp14="http://schemas.microsoft.com/office/word/2010/wordml" w14:paraId="45260282" wp14:textId="77777777">
      <w:pPr>
        <w:pStyle w:val="ListParagraph"/>
        <w:numPr>
          <w:ilvl w:val="0"/>
          <w:numId w:val="2"/>
        </w:numPr>
      </w:pPr>
      <w:r>
        <w:t xml:space="preserve">Agrupe as linhas por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 (+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Produto</w:t>
      </w:r>
      <w:r>
        <w:t xml:space="preserve">, para segurança).</w:t>
      </w:r>
    </w:p>
    <w:p xmlns:wp14="http://schemas.microsoft.com/office/word/2010/wordml" w14:paraId="64FFF153" wp14:textId="77777777">
      <w:pPr>
        <w:pStyle w:val="ListParagraph"/>
        <w:numPr>
          <w:ilvl w:val="0"/>
          <w:numId w:val="2"/>
        </w:numPr>
      </w:pPr>
      <w:r>
        <w:t xml:space="preserve">Se </w:t>
      </w:r>
      <w:r>
        <w:rPr>
          <w:b/>
          <w:bCs/>
        </w:rPr>
        <w:t xml:space="preserve">nenhum</w:t>
      </w:r>
      <w:r>
        <w:t xml:space="preserve"> ensaio do grupo tiver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 = Não</w:t>
      </w:r>
      <w:r>
        <w:t xml:space="preserve">, a amostra é </w:t>
      </w:r>
      <w:r>
        <w:rPr>
          <w:b/>
          <w:bCs/>
        </w:rPr>
        <w:t xml:space="preserve">conforme</w:t>
      </w:r>
      <w:r>
        <w:t xml:space="preserve">.</w:t>
      </w:r>
    </w:p>
    <w:p xmlns:wp14="http://schemas.microsoft.com/office/word/2010/wordml" w14:paraId="33C8DD16" wp14:textId="77777777">
      <w:pPr>
        <w:pStyle w:val="ListParagraph"/>
        <w:numPr>
          <w:ilvl w:val="0"/>
          <w:numId w:val="2"/>
        </w:numPr>
      </w:pPr>
      <w:r>
        <w:t xml:space="preserve">Se </w:t>
      </w:r>
      <w:r>
        <w:rPr>
          <w:b/>
          <w:bCs/>
        </w:rPr>
        <w:t xml:space="preserve">algum</w:t>
      </w:r>
      <w:r>
        <w:t xml:space="preserve"> ensaio tiver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 = Não</w:t>
      </w:r>
      <w:r>
        <w:t xml:space="preserve">:</w:t>
      </w:r>
    </w:p>
    <w:p xmlns:wp14="http://schemas.microsoft.com/office/word/2010/wordml" w14:paraId="111A4D58" wp14:textId="77777777">
      <w:pPr>
        <w:pStyle w:val="ListParagraph"/>
        <w:numPr>
          <w:ilvl w:val="1"/>
          <w:numId w:val="1"/>
        </w:numPr>
      </w:pPr>
      <w:r>
        <w:t xml:space="preserve">se o único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for em </w:t>
      </w:r>
      <w:r>
        <w:rPr>
          <w:b/>
          <w:bCs/>
        </w:rPr>
        <w:t xml:space="preserve">Aspecto</w:t>
      </w:r>
      <w:r>
        <w:t xml:space="preserve"> de etanol ou diesel, aplique a Seção 5 antes de concluir;</w:t>
      </w:r>
    </w:p>
    <w:p xmlns:wp14="http://schemas.microsoft.com/office/word/2010/wordml" w14:paraId="47DA9DF6" wp14:textId="77777777">
      <w:pPr>
        <w:pStyle w:val="ListParagraph"/>
        <w:numPr>
          <w:ilvl w:val="1"/>
          <w:numId w:val="1"/>
        </w:numPr>
      </w:pPr>
      <w:r>
        <w:t xml:space="preserve">caso contrário (qualquer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fora da exceção do Aspecto), a amostra é </w:t>
      </w:r>
      <w:r>
        <w:rPr>
          <w:b/>
          <w:bCs/>
        </w:rPr>
        <w:t xml:space="preserve">não conforme</w:t>
      </w:r>
      <w:r>
        <w:t xml:space="preserve">.</w:t>
      </w:r>
    </w:p>
    <w:p xmlns:wp14="http://schemas.microsoft.com/office/word/2010/wordml" w14:paraId="48141604" wp14:textId="77777777">
      <w:r>
        <w:t xml:space="preserve">Exemplo em pandas:</w:t>
      </w:r>
    </w:p>
    <w:p xmlns:wp14="http://schemas.microsoft.com/office/word/2010/wordml" w14:paraId="1162E36B" wp14:textId="77777777">
      <w:pPr>
        <w:pStyle w:val="Code"/>
      </w:pPr>
      <w:r>
        <w:t xml:space="preserve">import pandas as pd</w:t>
      </w:r>
    </w:p>
    <w:p xmlns:wp14="http://schemas.microsoft.com/office/word/2010/wordml" w14:paraId="5D4654C6" wp14:textId="77777777">
      <w:pPr>
        <w:pStyle w:val="Code"/>
      </w:pPr>
      <w:r>
        <w:t xml:space="preserve">df = pd.read_csv("PMQC_2026_04.csv", sep=";", encoding="utf-8", dtype=str)</w:t>
      </w:r>
    </w:p>
    <w:p xmlns:wp14="http://schemas.microsoft.com/office/word/2010/wordml" w14:paraId="1B17827B" wp14:textId="77777777">
      <w:pPr>
        <w:pStyle w:val="Code"/>
      </w:pPr>
      <w:r>
        <w:t xml:space="preserve">nc = df[df["Conforme"] == "Não"]</w:t>
      </w:r>
    </w:p>
    <w:p xmlns:wp14="http://schemas.microsoft.com/office/word/2010/wordml" w14:paraId="7980C331" wp14:textId="77777777">
      <w:pPr>
        <w:pStyle w:val="Code"/>
      </w:pPr>
      <w:r>
        <w:t xml:space="preserve">amostras_com_nc = nc["IdNumeric"].unique()  # candidatas a não conformes</w:t>
      </w:r>
    </w:p>
    <w:p xmlns:wp14="http://schemas.microsoft.com/office/word/2010/wordml" w14:paraId="75E98BB9" wp14:textId="77777777">
      <w:pPr>
        <w:pStyle w:val="Code"/>
      </w:pPr>
      <w:r>
        <w:t xml:space="preserve"># antes de concluir, aplicar a regra do Aspecto (Seção 5) às que só têm Não em Aspecto</w:t>
      </w:r>
    </w:p>
    <w:p xmlns:wp14="http://schemas.microsoft.com/office/word/2010/wordml" w14:paraId="6626598F" wp14:textId="77777777">
      <w:pPr>
        <w:pStyle w:val="Code"/>
        <w:spacing w:after="200"/>
      </w:pPr>
      <w:r>
        <w:t xml:space="preserve">so_aspecto = nc.groupby("IdNumeric")["Ensaio"].apply(lambda s: set(s) == {"Aspecto"})</w:t>
      </w:r>
    </w:p>
    <w:p xmlns:wp14="http://schemas.microsoft.com/office/word/2010/wordml" w14:paraId="6AF4B138" wp14:textId="77777777">
      <w:pPr>
        <w:pStyle w:val="Heading2"/>
      </w:pPr>
      <w:r>
        <w:t xml:space="preserve">Exemplo — gasolina (sem exceção de Aspecto)</w:t>
      </w:r>
    </w:p>
    <w:p xmlns:wp14="http://schemas.microsoft.com/office/word/2010/wordml" w14:paraId="4A1DF7BF" wp14:textId="77777777">
      <w:r>
        <w:t xml:space="preserve">Amostra de Gasolina C Premium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 554659</w:t>
      </w:r>
      <w:r>
        <w:t xml:space="preserve">, exemplo do documento original): todos os ensaios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 — Destilação 10%/50%/90%/PFE/Resíduo, Aspecto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Límpido e isento de impurezas (LII)</w:t>
      </w:r>
      <w:r>
        <w:t xml:space="preserve">), Cor, Massa Específica a 20 °C, Teor de Etanol. Logo, a amostra é </w:t>
      </w:r>
      <w:r>
        <w:rPr>
          <w:b/>
          <w:bCs/>
        </w:rPr>
        <w:t xml:space="preserve">conforme</w:t>
      </w:r>
      <w:r>
        <w:t xml:space="preserve">. Para gasolina, qualquer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— inclusive em Aspecto — implica amostra </w:t>
      </w:r>
      <w:r>
        <w:rPr>
          <w:b/>
          <w:bCs/>
        </w:rPr>
        <w:t xml:space="preserve">não conforme</w:t>
      </w:r>
      <w:r>
        <w:t xml:space="preserve">, sem ensaio complementar.</w:t>
      </w:r>
    </w:p>
    <w:p xmlns:wp14="http://schemas.microsoft.com/office/word/2010/wordml" w14:paraId="6A0C0835" wp14:textId="77777777">
      <w:pPr>
        <w:pStyle w:val="Heading1"/>
      </w:pPr>
      <w:r>
        <w:t xml:space="preserve">5. Exceção: ensaios complementares do Aspecto (etanol e diesel)</w:t>
      </w:r>
    </w:p>
    <w:p xmlns:wp14="http://schemas.microsoft.com/office/word/2010/wordml" w14:paraId="0591FBE9" wp14:textId="77777777">
      <w:r>
        <w:t xml:space="preserve">A regra geral tem uma exceção: para </w:t>
      </w:r>
      <w:r>
        <w:rPr>
          <w:b/>
          <w:bCs/>
        </w:rPr>
        <w:t xml:space="preserve">etanol</w:t>
      </w:r>
      <w:r>
        <w:t xml:space="preserve"> e </w:t>
      </w:r>
      <w:r>
        <w:rPr>
          <w:b/>
          <w:bCs/>
        </w:rPr>
        <w:t xml:space="preserve">óleo diesel</w:t>
      </w:r>
      <w:r>
        <w:t xml:space="preserve">, um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isolado em </w:t>
      </w:r>
      <w:r>
        <w:rPr>
          <w:b/>
          <w:bCs/>
        </w:rPr>
        <w:t xml:space="preserve">Aspecto</w:t>
      </w:r>
      <w:r>
        <w:t xml:space="preserve"> não basta para declarar a amostra não conforme. É preciso examinar os </w:t>
      </w:r>
      <w:r>
        <w:rPr>
          <w:b/>
          <w:bCs/>
        </w:rPr>
        <w:t xml:space="preserve">ensaios complementares</w:t>
      </w:r>
      <w:r>
        <w:t xml:space="preserve"> previstos no regulamento.</w:t>
      </w:r>
    </w:p>
    <w:p xmlns:wp14="http://schemas.microsoft.com/office/word/2010/wordml" w14:paraId="4268F4A8" wp14:textId="77777777">
      <w:pPr>
        <w:pStyle w:val="Heading2"/>
      </w:pPr>
      <w:r>
        <w:t xml:space="preserve">5.1 Etanol combustível (RANP nº 907/2022)</w:t>
      </w:r>
    </w:p>
    <w:p xmlns:wp14="http://schemas.microsoft.com/office/word/2010/wordml" w14:paraId="0C1A6BA9" wp14:textId="77777777">
      <w:r>
        <w:t xml:space="preserve">O produto só pode ser considerado reprovado no Aspecto caso o </w:t>
      </w:r>
      <w:r>
        <w:rPr>
          <w:b/>
          <w:bCs/>
        </w:rPr>
        <w:t xml:space="preserve">Resíduo por Evaporação</w:t>
      </w:r>
      <w:r>
        <w:t xml:space="preserve"> esteja não conforme — alternativamente substituível pelo </w:t>
      </w:r>
      <w:r>
        <w:rPr>
          <w:b/>
          <w:bCs/>
        </w:rPr>
        <w:t xml:space="preserve">Teor de Material Não Volátil</w:t>
      </w:r>
      <w:r>
        <w:t xml:space="preserve"> (ABNT NBR 15559), com limite de </w:t>
      </w:r>
      <w:r>
        <w:rPr>
          <w:b/>
          <w:bCs/>
        </w:rPr>
        <w:t xml:space="preserve">5 mg/100 mL</w:t>
      </w:r>
      <w:r>
        <w:t xml:space="preserve">.</w:t>
      </w:r>
    </w:p>
    <w:p xmlns:wp14="http://schemas.microsoft.com/office/word/2010/wordml" w14:paraId="777101C7" wp14:textId="77777777">
      <w:r>
        <w:t xml:space="preserve">Ou seja: amostra de etanol com Aspecto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só é não conforme quanto à qualidade </w:t>
      </w:r>
      <w:r>
        <w:rPr>
          <w:b/>
          <w:bCs/>
        </w:rPr>
        <w:t xml:space="preserve">se, e somente se</w:t>
      </w:r>
      <w:r>
        <w:t xml:space="preserve">, também estiver reprovada no Resíduo por Evaporação ou no Material Não Volátil.</w:t>
      </w:r>
    </w:p>
    <w:p xmlns:wp14="http://schemas.microsoft.com/office/word/2010/wordml" w14:paraId="69634545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Exemplo com complementar conforme:</w:t>
      </w:r>
      <w:r>
        <w:t xml:space="preserve"> amostra de Etanol Hidratado Comum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 486838</w:t>
      </w:r>
      <w:r>
        <w:t xml:space="preserve">, exemplo do documento original) com Aspecto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Límpido com material particulado</w:t>
      </w:r>
      <w:r>
        <w:t xml:space="preserve">) e Material Não Volátil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&lt;5</w:t>
      </w:r>
      <w:r>
        <w:t xml:space="preserve">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): qualidade </w:t>
      </w:r>
      <w:r>
        <w:rPr>
          <w:b/>
          <w:bCs/>
        </w:rPr>
        <w:t xml:space="preserve">confirmada como conforme</w:t>
      </w:r>
      <w:r>
        <w:t xml:space="preserve">.</w:t>
      </w:r>
    </w:p>
    <w:p xmlns:wp14="http://schemas.microsoft.com/office/word/2010/wordml" w14:paraId="17B93DD4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Ausência de complementares:</w:t>
      </w:r>
      <w:r>
        <w:t xml:space="preserve"> sem resultado de Resíduo por Evaporação nem de Material Não Volátil, o vício de qualidade </w:t>
      </w:r>
      <w:r>
        <w:rPr>
          <w:b/>
          <w:bCs/>
        </w:rPr>
        <w:t xml:space="preserve">não pode ser confirmado</w:t>
      </w:r>
      <w:r>
        <w:t xml:space="preserve"> — a amostra é tratada como </w:t>
      </w:r>
      <w:r>
        <w:rPr>
          <w:b/>
          <w:bCs/>
        </w:rPr>
        <w:t xml:space="preserve">conforme</w:t>
      </w:r>
      <w:r>
        <w:t xml:space="preserve"> para fins de julgamento (exemplo do documento original: amostra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557504</w:t>
      </w:r>
      <w:r>
        <w:t xml:space="preserve">).</w:t>
      </w:r>
    </w:p>
    <w:p xmlns:wp14="http://schemas.microsoft.com/office/word/2010/wordml" w14:paraId="5498B594" wp14:textId="77777777">
      <w:pPr>
        <w:pStyle w:val="Callout"/>
        <w:pBdr>
          <w:top w:val="single" w:color="C5D4EB" w:sz="4" w:space="6"/>
          <w:left w:val="single" w:color="C5D4EB" w:sz="4" w:space="6"/>
          <w:bottom w:val="single" w:color="C5D4EB" w:sz="4" w:space="6"/>
          <w:right w:val="single" w:color="C5D4EB" w:sz="4" w:space="6"/>
        </w:pBdr>
        <w:shd w:val="clear" w:color="auto" w:fill="E7EEFB"/>
        <w:spacing w:before="120" w:after="240"/>
      </w:pPr>
      <w:r>
        <w:t xml:space="preserve">Correção editorial: no PDF original, a Tabela 3 e a continuação na página seguinte repetem por engano 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 486838</w:t>
      </w:r>
      <w:r>
        <w:t xml:space="preserve"> nas linhas que deveriam pertencer à amostra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557504</w:t>
      </w:r>
      <w:r>
        <w:t xml:space="preserve">. A descrição acima corrige a atribuição sem alterar o entendimento técnico.</w:t>
      </w:r>
    </w:p>
    <w:p xmlns:wp14="http://schemas.microsoft.com/office/word/2010/wordml" w14:paraId="26A3F925" wp14:textId="77777777">
      <w:pPr>
        <w:pStyle w:val="Heading2"/>
      </w:pPr>
      <w:r>
        <w:t xml:space="preserve">5.2 Óleo diesel — regra vigente (RANP nº 968/2024, art. 16)</w:t>
      </w:r>
    </w:p>
    <w:p xmlns:wp14="http://schemas.microsoft.com/office/word/2010/wordml" w14:paraId="3FE514D5" wp14:textId="77777777">
      <w:r>
        <w:t xml:space="preserve">A RANP nº 968/2024 </w:t>
      </w:r>
      <w:r>
        <w:rPr>
          <w:b/>
          <w:bCs/>
        </w:rPr>
        <w:t xml:space="preserve">revogou a RANP nº 50/2013</w:t>
      </w:r>
      <w:r>
        <w:t xml:space="preserve"> e mudou a regra do Aspecto. Havendo evidência de não atendimento ao Aspecto (produto homogêneo), devem ser realizadas análises complementares conforme o defeito observado:</w:t>
      </w:r>
    </w:p>
    <w:p xmlns:wp14="http://schemas.microsoft.com/office/word/2010/wordml" w14:paraId="27ECD773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Turbidez:</w:t>
      </w:r>
      <w:r>
        <w:t xml:space="preserve">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Teor de Água</w:t>
      </w:r>
      <w:r>
        <w:t xml:space="preserve"> </w:t>
      </w:r>
      <w:r>
        <w:rPr>
          <w:b/>
          <w:bCs/>
        </w:rPr>
        <w:t xml:space="preserve">e</w:t>
      </w:r>
      <w:r>
        <w:t xml:space="preserve">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Contaminação total</w:t>
      </w:r>
      <w:r>
        <w:t xml:space="preserve"> (ambas; basta a primeira vir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para dispensar a segunda e declarar o Aspecto fora de especificação);</w:t>
      </w:r>
    </w:p>
    <w:p xmlns:wp14="http://schemas.microsoft.com/office/word/2010/wordml" w14:paraId="2EB3BD65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Material particulado:</w:t>
      </w:r>
      <w:r>
        <w:t xml:space="preserve"> somente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Contaminação total</w:t>
      </w:r>
      <w:r>
        <w:t xml:space="preserve">;</w:t>
      </w:r>
    </w:p>
    <w:p xmlns:wp14="http://schemas.microsoft.com/office/word/2010/wordml" w14:paraId="63E2D452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Mais de uma fase líquida</w:t>
      </w:r>
      <w:r>
        <w:t xml:space="preserve"> (produto heterogêneo): fora de especificação </w:t>
      </w:r>
      <w:r>
        <w:rPr>
          <w:b/>
          <w:bCs/>
        </w:rPr>
        <w:t xml:space="preserve">direto</w:t>
      </w:r>
      <w:r>
        <w:t xml:space="preserve">, sem complementares.</w:t>
      </w:r>
    </w:p>
    <w:p xmlns:wp14="http://schemas.microsoft.com/office/word/2010/wordml" w14:paraId="10B08C64" wp14:textId="77777777">
      <w:r>
        <w:t xml:space="preserve">O diesel só é considerado fora de especificação no Aspecto se </w:t>
      </w:r>
      <w:r>
        <w:rPr>
          <w:b/>
          <w:bCs/>
        </w:rPr>
        <w:t xml:space="preserve">ao menos uma</w:t>
      </w:r>
      <w:r>
        <w:t xml:space="preserve"> das complementares indicadas estiver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.</w:t>
      </w:r>
    </w:p>
    <w:p xmlns:wp14="http://schemas.microsoft.com/office/word/2010/wordml" w14:paraId="20F384E8" wp14:textId="77777777">
      <w:pPr>
        <w:pStyle w:val="Callout"/>
        <w:pBdr>
          <w:top w:val="single" w:color="C5D4EB" w:sz="4" w:space="6"/>
          <w:left w:val="single" w:color="C5D4EB" w:sz="4" w:space="6"/>
          <w:bottom w:val="single" w:color="C5D4EB" w:sz="4" w:space="6"/>
          <w:right w:val="single" w:color="C5D4EB" w:sz="4" w:space="6"/>
        </w:pBdr>
        <w:shd w:val="clear" w:color="auto" w:fill="E7EEFB"/>
        <w:spacing w:before="120" w:after="240"/>
      </w:pPr>
      <w:r>
        <w:rPr>
          <w:b/>
          <w:bCs/>
        </w:rPr>
        <w:t xml:space="preserve">Regra antiga (RANP nº 50/2013)</w:t>
      </w:r>
      <w:r>
        <w:t xml:space="preserve"> — vale para amostras coletadas sob sua vigência: em caso de disputa, Aspecto fora de especificação se ao menos um complementar estivesse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, sendo os complementares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Teor de Água</w:t>
      </w:r>
      <w:r>
        <w:t xml:space="preserve"> </w:t>
      </w:r>
      <w:r>
        <w:rPr>
          <w:b/>
          <w:bCs/>
        </w:rPr>
        <w:t xml:space="preserve">ou</w:t>
      </w:r>
      <w:r>
        <w:t xml:space="preserve">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Teor de Água e Sedimentos</w:t>
      </w:r>
      <w:r>
        <w:t xml:space="preserve"> (S500) 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Teor de Água</w:t>
      </w:r>
      <w:r>
        <w:t xml:space="preserve"> </w:t>
      </w:r>
      <w:r>
        <w:rPr>
          <w:b/>
          <w:bCs/>
        </w:rPr>
        <w:t xml:space="preserve">ou</w:t>
      </w:r>
      <w:r>
        <w:t xml:space="preserve">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Contaminação total</w:t>
      </w:r>
      <w:r>
        <w:t xml:space="preserve"> (S10). É a essa regra que se referem os exemplos do documento original (amostras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565067</w:t>
      </w:r>
      <w:r>
        <w:t xml:space="preserve"> 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573334</w:t>
      </w:r>
      <w:r>
        <w:t xml:space="preserve">).</w:t>
      </w:r>
    </w:p>
    <w:p xmlns:wp14="http://schemas.microsoft.com/office/word/2010/wordml" w14:paraId="3DCDAFEF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Exemplo com complementares conformes (regra antiga):</w:t>
      </w:r>
      <w:r>
        <w:t xml:space="preserve"> amostra de Óleo Diesel B S500 Comum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 565067</w:t>
      </w:r>
      <w:r>
        <w:t xml:space="preserve">, exemplo do documento original) com Aspecto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Teor de Água e Sedimentos 0,06</w:t>
      </w:r>
      <w:r>
        <w:t xml:space="preserve"> + demais ensaios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: qualidade </w:t>
      </w:r>
      <w:r>
        <w:rPr>
          <w:b/>
          <w:bCs/>
        </w:rPr>
        <w:t xml:space="preserve">confirmada como conforme</w:t>
      </w:r>
      <w:r>
        <w:t xml:space="preserve">.</w:t>
      </w:r>
    </w:p>
    <w:p xmlns:wp14="http://schemas.microsoft.com/office/word/2010/wordml" w14:paraId="37E16B66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Ausência de complementares:</w:t>
      </w:r>
      <w:r>
        <w:t xml:space="preserve"> sem os complementares previstos, o vício </w:t>
      </w:r>
      <w:r>
        <w:rPr>
          <w:b/>
          <w:bCs/>
        </w:rPr>
        <w:t xml:space="preserve">não pode ser confirmado</w:t>
      </w:r>
      <w:r>
        <w:t xml:space="preserve"> (exemplo do documento original: amostra de Diesel B S10 Aditivado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573334</w:t>
      </w:r>
      <w:r>
        <w:t xml:space="preserve">).</w:t>
      </w:r>
    </w:p>
    <w:p xmlns:wp14="http://schemas.microsoft.com/office/word/2010/wordml" w14:paraId="0767DE75" wp14:textId="77777777">
      <w:pPr>
        <w:pStyle w:val="Heading2"/>
      </w:pPr>
      <w:r>
        <w:t xml:space="preserve">5.3 Casos reais no arquivo atual</w:t>
      </w:r>
    </w:p>
    <w:p xmlns:wp14="http://schemas.microsoft.com/office/word/2010/wordml" w14:paraId="1C8BA97B" wp14:textId="77777777">
      <w:r>
        <w:t xml:space="preserve">No arquivo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PMQC_2026_04.csv</w:t>
      </w:r>
      <w:r>
        <w:t xml:space="preserve">, as três amostras com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em Aspecto ilustram a regra:</w:t>
      </w:r>
    </w:p>
    <w:p xmlns:wp14="http://schemas.microsoft.com/office/word/2010/wordml" w14:paraId="56EE4FBF" wp14:textId="77777777">
      <w:pPr>
        <w:pStyle w:val="Caption"/>
      </w:pPr>
      <w:r>
        <w:t xml:space="preserve">Tabela 2 – Amostras com Aspecto "Não" no arquivo PMQC_2026_04.csv</w:t>
      </w:r>
    </w:p>
    <w:tbl>
      <w:tblPr>
        <w:tblW w:w="9071" w:type="dxa"/>
        <w:tblBorders>
          <w:top w:val="single" w:color="C5D4EB" w:sz="8" w:space="0"/>
          <w:left w:val="nil"/>
          <w:bottom w:val="single" w:color="C5D4EB" w:sz="8" w:space="0"/>
          <w:right w:val="nil"/>
          <w:insideH w:val="single" w:color="C5D4EB" w:sz="8" w:space="0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20" w:firstRow="1" w:lastRow="0" w:firstColumn="0" w:lastColumn="0" w:noHBand="0" w:noVBand="1"/>
      </w:tblPr>
      <w:tblGrid>
        <w:gridCol w:w="1089"/>
        <w:gridCol w:w="1633"/>
        <w:gridCol w:w="2268"/>
        <w:gridCol w:w="1996"/>
        <w:gridCol w:w="2085"/>
      </w:tblGrid>
      <w:tr xmlns:wp14="http://schemas.microsoft.com/office/word/2010/wordml" w14:paraId="431E7A6C" wp14:textId="77777777">
        <w:trPr>
          <w:cantSplit/>
          <w:tblHeader/>
        </w:trPr>
        <w:tc>
          <w:tcPr>
            <w:tcW w:w="1089" w:type="dxa"/>
            <w:shd w:val="clear" w:color="auto" w:fill="F8F8F8"/>
            <w:vAlign w:val="center"/>
          </w:tcPr>
          <w:p w14:paraId="5992E8F4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IdNumeric</w:t>
            </w:r>
          </w:p>
        </w:tc>
        <w:tc>
          <w:tcPr>
            <w:tcW w:w="1633" w:type="dxa"/>
            <w:shd w:val="clear" w:color="auto" w:fill="F8F8F8"/>
            <w:vAlign w:val="center"/>
          </w:tcPr>
          <w:p w14:paraId="1655036B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Produto</w:t>
            </w:r>
          </w:p>
        </w:tc>
        <w:tc>
          <w:tcPr>
            <w:tcW w:w="2268" w:type="dxa"/>
            <w:shd w:val="clear" w:color="auto" w:fill="F8F8F8"/>
            <w:vAlign w:val="center"/>
          </w:tcPr>
          <w:p w14:paraId="6032D5B2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Aspecto</w:t>
            </w:r>
          </w:p>
        </w:tc>
        <w:tc>
          <w:tcPr>
            <w:tcW w:w="1996" w:type="dxa"/>
            <w:shd w:val="clear" w:color="auto" w:fill="F8F8F8"/>
            <w:vAlign w:val="center"/>
          </w:tcPr>
          <w:p w14:paraId="0090F492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Complementares</w:t>
            </w:r>
          </w:p>
        </w:tc>
        <w:tc>
          <w:tcPr>
            <w:tcW w:w="2085" w:type="dxa"/>
            <w:shd w:val="clear" w:color="auto" w:fill="F8F8F8"/>
            <w:vAlign w:val="center"/>
          </w:tcPr>
          <w:p w14:paraId="50F08A92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Julgamento da amostra</w:t>
            </w:r>
          </w:p>
        </w:tc>
      </w:tr>
      <w:tr xmlns:wp14="http://schemas.microsoft.com/office/word/2010/wordml" w14:paraId="7857785A" wp14:textId="77777777">
        <w:trPr>
          <w:cantSplit/>
        </w:trPr>
        <w:tc>
          <w:tcPr>
            <w:tcW w:w="1089" w:type="dxa"/>
            <w:vAlign w:val="top"/>
          </w:tcPr>
          <w:p w14:paraId="3FAA542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1033499</w:t>
            </w:r>
          </w:p>
        </w:tc>
        <w:tc>
          <w:tcPr>
            <w:tcW w:w="1633" w:type="dxa"/>
            <w:vAlign w:val="top"/>
          </w:tcPr>
          <w:p w14:paraId="7CD1A6A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Óleo Diesel B S10 - Comum</w:t>
            </w:r>
          </w:p>
        </w:tc>
        <w:tc>
          <w:tcPr>
            <w:tcW w:w="2268" w:type="dxa"/>
            <w:vAlign w:val="top"/>
          </w:tcPr>
          <w:p w14:paraId="0EEAF851" wp14:textId="77777777">
            <w:pPr>
              <w:pStyle w:val="TableText"/>
            </w:pP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</w:t>
            </w:r>
            <w:r>
              <w:rPr>
                <w:sz w:val="20"/>
                <w:szCs w:val="20"/>
              </w:rPr>
              <w:t xml:space="preserve"> (Límpido com material particulado)</w:t>
            </w:r>
          </w:p>
        </w:tc>
        <w:tc>
          <w:tcPr>
            <w:tcW w:w="1996" w:type="dxa"/>
            <w:vAlign w:val="top"/>
          </w:tcPr>
          <w:p w14:paraId="0B8A73D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Contaminação total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0</w:t>
            </w:r>
            <w:r>
              <w:rPr>
                <w:sz w:val="20"/>
                <w:szCs w:val="20"/>
              </w:rPr>
              <w:t xml:space="preserve"> = Sim</w:t>
            </w:r>
          </w:p>
        </w:tc>
        <w:tc>
          <w:tcPr>
            <w:tcW w:w="2085" w:type="dxa"/>
            <w:vAlign w:val="top"/>
          </w:tcPr>
          <w:p w14:paraId="74F4868F" wp14:textId="77777777">
            <w:pPr>
              <w:pStyle w:val="TableText"/>
            </w:pPr>
            <w:r>
              <w:rPr>
                <w:b/>
                <w:bCs/>
                <w:sz w:val="20"/>
                <w:szCs w:val="20"/>
              </w:rPr>
              <w:t xml:space="preserve">Conforme</w:t>
            </w:r>
            <w:r>
              <w:rPr>
                <w:sz w:val="20"/>
                <w:szCs w:val="20"/>
              </w:rPr>
              <w:t xml:space="preserve"> (complementar conforme)</w:t>
            </w:r>
          </w:p>
        </w:tc>
      </w:tr>
      <w:tr xmlns:wp14="http://schemas.microsoft.com/office/word/2010/wordml" w14:paraId="7028E9A4" wp14:textId="77777777">
        <w:trPr>
          <w:cantSplit/>
        </w:trPr>
        <w:tc>
          <w:tcPr>
            <w:tcW w:w="1089" w:type="dxa"/>
            <w:vAlign w:val="top"/>
          </w:tcPr>
          <w:p w14:paraId="1773078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1033633</w:t>
            </w:r>
          </w:p>
        </w:tc>
        <w:tc>
          <w:tcPr>
            <w:tcW w:w="1633" w:type="dxa"/>
            <w:vAlign w:val="top"/>
          </w:tcPr>
          <w:p w14:paraId="64EC751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Óleo Diesel B S10 - Aditivado</w:t>
            </w:r>
          </w:p>
        </w:tc>
        <w:tc>
          <w:tcPr>
            <w:tcW w:w="2268" w:type="dxa"/>
            <w:vAlign w:val="top"/>
          </w:tcPr>
          <w:p w14:paraId="4656A5E3" wp14:textId="77777777">
            <w:pPr>
              <w:pStyle w:val="TableText"/>
            </w:pP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</w:t>
            </w:r>
            <w:r>
              <w:rPr>
                <w:sz w:val="20"/>
                <w:szCs w:val="20"/>
              </w:rPr>
              <w:t xml:space="preserve"> (Límpido com material particulado)</w:t>
            </w:r>
          </w:p>
        </w:tc>
        <w:tc>
          <w:tcPr>
            <w:tcW w:w="1996" w:type="dxa"/>
            <w:vAlign w:val="top"/>
          </w:tcPr>
          <w:p w14:paraId="60DB710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Água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17 mg/kg</w:t>
            </w:r>
            <w:r>
              <w:rPr>
                <w:sz w:val="20"/>
                <w:szCs w:val="20"/>
              </w:rPr>
              <w:t xml:space="preserve"> = Sim</w:t>
            </w:r>
          </w:p>
        </w:tc>
        <w:tc>
          <w:tcPr>
            <w:tcW w:w="2085" w:type="dxa"/>
            <w:vAlign w:val="top"/>
          </w:tcPr>
          <w:p w14:paraId="401D826B" wp14:textId="77777777">
            <w:pPr>
              <w:pStyle w:val="TableText"/>
            </w:pPr>
            <w:r>
              <w:rPr>
                <w:b/>
                <w:bCs/>
                <w:sz w:val="20"/>
                <w:szCs w:val="20"/>
              </w:rPr>
              <w:t xml:space="preserve">Conforme</w:t>
            </w:r>
            <w:r>
              <w:rPr>
                <w:sz w:val="20"/>
                <w:szCs w:val="20"/>
              </w:rPr>
              <w:t xml:space="preserve"> (complementar conforme)</w:t>
            </w:r>
          </w:p>
        </w:tc>
      </w:tr>
      <w:tr xmlns:wp14="http://schemas.microsoft.com/office/word/2010/wordml" w14:paraId="5B06DEF4" wp14:textId="77777777">
        <w:trPr>
          <w:cantSplit/>
        </w:trPr>
        <w:tc>
          <w:tcPr>
            <w:tcW w:w="1089" w:type="dxa"/>
            <w:vAlign w:val="top"/>
          </w:tcPr>
          <w:p w14:paraId="42EA43B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1038118</w:t>
            </w:r>
          </w:p>
        </w:tc>
        <w:tc>
          <w:tcPr>
            <w:tcW w:w="1633" w:type="dxa"/>
            <w:vAlign w:val="top"/>
          </w:tcPr>
          <w:p w14:paraId="7CEC833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Óleo Diesel B S10 - Comum</w:t>
            </w:r>
          </w:p>
        </w:tc>
        <w:tc>
          <w:tcPr>
            <w:tcW w:w="2268" w:type="dxa"/>
            <w:vAlign w:val="top"/>
          </w:tcPr>
          <w:p w14:paraId="0521846B" wp14:textId="77777777">
            <w:pPr>
              <w:pStyle w:val="TableText"/>
            </w:pP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</w:t>
            </w:r>
            <w:r>
              <w:rPr>
                <w:sz w:val="20"/>
                <w:szCs w:val="20"/>
              </w:rPr>
              <w:t xml:space="preserve"> (Turvo e isento de impurezas)</w:t>
            </w:r>
          </w:p>
        </w:tc>
        <w:tc>
          <w:tcPr>
            <w:tcW w:w="1996" w:type="dxa"/>
            <w:vAlign w:val="top"/>
          </w:tcPr>
          <w:p w14:paraId="2109830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Água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190 mg/kg</w:t>
            </w:r>
            <w:r>
              <w:rPr>
                <w:sz w:val="20"/>
                <w:szCs w:val="20"/>
              </w:rPr>
              <w:t xml:space="preserve"> = Sim</w:t>
            </w:r>
          </w:p>
        </w:tc>
        <w:tc>
          <w:tcPr>
            <w:tcW w:w="2085" w:type="dxa"/>
            <w:vAlign w:val="top"/>
          </w:tcPr>
          <w:p w14:paraId="2AD59FC7" wp14:textId="77777777">
            <w:pPr>
              <w:pStyle w:val="TableText"/>
            </w:pPr>
            <w:r>
              <w:rPr>
                <w:b/>
                <w:bCs/>
                <w:sz w:val="20"/>
                <w:szCs w:val="20"/>
              </w:rPr>
              <w:t xml:space="preserve">Conforme</w:t>
            </w:r>
            <w:r>
              <w:rPr>
                <w:sz w:val="20"/>
                <w:szCs w:val="20"/>
              </w:rPr>
              <w:t xml:space="preserve"> (complementar conforme)</w:t>
            </w:r>
          </w:p>
        </w:tc>
      </w:tr>
    </w:tbl>
    <w:p xmlns:wp14="http://schemas.microsoft.com/office/word/2010/wordml" w14:paraId="449FCCDB" wp14:textId="77777777">
      <w:pPr>
        <w:pStyle w:val="Source"/>
      </w:pPr>
      <w:r>
        <w:t xml:space="preserve">Fonte: ANP/SBQ, arquivo PMQC_2026_04.csv.</w:t>
      </w:r>
    </w:p>
    <w:p xmlns:wp14="http://schemas.microsoft.com/office/word/2010/wordml" w14:paraId="0CFE796B" wp14:textId="77777777">
      <w:r>
        <w:t xml:space="preserve">Repare que, nesses casos, 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aparece </w:t>
      </w:r>
      <w:r>
        <w:rPr>
          <w:b/>
          <w:bCs/>
        </w:rPr>
        <w:t xml:space="preserve">só no Aspecto</w:t>
      </w:r>
      <w:r>
        <w:t xml:space="preserve"> e os complementares estão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 — por isso as amostras seguem conformes no julgamento por amostra, embora o arquivo integral preserve 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do ensaio.</w:t>
      </w:r>
    </w:p>
    <w:p xmlns:wp14="http://schemas.microsoft.com/office/word/2010/wordml" w14:paraId="5E8C4810" wp14:textId="77777777">
      <w:pPr>
        <w:pStyle w:val="Heading1"/>
      </w:pPr>
      <w:r>
        <w:t xml:space="preserve">6. Limites e cuidados de análise</w:t>
      </w:r>
    </w:p>
    <w:p xmlns:wp14="http://schemas.microsoft.com/office/word/2010/wordml" w14:paraId="07651FB5" wp14:textId="77777777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Não some </w:t>
      </w:r>
      <w:r>
        <w:rPr>
          <w:rFonts w:ascii="Consolas" w:hAnsi="Consolas" w:cs="Consolas"/>
          <w:b/>
          <w:bCs/>
          <w:sz w:val="21"/>
          <w:szCs w:val="21"/>
          <w:shd w:val="clear" w:color="auto" w:fill="F0F0F0"/>
        </w:rPr>
        <w:t xml:space="preserve">Não</w:t>
      </w:r>
      <w:r>
        <w:rPr>
          <w:b/>
          <w:bCs/>
        </w:rPr>
        <w:t xml:space="preserve"> como "amostras reprovadas" sem agregar.</w:t>
      </w:r>
      <w:r>
        <w:t xml:space="preserve"> A unidade de contagem do arquivo é o ensaio; a unidade de julgamento é a amostra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). Uma amostra pode gerar várias linhas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do mesmo ensaio (replicatas de medição/lançamento).</w:t>
      </w:r>
    </w:p>
    <w:p xmlns:wp14="http://schemas.microsoft.com/office/word/2010/wordml" w14:paraId="3E0297D5" wp14:textId="77777777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Trate replicatas explicitamente.</w:t>
      </w:r>
      <w:r>
        <w:t xml:space="preserve"> O mesmo par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Ensaio</w:t>
      </w:r>
      <w:r>
        <w:t xml:space="preserve">) pode se repetir com o mesmo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Resultado</w:t>
      </w:r>
      <w:r>
        <w:t xml:space="preserve">. Defina e documente se conta linhas ou combinações distintas.</w:t>
      </w:r>
    </w:p>
    <w:p xmlns:wp14="http://schemas.microsoft.com/office/word/2010/wordml" w14:paraId="41E1D16A" wp14:textId="77777777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Respeite os valores qualitativos.</w:t>
      </w:r>
      <w:r>
        <w:t xml:space="preserve">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Resultado</w:t>
      </w:r>
      <w:r>
        <w:t xml:space="preserve"> inclui textos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Límpido e isento de impurezas (LII)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Amarelo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 detectado</w:t>
      </w:r>
      <w:r>
        <w:t xml:space="preserve">) e limites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&lt; 2.0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&lt;5</w:t>
      </w:r>
      <w:r>
        <w:t xml:space="preserve">). Não os converta cegamente para número.</w:t>
      </w:r>
    </w:p>
    <w:p xmlns:wp14="http://schemas.microsoft.com/office/word/2010/wordml" w14:paraId="3BDEE4E9" wp14:textId="77777777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Unidade vazia é normal</w:t>
      </w:r>
      <w:r>
        <w:t xml:space="preserve"> em ensaios qualitativos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Aspecto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Cor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Cor ASTM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Teor de Hidrocarbonetos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pH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Contaminação total</w:t>
      </w:r>
      <w:r>
        <w:t xml:space="preserve">, variantes D7039).</w:t>
      </w:r>
    </w:p>
    <w:p xmlns:wp14="http://schemas.microsoft.com/office/word/2010/wordml" w14:paraId="45C4804E" wp14:textId="77777777">
      <w:pPr>
        <w:pStyle w:val="ListParagraph"/>
        <w:numPr>
          <w:ilvl w:val="0"/>
          <w:numId w:val="3"/>
        </w:numPr>
        <w:rPr/>
      </w:pPr>
      <w:r w:rsidR="0486EEE8">
        <w:rPr>
          <w:b w:val="1"/>
          <w:bCs w:val="1"/>
        </w:rPr>
        <w:t xml:space="preserve">Contextualize teores no tempo.</w:t>
      </w:r>
      <w:r w:rsidR="0486EEE8">
        <w:rPr/>
        <w:t xml:space="preserve"> O teor de etanol na gasolina e o teor de biodiesel no óleo diesel são </w:t>
      </w:r>
      <w:r w:rsidR="0486EEE8">
        <w:rPr>
          <w:b w:val="1"/>
          <w:bCs w:val="1"/>
        </w:rPr>
        <w:t xml:space="preserve">definidos pelo CNPE</w:t>
      </w:r>
      <w:r w:rsidR="0486EEE8">
        <w:rPr/>
        <w:t xml:space="preserve"> e fiscalizados/regulados tecnicamente pela </w:t>
      </w:r>
      <w:r w:rsidR="0486EEE8">
        <w:rPr>
          <w:b w:val="1"/>
          <w:bCs w:val="1"/>
        </w:rPr>
        <w:t xml:space="preserve">ANP</w:t>
      </w:r>
      <w:r w:rsidR="0486EEE8">
        <w:rPr/>
        <w:t xml:space="preserve">, logo </w:t>
      </w:r>
      <w:r w:rsidR="0486EEE8">
        <w:rPr>
          <w:b w:val="1"/>
          <w:bCs w:val="1"/>
        </w:rPr>
        <w:t xml:space="preserve">mudam ao longo do tempo</w:t>
      </w:r>
      <w:r w:rsidR="0486EEE8">
        <w:rPr/>
        <w:t xml:space="preserve">. Valores como Teor de Biodiesel em </w:t>
      </w:r>
      <w:r w:rsidR="0486EEE8">
        <w:rPr>
          <w:rFonts w:ascii="Consolas" w:hAnsi="Consolas" w:cs="Consolas"/>
          <w:sz w:val="21"/>
          <w:szCs w:val="21"/>
          <w:shd w:val="clear" w:color="auto" w:fill="F0F0F0"/>
        </w:rPr>
        <w:t xml:space="preserve">15 % volume</w:t>
      </w:r>
      <w:r w:rsidR="0486EEE8">
        <w:rPr/>
        <w:t xml:space="preserve"> ou Teor de Etanol em </w:t>
      </w:r>
      <w:r w:rsidR="0486EEE8">
        <w:rPr>
          <w:rFonts w:ascii="Consolas" w:hAnsi="Consolas" w:cs="Consolas"/>
          <w:sz w:val="21"/>
          <w:szCs w:val="21"/>
          <w:shd w:val="clear" w:color="auto" w:fill="F0F0F0"/>
        </w:rPr>
        <w:t xml:space="preserve">26–30 %</w:t>
      </w:r>
      <w:r w:rsidR="0486EEE8">
        <w:rPr/>
        <w:t xml:space="preserve"> refletem o teor vigente à época da coleta — sempre confronte com a data (</w:t>
      </w:r>
      <w:r w:rsidR="0486EEE8">
        <w:rPr>
          <w:rFonts w:ascii="Consolas" w:hAnsi="Consolas" w:cs="Consolas"/>
          <w:sz w:val="21"/>
          <w:szCs w:val="21"/>
          <w:shd w:val="clear" w:color="auto" w:fill="F0F0F0"/>
        </w:rPr>
        <w:t xml:space="preserve">DataColeta</w:t>
      </w:r>
      <w:r w:rsidR="0486EEE8">
        <w:rPr/>
        <w:t xml:space="preserve">) e o ato do CNPE então vigente.</w:t>
      </w:r>
    </w:p>
    <w:p xmlns:wp14="http://schemas.microsoft.com/office/word/2010/wordml" w14:paraId="588B24E8" wp14:textId="77777777">
      <w:pPr>
        <w:pStyle w:val="Heading1"/>
      </w:pPr>
      <w:r>
        <w:t xml:space="preserve">7. O que foi corrigido nesta revisão</w:t>
      </w:r>
    </w:p>
    <w:p xmlns:wp14="http://schemas.microsoft.com/office/word/2010/wordml" w14:paraId="4D2D1FCF" wp14:textId="77777777">
      <w:pPr>
        <w:pStyle w:val="ListParagraph"/>
        <w:numPr>
          <w:ilvl w:val="0"/>
          <w:numId w:val="1"/>
        </w:numPr>
      </w:pPr>
      <w:r>
        <w:t xml:space="preserve">Substituída a premissa do "cadastro positivo" pela </w:t>
      </w:r>
      <w:r>
        <w:rPr>
          <w:b/>
          <w:bCs/>
        </w:rPr>
        <w:t xml:space="preserve">abertura integral</w:t>
      </w:r>
      <w:r>
        <w:t xml:space="preserve"> (ensaios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 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).</w:t>
      </w:r>
    </w:p>
    <w:p xmlns:wp14="http://schemas.microsoft.com/office/word/2010/wordml" w14:paraId="1D0D31B9" wp14:textId="77777777">
      <w:pPr>
        <w:pStyle w:val="ListParagraph"/>
        <w:numPr>
          <w:ilvl w:val="0"/>
          <w:numId w:val="1"/>
        </w:numPr>
      </w:pPr>
      <w:r>
        <w:t xml:space="preserve">Explicitada a distinção </w:t>
      </w:r>
      <w:r>
        <w:rPr>
          <w:b/>
          <w:bCs/>
        </w:rPr>
        <w:t xml:space="preserve">ensaio × amostra</w:t>
      </w:r>
      <w:r>
        <w:t xml:space="preserve"> e o procedimento de agregação por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.</w:t>
      </w:r>
    </w:p>
    <w:p xmlns:wp14="http://schemas.microsoft.com/office/word/2010/wordml" w14:paraId="2E74E4EC" wp14:textId="77777777">
      <w:pPr>
        <w:pStyle w:val="ListParagraph"/>
        <w:numPr>
          <w:ilvl w:val="0"/>
          <w:numId w:val="1"/>
        </w:numPr>
      </w:pPr>
      <w:r>
        <w:t xml:space="preserve">Corrigida a atribuição trocada de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 nas tabelas do exemplo de etanol (486838 × 557504).</w:t>
      </w:r>
    </w:p>
    <w:p xmlns:wp14="http://schemas.microsoft.com/office/word/2010/wordml" w14:paraId="517E7CF7" wp14:textId="77777777">
      <w:pPr>
        <w:pStyle w:val="ListParagraph"/>
        <w:numPr>
          <w:ilvl w:val="0"/>
          <w:numId w:val="1"/>
        </w:numPr>
      </w:pPr>
      <w:r>
        <w:t xml:space="preserve">Atualizados os exemplos com casos reais do arquivo vigente.</w:t>
      </w:r>
    </w:p>
    <w:p xmlns:wp14="http://schemas.microsoft.com/office/word/2010/wordml" w14:paraId="4DA150F4" wp14:textId="77777777">
      <w:pPr>
        <w:pStyle w:val="ListParagraph"/>
        <w:numPr>
          <w:ilvl w:val="0"/>
          <w:numId w:val="1"/>
        </w:numPr>
      </w:pPr>
      <w:r>
        <w:t xml:space="preserve">Atualizada a base normativa: diesel agora sob a </w:t>
      </w:r>
      <w:r>
        <w:rPr>
          <w:b/>
          <w:bCs/>
        </w:rPr>
        <w:t xml:space="preserve">RANP nº 968/2024</w:t>
      </w:r>
      <w:r>
        <w:t xml:space="preserve"> (revogou a 50/2013), com a </w:t>
      </w:r>
      <w:r>
        <w:rPr>
          <w:b/>
          <w:bCs/>
        </w:rPr>
        <w:t xml:space="preserve">nova regra do Aspecto</w:t>
      </w:r>
      <w:r>
        <w:t xml:space="preserve"> (art. 16) e preservação da regra antiga para séries históricas; links para RANP 907/2022, 807/2020 e 968/2024.</w:t>
      </w:r>
    </w:p>
    <w:p xmlns:wp14="http://schemas.microsoft.com/office/word/2010/wordml" w14:paraId="31270358" wp14:textId="77777777">
      <w:pPr>
        <w:pStyle w:val="ListParagraph"/>
        <w:numPr>
          <w:ilvl w:val="0"/>
          <w:numId w:val="1"/>
        </w:numPr>
      </w:pPr>
      <w:r>
        <w:t xml:space="preserve">Adicionada a advertência sobre regulamentos vigentes e teores definidos pelo </w:t>
      </w:r>
      <w:r>
        <w:rPr>
          <w:b/>
          <w:bCs/>
        </w:rPr>
        <w:t xml:space="preserve">CNPE</w:t>
      </w:r>
      <w:r>
        <w:t xml:space="preserve"> (etanol na gasolina, biodiesel no diesel), sujeitos a mudança no tempo.</w:t>
      </w:r>
    </w:p>
    <w:p xmlns:wp14="http://schemas.microsoft.com/office/word/2010/wordml" w14:paraId="26352511" wp14:textId="77777777">
      <w:pPr>
        <w:pStyle w:val="ListParagraph"/>
        <w:numPr>
          <w:ilvl w:val="0"/>
          <w:numId w:val="1"/>
        </w:numPr>
      </w:pPr>
      <w:r>
        <w:t xml:space="preserve">Uniformizada a terminologia com o documento de metadados revisado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Óleo Diesel</w:t>
      </w:r>
      <w:r>
        <w:t xml:space="preserve">, ISO 8601,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</w:t>
      </w:r>
      <w:r>
        <w:t xml:space="preserve"> como texto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/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).</w:t>
      </w:r>
    </w:p>
    <w:sectPr>
      <w:headerReference w:type="default" r:id="rIdH1"/>
      <w:headerReference w:type="first" r:id="rIdH2"/>
      <w:footerReference w:type="default" r:id="rIdF1"/>
      <w:footerReference w:type="first" r:id="rIdF2"/>
      <w:pgSz w:w="11906" w:h="16838" w:orient="portrait"/>
      <w:pgMar w:top="1701" w:right="1134" w:bottom="1134" w:left="1701" w:header="709" w:footer="567" w:gutter="0"/>
      <w:titlePg/>
      <w:cols w:num="1"/>
    </w:sectPr>
  </w:body>
</w:document>
</file>

<file path=word/footer1.xml><?xml version="1.0" encoding="utf-8"?>
<w:ft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2A0B0042" wp14:textId="77777777">
    <w:pPr>
      <w:pStyle w:val="Footer"/>
    </w:pPr>
    <w:r>
      <w:drawing>
        <wp:inline xmlns:wp14="http://schemas.microsoft.com/office/word/2010/wordprocessingDrawing" distT="0" distB="0" distL="0" distR="0" wp14:anchorId="13760DE6" wp14:editId="7777777">
          <wp:extent cx="792000" cy="344856"/>
          <wp:docPr id="2" name="Logo ANP horizontal" descr="Logomarca ANP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Logo ANP horizontal"/>
                  <pic:cNvPicPr/>
                </pic:nvPicPr>
                <pic:blipFill>
                  <a:blip r:embed="rIdLogoH"/>
                  <a:stretch>
                    <a:fillRect/>
                  </a:stretch>
                </pic:blipFill>
                <pic:spPr>
                  <a:xfrm>
                    <a:off x="0" y="0"/>
                    <a:ext cx="792000" cy="344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</w:p>
</w:ftr>
</file>

<file path=word/footer2.xml><?xml version="1.0" encoding="utf-8"?>
<w:ft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5DAB6C7B" wp14:textId="77777777"/>
</w:ftr>
</file>

<file path=word/header1.xml><?xml version="1.0" encoding="utf-8"?>
<w:hd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600F5F07" wp14:textId="77777777">
    <w:pPr>
      <w:pStyle w:val="Header"/>
    </w:pPr>
    <w:r>
      <w:t xml:space="preserve">Orientações para Análise dos Dados Abertos do PMQC</w:t>
    </w:r>
  </w:p>
</w:hdr>
</file>

<file path=word/header2.xml><?xml version="1.0" encoding="utf-8"?>
<w:hd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02EB378F" wp14:textId="77777777"/>
</w:hdr>
</file>

<file path=word/numbering.xml><?xml version="1.0" encoding="utf-8"?>
<w:numbering xmlns:w="http://schemas.openxmlformats.org/wordprocessingml/2006/main">
  <w:abstractNum w:abstractNumId="0">
    <w:nsid w:val="4f51bc52"/>
    <w:multiLevelType w:val="hybridMultilevel"/>
    <w:lvl w:ilvl="0">
      <w:start w:val="1"/>
      <w:numFmt w:val="bullet"/>
      <w:lvlText w:val="•"/>
      <w:lvlJc w:val="left"/>
      <w:pPr>
        <w:ind w:left="500" w:hanging="340"/>
      </w:pPr>
      <w:rPr>
        <w:rFonts w:ascii="Segoe UI" w:hAnsi="Segoe UI" w:cs="Segoe UI"/>
        <w:color w:val="006A40"/>
      </w:rPr>
    </w:lvl>
    <w:lvl w:ilvl="1">
      <w:start w:val="1"/>
      <w:numFmt w:val="bullet"/>
      <w:lvlText w:val="–"/>
      <w:lvlJc w:val="left"/>
      <w:pPr>
        <w:ind w:left="900" w:hanging="340"/>
      </w:pPr>
      <w:rPr>
        <w:rFonts w:ascii="Segoe UI" w:hAnsi="Segoe UI" w:cs="Segoe UI"/>
        <w:color w:val="006A4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1efce9b7"/>
    <w:multiLevelType w:val="hybridMultilevel"/>
    <w:lvl w:ilvl="0">
      <w:start w:val="1"/>
      <w:numFmt w:val="decimal"/>
      <w:lvlText w:val="%1."/>
      <w:lvlJc w:val="left"/>
      <w:pPr>
        <w:ind w:left="500" w:hanging="340"/>
      </w:pPr>
    </w:lvl>
    <w:lvl w:ilvl="1">
      <w:start w:val="1"/>
      <w:numFmt w:val="lowerLetter"/>
      <w:lvlText w:val="%2."/>
      <w:lvlJc w:val="left"/>
      <w:pPr>
        <w:ind w:left="900" w:hanging="34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trackRevisions w:val="false"/>
  <w:defaultTabStop w:val="709"/>
  <w:updateFields w:val="true"/>
  <w:compat>
    <w:compatSetting w:name="compatibilityMode" w:uri="http://schemas.microsoft.com/office/word" w:val="15"/>
  </w:compat>
  <w:rsids>
    <w:rsidRoot w:val="1A56094C"/>
    <w:rsid w:val="0486EEE8"/>
    <w:rsid w:val="1A56094C"/>
  </w:rsids>
  <w14:docId w14:val="245E8AAE"/>
  <w15:docId w15:val="{C8754156-13B2-4933-BC22-B43C83A6D9A7}"/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docDefaults>
    <w:rPrDefault>
      <w:rPr>
        <w:rFonts w:ascii="Segoe UI" w:hAnsi="Segoe UI" w:eastAsia="Segoe UI" w:cs="Segoe UI"/>
        <w:sz w:val="24"/>
        <w:szCs w:val="24"/>
        <w:lang w:val="pt-BR" w:eastAsia="pt-BR" w:bidi="ar-SA"/>
      </w:rPr>
    </w:rPrDefault>
    <w:pPrDefault>
      <w:pPr>
        <w:spacing w:after="120" w:line="324" w:lineRule="auto"/>
      </w:pPr>
    </w:pPrDefault>
  </w:docDefaults>
  <w:style w:type="paragraph" w:styleId="Normal" w:default="1">
    <w:name w:val="Normal"/>
    <w:qFormat/>
    <w:rPr>
      <w:color w:val="1A1A1A"/>
    </w:rPr>
  </w:style>
  <w:style w:type="character" w:styleId="DefaultParagraphFont" w:default="1">
    <w:name w:val="Default Paragraph Font"/>
    <w:uiPriority w:val="1"/>
    <w:semiHidden/>
  </w:style>
  <w:style w:type="table" w:styleId="TableNormal" w:default="1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C5D4EB" w:sz="6" w:space="4"/>
      </w:pBdr>
      <w:spacing w:before="400" w:after="160" w:line="276" w:lineRule="auto"/>
      <w:outlineLvl w:val="0"/>
    </w:pPr>
    <w:rPr>
      <w:rFonts w:ascii="Segoe UI Semibold" w:hAnsi="Segoe UI Semibold" w:cs="Segoe UI Semibold"/>
      <w:color w:val="006A4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 w:line="276" w:lineRule="auto"/>
      <w:outlineLvl w:val="1"/>
    </w:pPr>
    <w:rPr>
      <w:rFonts w:ascii="Segoe UI Semibold" w:hAnsi="Segoe UI Semibold" w:cs="Segoe UI Semibold"/>
      <w:color w:val="111111"/>
      <w:sz w:val="28"/>
      <w:szCs w:val="28"/>
    </w:rPr>
  </w:style>
  <w:style w:type="paragraph" w:styleId="Title">
    <w:name w:val="Title"/>
    <w:basedOn w:val="Normal"/>
    <w:next w:val="Normal"/>
    <w:qFormat/>
    <w:pPr>
      <w:spacing w:before="0" w:after="160" w:line="276" w:lineRule="auto"/>
      <w:jc w:val="center"/>
    </w:pPr>
    <w:rPr>
      <w:b/>
      <w:bCs/>
      <w:color w:val="000000"/>
      <w:sz w:val="48"/>
      <w:szCs w:val="48"/>
    </w:rPr>
  </w:style>
  <w:style w:type="paragraph" w:styleId="Subtitle">
    <w:name w:val="Subtitle"/>
    <w:basedOn w:val="Normal"/>
    <w:next w:val="Normal"/>
    <w:qFormat/>
    <w:pPr>
      <w:spacing w:before="0" w:after="120"/>
      <w:jc w:val="center"/>
    </w:pPr>
    <w:rPr>
      <w:color w:val="454545"/>
      <w:sz w:val="28"/>
      <w:szCs w:val="28"/>
    </w:rPr>
  </w:style>
  <w:style w:type="paragraph" w:styleId="CoverMeta">
    <w:name w:val="Cover Meta"/>
    <w:basedOn w:val="Normal"/>
    <w:qFormat/>
    <w:pPr>
      <w:spacing w:before="0" w:after="40"/>
      <w:jc w:val="center"/>
    </w:pPr>
    <w:rPr>
      <w:color w:val="1A1A1A"/>
      <w:sz w:val="24"/>
      <w:szCs w:val="24"/>
    </w:rPr>
  </w:style>
  <w:style w:type="paragraph" w:styleId="TOCHeading">
    <w:name w:val="TOC Heading"/>
    <w:basedOn w:val="Normal"/>
    <w:next w:val="Normal"/>
    <w:qFormat/>
    <w:pPr>
      <w:keepNext/>
      <w:spacing w:before="0" w:after="240"/>
    </w:pPr>
    <w:rPr>
      <w:rFonts w:ascii="Segoe UI Semibold" w:hAnsi="Segoe UI Semibold" w:cs="Segoe UI Semibold"/>
      <w:color w:val="006A40"/>
      <w:sz w:val="32"/>
      <w:szCs w:val="32"/>
    </w:rPr>
  </w:style>
  <w:style w:type="paragraph" w:styleId="TOC1">
    <w:name w:val="toc 1"/>
    <w:basedOn w:val="Normal"/>
    <w:qFormat/>
    <w:pPr>
      <w:tabs>
        <w:tab w:val="right" w:leader="dot" w:pos="9071"/>
      </w:tabs>
      <w:spacing w:before="60" w:after="60"/>
    </w:pPr>
    <w:rPr>
      <w:sz w:val="24"/>
      <w:szCs w:val="24"/>
    </w:rPr>
  </w:style>
  <w:style w:type="paragraph" w:styleId="TOC2">
    <w:name w:val="toc 2"/>
    <w:basedOn w:val="Normal"/>
    <w:qFormat/>
    <w:pPr>
      <w:tabs>
        <w:tab w:val="right" w:leader="dot" w:pos="9071"/>
      </w:tabs>
      <w:spacing w:before="0" w:after="40"/>
      <w:ind w:left="340"/>
    </w:pPr>
    <w:rPr>
      <w:color w:val="454545"/>
      <w:sz w:val="22"/>
      <w:szCs w:val="22"/>
    </w:rPr>
  </w:style>
  <w:style w:type="paragraph" w:styleId="Caption">
    <w:name w:val="caption"/>
    <w:basedOn w:val="Normal"/>
    <w:next w:val="Normal"/>
    <w:qFormat/>
    <w:pPr>
      <w:keepNext/>
      <w:keepLines/>
      <w:spacing w:before="240" w:after="100" w:line="259" w:lineRule="auto"/>
      <w:jc w:val="center"/>
    </w:pPr>
    <w:rPr>
      <w:rFonts w:ascii="Segoe UI Semibold" w:hAnsi="Segoe UI Semibold" w:cs="Segoe UI Semibold"/>
      <w:color w:val="000000"/>
      <w:sz w:val="24"/>
      <w:szCs w:val="24"/>
    </w:rPr>
  </w:style>
  <w:style w:type="paragraph" w:styleId="Source">
    <w:name w:val="Fonte"/>
    <w:basedOn w:val="Normal"/>
    <w:qFormat/>
    <w:pPr>
      <w:spacing w:before="80" w:after="280" w:line="259" w:lineRule="auto"/>
    </w:pPr>
    <w:rPr>
      <w:color w:val="454545"/>
      <w:sz w:val="20"/>
      <w:szCs w:val="20"/>
    </w:rPr>
  </w:style>
  <w:style w:type="paragraph" w:styleId="TableText">
    <w:name w:val="Texto de Tabela"/>
    <w:basedOn w:val="Normal"/>
    <w:qFormat/>
    <w:pPr>
      <w:spacing w:before="0" w:after="0" w:line="259" w:lineRule="auto"/>
    </w:pPr>
    <w:rPr>
      <w:sz w:val="20"/>
      <w:szCs w:val="20"/>
    </w:rPr>
  </w:style>
  <w:style w:type="paragraph" w:styleId="Callout">
    <w:name w:val="Destaque"/>
    <w:basedOn w:val="Normal"/>
    <w:qFormat/>
    <w:pPr>
      <w:keepLines/>
      <w:ind w:left="170" w:right="170"/>
    </w:pPr>
    <w:rPr>
      <w:sz w:val="22"/>
      <w:szCs w:val="22"/>
    </w:rPr>
  </w:style>
  <w:style w:type="paragraph" w:styleId="Code">
    <w:name w:val="Código"/>
    <w:basedOn w:val="Normal"/>
    <w:qFormat/>
    <w:pPr>
      <w:keepLines/>
      <w:pBdr>
        <w:top w:val="single" w:color="C5D4EB" w:sz="4" w:space="6"/>
        <w:left w:val="single" w:color="C5D4EB" w:sz="4" w:space="6"/>
        <w:bottom w:val="single" w:color="C5D4EB" w:sz="4" w:space="6"/>
        <w:right w:val="single" w:color="C5D4EB" w:sz="4" w:space="6"/>
      </w:pBdr>
      <w:shd w:val="clear" w:color="auto" w:fill="F8F8F8"/>
      <w:spacing w:before="0" w:after="0" w:line="252" w:lineRule="auto"/>
      <w:ind w:left="170" w:right="170"/>
    </w:pPr>
    <w:rPr>
      <w:rFonts w:ascii="Consolas" w:hAnsi="Consolas" w:cs="Consolas"/>
      <w:sz w:val="17"/>
      <w:szCs w:val="17"/>
    </w:rPr>
  </w:style>
  <w:style w:type="paragraph" w:styleId="ListParagraph">
    <w:name w:val="List Paragraph"/>
    <w:basedOn w:val="Normal"/>
    <w:qFormat/>
    <w:pPr>
      <w:spacing w:before="0" w:after="80"/>
    </w:pPr>
  </w:style>
  <w:style w:type="paragraph" w:styleId="Header">
    <w:name w:val="header"/>
    <w:basedOn w:val="Normal"/>
    <w:qFormat/>
    <w:pPr>
      <w:pBdr>
        <w:bottom w:val="single" w:color="C5D4EB" w:sz="6" w:space="6"/>
      </w:pBdr>
      <w:tabs>
        <w:tab w:val="right" w:pos="9071"/>
      </w:tabs>
      <w:spacing w:after="0" w:line="240" w:lineRule="auto"/>
    </w:pPr>
    <w:rPr>
      <w:rFonts w:ascii="Segoe UI Light" w:hAnsi="Segoe UI Light" w:cs="Segoe UI Light"/>
      <w:color w:val="636363"/>
      <w:sz w:val="18"/>
      <w:szCs w:val="18"/>
    </w:rPr>
  </w:style>
  <w:style w:type="paragraph" w:styleId="Footer">
    <w:name w:val="footer"/>
    <w:basedOn w:val="Normal"/>
    <w:qFormat/>
    <w:pPr>
      <w:tabs>
        <w:tab w:val="right" w:pos="9071"/>
      </w:tabs>
      <w:spacing w:after="0" w:line="240" w:lineRule="auto"/>
    </w:pPr>
    <w:rPr>
      <w:rFonts w:ascii="Segoe UI Light" w:hAnsi="Segoe UI Light" w:cs="Segoe UI Light"/>
      <w:color w:val="636363"/>
      <w:sz w:val="18"/>
      <w:szCs w:val="18"/>
    </w:rPr>
  </w:style>
  <w:style w:type="character" w:styleId="Hyperlink">
    <w:name w:val="Hyperlink"/>
    <w:uiPriority w:val="99"/>
    <w:unhideWhenUsed/>
    <w:rPr>
      <w:color w:val="1351B4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04" /><Relationship Type="http://schemas.openxmlformats.org/officeDocument/2006/relationships/styles" Target="styles.xml" Id="rIdSt" /><Relationship Type="http://schemas.openxmlformats.org/officeDocument/2006/relationships/footer" Target="footer2.xml" Id="rIdF2" /><Relationship Type="http://schemas.openxmlformats.org/officeDocument/2006/relationships/customXml" Target="../customXml/item1.xml" Id="rId103" /><Relationship Type="http://schemas.openxmlformats.org/officeDocument/2006/relationships/settings" Target="settings.xml" Id="rIdSet" /><Relationship Type="http://schemas.openxmlformats.org/officeDocument/2006/relationships/image" Target="media/logo_v.png" Id="rIdLogoV" /><Relationship Type="http://schemas.openxmlformats.org/officeDocument/2006/relationships/header" Target="header2.xml" Id="rIdH2" /><Relationship Type="http://schemas.openxmlformats.org/officeDocument/2006/relationships/footer" Target="footer1.xml" Id="rIdF1" /><Relationship Type="http://schemas.openxmlformats.org/officeDocument/2006/relationships/hyperlink" Target="https://leis.org/anp/lei/resolucao/2024/968/resolucao-n-968-2024-estabelece-as-especificacoes-dos-oleos-diesel-destinados-a-veiculos-ou-equipamentos-dotados-de-motores-do-ciclo-diesel-e-as-obrigacoes-quanto-ao-controle-da-qualidade-a-serem-atendidas-pelos-agentes-economicos-que-comercializam-o-produto-em-territorio" TargetMode="External" Id="rId102" /><Relationship Type="http://schemas.openxmlformats.org/officeDocument/2006/relationships/numbering" Target="numbering.xml" Id="rIdNum" /><Relationship Type="http://schemas.openxmlformats.org/officeDocument/2006/relationships/header" Target="header1.xml" Id="rIdH1" /><Relationship Type="http://schemas.openxmlformats.org/officeDocument/2006/relationships/hyperlink" Target="https://leis.org/anp/lei/resolucao/2020/807/resolucao-n-807-2020-estabelece-a-especificacao-da-gasolina-de-uso-automotivo-e-as-obrigacoes-quanto-ao-controle-da-qualidade-a-serem-atendidas-pelos-agentes-economicos-que-comercializarem-o-produto-em-todo-o-territorio" TargetMode="External" Id="rId101" /><Relationship Type="http://schemas.openxmlformats.org/officeDocument/2006/relationships/hyperlink" Target="https://atosoficiais.com.br/anp/resolucao-n-907-2022-dispoe-sobre-as-especificacoes-do-etanol-combustivel-e-suas-regras-de-comercializacao-em-todo-o-territorio-nacional?origin=instituicao" TargetMode="External" Id="rId100" /><Relationship Type="http://schemas.openxmlformats.org/officeDocument/2006/relationships/customXml" Target="../customXml/item3.xml" Id="rId105" /></Relationships>
</file>

<file path=word/_rels/footer1.xml.rels><?xml version="1.0" encoding="UTF-8" standalone="yes"?>
<Relationships xmlns="http://schemas.openxmlformats.org/package/2006/relationships"><Relationship Id="rIdLogoH" Type="http://schemas.openxmlformats.org/officeDocument/2006/relationships/image" Target="media/logo_h.jp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15E62E5289D42B216AEE46A3525CD" ma:contentTypeVersion="3" ma:contentTypeDescription="Create a new document." ma:contentTypeScope="" ma:versionID="505a56d0208017cf729a355f25fa9c1c">
  <xsd:schema xmlns:xsd="http://www.w3.org/2001/XMLSchema" xmlns:xs="http://www.w3.org/2001/XMLSchema" xmlns:p="http://schemas.microsoft.com/office/2006/metadata/properties" xmlns:ns2="ddcbec48-6561-4a32-9481-be1a892093ec" targetNamespace="http://schemas.microsoft.com/office/2006/metadata/properties" ma:root="true" ma:fieldsID="941f27f97b2e458f8e241b7789ec06b9" ns2:_="">
    <xsd:import namespace="ddcbec48-6561-4a32-9481-be1a89209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bec48-6561-4a32-9481-be1a89209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67B8A3-EDA5-4433-8C96-9F41DE212D4A}"/>
</file>

<file path=customXml/itemProps2.xml><?xml version="1.0" encoding="utf-8"?>
<ds:datastoreItem xmlns:ds="http://schemas.openxmlformats.org/officeDocument/2006/customXml" ds:itemID="{ED48EBF5-95EF-45DF-9B30-367AF4852BFF}"/>
</file>

<file path=customXml/itemProps3.xml><?xml version="1.0" encoding="utf-8"?>
<ds:datastoreItem xmlns:ds="http://schemas.openxmlformats.org/officeDocument/2006/customXml" ds:itemID="{500DF711-292E-479F-85D2-0A8081C63D45}"/>
</file>

<file path=docProps/app.xml><?xml version="1.0" encoding="utf-8"?>
<ap:Properties xmlns="http://schemas.openxmlformats.org/officeDocument/2006/extended-properties" xmlns:ap="http://schemas.openxmlformats.org/officeDocument/2006/extended-properties">
  <ap:Application>Microsoft Word for the web</ap:Application>
  <ap:Company>ANP</ap:Compan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Orientações para Análise dos Dados Abertos do PMQC</dc:title>
  <dc:creator>ANP/SBQ</dc:creator>
  <lastModifiedBy>Jose Ferraz Neto</lastModifiedBy>
  <dcterms:created xsi:type="dcterms:W3CDTF">2026-10-07T13:37:06.0000000Z</dcterms:created>
  <dcterms:modified xsi:type="dcterms:W3CDTF">2026-10-07T13:50:51.0608357Z</dcterms:modified>
  <dc:language>pt-BR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0x0101003F615E62E5289D42B216AEE46A3525CD</vt:lpwstr>
  </property>
</Properties>
</file>