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B1E7" w14:textId="168778EE" w:rsidR="006B3F1F" w:rsidRPr="009076A7" w:rsidRDefault="000D260B" w:rsidP="009076A7">
      <w:pPr>
        <w:spacing w:after="36" w:line="228" w:lineRule="auto"/>
        <w:ind w:left="142" w:right="-6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5C544A" w:rsidRPr="009076A7">
        <w:rPr>
          <w:rFonts w:asciiTheme="minorHAnsi" w:hAnsiTheme="minorHAnsi"/>
          <w:b/>
          <w:sz w:val="20"/>
          <w:szCs w:val="20"/>
        </w:rPr>
        <w:t xml:space="preserve"> </w:t>
      </w:r>
      <w:r w:rsidR="005C544A" w:rsidRPr="009076A7">
        <w:rPr>
          <w:rFonts w:asciiTheme="minorHAnsi" w:eastAsia="Arial" w:hAnsiTheme="minorHAnsi" w:cs="Arial"/>
          <w:b/>
          <w:sz w:val="20"/>
          <w:szCs w:val="20"/>
        </w:rPr>
        <w:t>Tabela 2.5</w:t>
      </w:r>
      <w:r w:rsidR="00A8017A">
        <w:rPr>
          <w:rFonts w:asciiTheme="minorHAnsi" w:eastAsia="Arial" w:hAnsiTheme="minorHAnsi" w:cs="Arial"/>
          <w:b/>
          <w:sz w:val="20"/>
          <w:szCs w:val="20"/>
        </w:rPr>
        <w:t>6</w:t>
      </w:r>
      <w:r w:rsidR="005C544A" w:rsidRPr="009076A7">
        <w:rPr>
          <w:rFonts w:asciiTheme="minorHAnsi" w:eastAsia="Arial" w:hAnsiTheme="minorHAnsi" w:cs="Arial"/>
          <w:b/>
          <w:sz w:val="20"/>
          <w:szCs w:val="20"/>
        </w:rPr>
        <w:t xml:space="preserve"> – Exportação de derivados de petróleo, energéticos e não energéticos</w:t>
      </w:r>
      <w:r w:rsidR="00DA272E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DA272E" w:rsidRPr="00DA272E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1B0DEAF9" w14:textId="77777777" w:rsidR="006B3F1F" w:rsidRPr="009076A7" w:rsidRDefault="006B3F1F" w:rsidP="009076A7">
      <w:pPr>
        <w:spacing w:after="18"/>
        <w:ind w:left="142"/>
        <w:rPr>
          <w:rFonts w:asciiTheme="minorHAnsi" w:hAnsiTheme="minorHAnsi"/>
          <w:sz w:val="20"/>
          <w:szCs w:val="20"/>
        </w:rPr>
      </w:pPr>
    </w:p>
    <w:p w14:paraId="7FFC1643" w14:textId="77777777" w:rsidR="006B3F1F" w:rsidRPr="009076A7" w:rsidRDefault="00D13238" w:rsidP="009076A7">
      <w:pPr>
        <w:spacing w:after="29"/>
        <w:ind w:left="142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SEÇÃO 1: COLUNAS</w:t>
      </w:r>
    </w:p>
    <w:p w14:paraId="04EF174F" w14:textId="77777777" w:rsidR="006B3F1F" w:rsidRPr="009076A7" w:rsidRDefault="006B3F1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63" w:type="dxa"/>
          <w:right w:w="8" w:type="dxa"/>
        </w:tblCellMar>
        <w:tblLook w:val="04A0" w:firstRow="1" w:lastRow="0" w:firstColumn="1" w:lastColumn="0" w:noHBand="0" w:noVBand="1"/>
      </w:tblPr>
      <w:tblGrid>
        <w:gridCol w:w="2559"/>
        <w:gridCol w:w="4262"/>
        <w:gridCol w:w="1679"/>
      </w:tblGrid>
      <w:tr w:rsidR="00536430" w:rsidRPr="009076A7" w14:paraId="4C8FF0DF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DD4B0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5D79" w14:textId="77777777" w:rsidR="00536430" w:rsidRPr="009076A7" w:rsidRDefault="00536430" w:rsidP="00D13238">
            <w:pPr>
              <w:tabs>
                <w:tab w:val="center" w:pos="2484"/>
              </w:tabs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B643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536430" w:rsidRPr="009076A7" w14:paraId="44644204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86E42" w14:textId="77777777" w:rsidR="00536430" w:rsidRPr="009076A7" w:rsidRDefault="005C544A" w:rsidP="005C544A">
            <w:pPr>
              <w:ind w:left="25" w:firstLine="4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TIPO DE </w:t>
            </w:r>
            <w:r w:rsidR="00536430">
              <w:rPr>
                <w:rFonts w:asciiTheme="minorHAnsi" w:hAnsiTheme="minorHAnsi"/>
                <w:sz w:val="20"/>
                <w:szCs w:val="20"/>
              </w:rPr>
              <w:t>DERIVAD</w:t>
            </w:r>
            <w:r w:rsidR="00303004">
              <w:rPr>
                <w:rFonts w:asciiTheme="minorHAnsi" w:hAnsiTheme="minorHAnsi"/>
                <w:sz w:val="20"/>
                <w:szCs w:val="20"/>
              </w:rPr>
              <w:t>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AC3F" w14:textId="77777777" w:rsidR="00536430" w:rsidRPr="009076A7" w:rsidRDefault="00536430" w:rsidP="00D13238">
            <w:pPr>
              <w:tabs>
                <w:tab w:val="center" w:pos="2484"/>
              </w:tabs>
              <w:ind w:left="-7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 xml:space="preserve"> Energético ou não energético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D7A9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36430" w:rsidRPr="009076A7" w14:paraId="51C087CC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45623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DERIVADO</w:t>
            </w:r>
            <w:r w:rsidR="00303004">
              <w:rPr>
                <w:rFonts w:asciiTheme="minorHAnsi" w:hAnsiTheme="minorHAnsi"/>
                <w:sz w:val="20"/>
                <w:szCs w:val="20"/>
              </w:rPr>
              <w:t xml:space="preserve"> DE PETRÓLEO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B0E" w14:textId="77777777" w:rsidR="00536430" w:rsidRPr="009076A7" w:rsidRDefault="00536430" w:rsidP="00D13238">
            <w:pPr>
              <w:tabs>
                <w:tab w:val="center" w:pos="1167"/>
                <w:tab w:val="right" w:pos="2824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 xml:space="preserve">Produto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derivado,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>podendo ser:</w:t>
            </w:r>
          </w:p>
          <w:p w14:paraId="4C4783F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Gasolina A</w:t>
            </w:r>
          </w:p>
          <w:p w14:paraId="6E9D980E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Gasolina de aviação</w:t>
            </w:r>
          </w:p>
          <w:p w14:paraId="2EDF335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GLP</w:t>
            </w:r>
            <w:r>
              <w:rPr>
                <w:rFonts w:asciiTheme="minorHAnsi" w:hAnsiTheme="minorHAnsi"/>
                <w:sz w:val="20"/>
                <w:szCs w:val="20"/>
              </w:rPr>
              <w:t>¹</w:t>
            </w:r>
          </w:p>
          <w:p w14:paraId="43C0895C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Óleo combustível</w:t>
            </w:r>
          </w:p>
          <w:p w14:paraId="4C626D95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Óleo combustível marítimo²</w:t>
            </w:r>
          </w:p>
          <w:p w14:paraId="7712BAD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Óleo diesel</w:t>
            </w:r>
          </w:p>
          <w:p w14:paraId="24963EB8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QAV</w:t>
            </w:r>
          </w:p>
          <w:p w14:paraId="32F0DB4E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Querosene Iluminante</w:t>
            </w:r>
          </w:p>
          <w:p w14:paraId="5D1A1D98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Combustíveis de aviação</w:t>
            </w:r>
            <w:r>
              <w:rPr>
                <w:rFonts w:asciiTheme="minorHAnsi" w:hAnsiTheme="minorHAnsi"/>
                <w:sz w:val="20"/>
                <w:szCs w:val="20"/>
              </w:rPr>
              <w:t>³</w:t>
            </w:r>
          </w:p>
          <w:p w14:paraId="4DEE3D6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Asfalto</w:t>
            </w:r>
          </w:p>
          <w:p w14:paraId="47B5F1C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Nafta</w:t>
            </w:r>
          </w:p>
          <w:p w14:paraId="2A085D72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Óleo lubrificante</w:t>
            </w:r>
          </w:p>
          <w:p w14:paraId="1DF59A36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Parafina</w:t>
            </w:r>
          </w:p>
          <w:p w14:paraId="7229BB24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Solvente</w:t>
            </w:r>
          </w:p>
          <w:p w14:paraId="45FD56C1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Outros⁴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FB90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36430" w:rsidRPr="009076A7" w14:paraId="5D1F8873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77B2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 xml:space="preserve">VOLUME </w:t>
            </w:r>
            <w:r w:rsidR="00303004">
              <w:rPr>
                <w:rFonts w:asciiTheme="minorHAnsi" w:hAnsiTheme="minorHAnsi"/>
                <w:sz w:val="20"/>
                <w:szCs w:val="20"/>
              </w:rPr>
              <w:t>EXPORTADO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D8A7" w14:textId="1941539F" w:rsidR="00536430" w:rsidRPr="009076A7" w:rsidRDefault="00536430" w:rsidP="00D3468F">
            <w:pPr>
              <w:tabs>
                <w:tab w:val="center" w:pos="879"/>
                <w:tab w:val="center" w:pos="1421"/>
                <w:tab w:val="center" w:pos="1964"/>
                <w:tab w:val="right" w:pos="2824"/>
              </w:tabs>
              <w:spacing w:after="26"/>
              <w:ind w:left="156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 xml:space="preserve">Volume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derivado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 xml:space="preserve">de </w:t>
            </w:r>
            <w:r w:rsidRPr="009076A7">
              <w:rPr>
                <w:rFonts w:asciiTheme="minorHAnsi" w:hAnsiTheme="minorHAnsi"/>
                <w:sz w:val="20"/>
                <w:szCs w:val="20"/>
              </w:rPr>
              <w:tab/>
              <w:t>petróleo exportado em mil m</w:t>
            </w:r>
            <w:r w:rsidR="00303004">
              <w:rPr>
                <w:rFonts w:asciiTheme="minorHAnsi" w:hAnsiTheme="minorHAnsi"/>
                <w:sz w:val="20"/>
                <w:szCs w:val="20"/>
              </w:rPr>
              <w:t>etros cúbicos (m³)</w:t>
            </w:r>
            <w:r w:rsidR="00DA272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7B93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536430" w:rsidRPr="009076A7" w14:paraId="1F8A84F1" w14:textId="77777777" w:rsidTr="00D3468F">
        <w:trPr>
          <w:trHeight w:val="2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279A6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8EED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E7B9" w14:textId="77777777" w:rsidR="00536430" w:rsidRPr="009076A7" w:rsidRDefault="00536430" w:rsidP="00D1323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201AD823" w14:textId="77777777" w:rsidR="006B3F1F" w:rsidRPr="009076A7" w:rsidRDefault="006B3F1F" w:rsidP="009076A7">
      <w:pPr>
        <w:spacing w:after="10"/>
        <w:rPr>
          <w:rFonts w:asciiTheme="minorHAnsi" w:hAnsiTheme="minorHAnsi"/>
          <w:sz w:val="20"/>
          <w:szCs w:val="20"/>
        </w:rPr>
      </w:pPr>
    </w:p>
    <w:p w14:paraId="40E26E3D" w14:textId="77777777" w:rsidR="006B3F1F" w:rsidRPr="009076A7" w:rsidRDefault="005C544A" w:rsidP="009076A7">
      <w:pPr>
        <w:spacing w:after="29"/>
        <w:ind w:left="142" w:hanging="10"/>
        <w:rPr>
          <w:rFonts w:asciiTheme="minorHAnsi" w:hAnsiTheme="minorHAnsi"/>
          <w:sz w:val="20"/>
          <w:szCs w:val="20"/>
        </w:rPr>
      </w:pPr>
      <w:r w:rsidRPr="009076A7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49ABE47D" w14:textId="77777777" w:rsidR="006B3F1F" w:rsidRPr="009076A7" w:rsidRDefault="006B3F1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6B3F1F" w:rsidRPr="009076A7" w14:paraId="0E7425A1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7071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8183" w14:textId="77777777" w:rsidR="006B3F1F" w:rsidRPr="009076A7" w:rsidRDefault="005C544A">
            <w:pPr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536430" w:rsidRPr="00F17937" w14:paraId="5588F492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5D52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D660" w14:textId="77777777" w:rsidR="00536430" w:rsidRPr="000522FB" w:rsidRDefault="00536430" w:rsidP="00310CEF">
            <w:pPr>
              <w:ind w:left="2"/>
              <w:rPr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0522FB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6430" w:rsidRPr="00342AFC" w14:paraId="301C688D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5AC3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9685" w14:textId="77777777" w:rsidR="00536430" w:rsidRPr="000522FB" w:rsidRDefault="00536430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536430" w:rsidRPr="00342AFC" w14:paraId="3AD6522D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3B9EC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2FB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5E43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0DC7" w14:textId="77777777" w:rsidR="00536430" w:rsidRPr="00342AFC" w:rsidRDefault="00536430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3E700C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36430" w14:paraId="4458B52D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B5BBE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683B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81F7" w14:textId="7A31B4C1" w:rsidR="00536430" w:rsidRDefault="00536430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3E700C">
              <w:rPr>
                <w:rFonts w:asciiTheme="minorHAnsi" w:hAnsiTheme="minorHAnsi" w:cstheme="minorHAnsi"/>
                <w:sz w:val="20"/>
                <w:szCs w:val="18"/>
              </w:rPr>
              <w:t>anua</w:t>
            </w:r>
            <w:r w:rsidR="00E66C0D" w:rsidRPr="003E700C">
              <w:rPr>
                <w:rFonts w:asciiTheme="minorHAnsi" w:hAnsiTheme="minorHAnsi" w:cstheme="minorHAnsi"/>
                <w:sz w:val="20"/>
                <w:szCs w:val="18"/>
              </w:rPr>
              <w:t>rio-202</w:t>
            </w:r>
            <w:r w:rsidR="00A8017A">
              <w:rPr>
                <w:rFonts w:asciiTheme="minorHAnsi" w:hAnsiTheme="minorHAnsi" w:cstheme="minorHAnsi"/>
                <w:sz w:val="20"/>
                <w:szCs w:val="18"/>
              </w:rPr>
              <w:t>5</w:t>
            </w:r>
            <w:r w:rsidR="00E66C0D" w:rsidRPr="003E700C">
              <w:rPr>
                <w:rFonts w:asciiTheme="minorHAnsi" w:hAnsiTheme="minorHAnsi" w:cstheme="minorHAnsi"/>
                <w:sz w:val="20"/>
                <w:szCs w:val="18"/>
              </w:rPr>
              <w:t>-dados_abertos-tabela</w:t>
            </w:r>
            <w:r w:rsidR="00DA272E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E66C0D" w:rsidRPr="003E700C">
              <w:rPr>
                <w:rFonts w:asciiTheme="minorHAnsi" w:hAnsiTheme="minorHAnsi" w:cstheme="minorHAnsi"/>
                <w:sz w:val="20"/>
                <w:szCs w:val="18"/>
              </w:rPr>
              <w:t>2.5</w:t>
            </w:r>
            <w:r w:rsidR="00A8017A">
              <w:rPr>
                <w:rFonts w:asciiTheme="minorHAnsi" w:hAnsiTheme="minorHAnsi" w:cstheme="minorHAnsi"/>
                <w:sz w:val="20"/>
                <w:szCs w:val="18"/>
              </w:rPr>
              <w:t>6</w:t>
            </w:r>
          </w:p>
        </w:tc>
      </w:tr>
      <w:tr w:rsidR="00536430" w14:paraId="0DD8CB54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B4E06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0B62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61DB" w14:textId="77777777" w:rsidR="00536430" w:rsidRDefault="00536430" w:rsidP="00C91A52">
            <w:pPr>
              <w:spacing w:after="36" w:line="228" w:lineRule="auto"/>
              <w:ind w:right="-61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536430" w:rsidRPr="00AE59BA" w14:paraId="77E4A8CC" w14:textId="77777777" w:rsidTr="00D3468F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14E7" w14:textId="77777777" w:rsidR="00536430" w:rsidRPr="000522FB" w:rsidRDefault="00536430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D563" w14:textId="77777777" w:rsidR="00536430" w:rsidRPr="000522FB" w:rsidRDefault="00536430" w:rsidP="00310CEF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522FB">
              <w:rPr>
                <w:rFonts w:asciiTheme="minorHAnsi" w:hAnsi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E6EB" w14:textId="77777777" w:rsidR="00536430" w:rsidRPr="00E66C0D" w:rsidRDefault="00E66C0D" w:rsidP="00C91A52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91A52">
              <w:rPr>
                <w:rFonts w:asciiTheme="minorHAnsi" w:hAnsiTheme="minorHAnsi"/>
                <w:sz w:val="20"/>
                <w:szCs w:val="20"/>
              </w:rPr>
              <w:t>Trata-se da exportação de derivados de petróleo, energéticos e não energéticos do longo da década anterior</w:t>
            </w:r>
            <w:r w:rsidR="00A87949" w:rsidRPr="00C91A5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B3F1F" w:rsidRPr="009076A7" w14:paraId="31B6615A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9BBD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5E6D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6B3F1F" w:rsidRPr="009076A7" w14:paraId="79323706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86CC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166D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6B3F1F" w:rsidRPr="009076A7" w14:paraId="4125787C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E2CF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DBF7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MDIC/Secex.</w:t>
            </w:r>
          </w:p>
        </w:tc>
      </w:tr>
      <w:tr w:rsidR="006B3F1F" w:rsidRPr="009076A7" w14:paraId="39763AB1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FA26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5A1E" w14:textId="5400D2C3" w:rsidR="006B3F1F" w:rsidRPr="009076A7" w:rsidRDefault="006B6333" w:rsidP="00D545FC">
            <w:pPr>
              <w:ind w:left="2" w:right="5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1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propano e butano.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2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óleo combustível marítimo utilizado pelos navios estrangeiros em trânsito até 2018.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3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querosene de aviação utilizado em aeronaves em trânsito até 2018.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4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óleo combustível marítimo utilizado pelos navios estrangeiros em trânsito a partir de 2019.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5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 xml:space="preserve">Inclui querosene de aviação utilizado em aeronaves em trânsito a partir de 2019.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6</w:t>
            </w:r>
            <w:r w:rsidR="00D545FC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D545FC" w:rsidRPr="00D545FC">
              <w:rPr>
                <w:rFonts w:asciiTheme="minorHAnsi" w:hAnsiTheme="minorHAnsi"/>
                <w:sz w:val="20"/>
                <w:szCs w:val="20"/>
              </w:rPr>
              <w:t>Inclui coque e outros derivados não energéticos.</w:t>
            </w:r>
          </w:p>
        </w:tc>
      </w:tr>
      <w:tr w:rsidR="006B3F1F" w:rsidRPr="009076A7" w14:paraId="10B504F5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73A4" w14:textId="77777777" w:rsidR="006B3F1F" w:rsidRPr="009076A7" w:rsidRDefault="005C544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1E29" w14:textId="77777777" w:rsidR="006B3F1F" w:rsidRPr="009076A7" w:rsidRDefault="005C544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9076A7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9076A7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66C0D" w:rsidRPr="009076A7" w14:paraId="4BD1B45A" w14:textId="77777777" w:rsidTr="00D3468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DA70" w14:textId="77777777" w:rsidR="00E66C0D" w:rsidRPr="00342AFC" w:rsidRDefault="00E66C0D" w:rsidP="00E66C0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0D260B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AD58" w14:textId="10B76831" w:rsidR="00E66C0D" w:rsidRPr="000D260B" w:rsidRDefault="00D3468F" w:rsidP="00C91A5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91A52">
              <w:rPr>
                <w:rFonts w:asciiTheme="minorHAnsi" w:hAnsiTheme="minorHAnsi"/>
                <w:sz w:val="20"/>
                <w:szCs w:val="20"/>
              </w:rPr>
              <w:t xml:space="preserve">Exportação, petróleo, energéticos,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 xml:space="preserve">gasolina, 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aviação, GLP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 ó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leo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 combustível,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marítimo, d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iesel, QAV,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q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uerosene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i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luminante,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a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sfalto,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na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fta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 xml:space="preserve"> lubrificante, 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p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arafina</w:t>
            </w:r>
            <w:r w:rsidR="000F639E" w:rsidRPr="00C91A52">
              <w:rPr>
                <w:rFonts w:asciiTheme="minorHAnsi" w:hAnsiTheme="minorHAnsi"/>
                <w:sz w:val="20"/>
                <w:szCs w:val="20"/>
              </w:rPr>
              <w:t>, s</w:t>
            </w:r>
            <w:r w:rsidR="009A4AC8" w:rsidRPr="00C91A52">
              <w:rPr>
                <w:rFonts w:asciiTheme="minorHAnsi" w:hAnsiTheme="minorHAnsi"/>
                <w:sz w:val="20"/>
                <w:szCs w:val="20"/>
              </w:rPr>
              <w:t>olvente</w:t>
            </w:r>
            <w:r w:rsidR="001C357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4700C10E" w14:textId="77777777" w:rsidR="006B3F1F" w:rsidRPr="009076A7" w:rsidRDefault="005C544A">
      <w:pPr>
        <w:spacing w:after="0"/>
        <w:rPr>
          <w:rFonts w:asciiTheme="minorHAnsi" w:hAnsiTheme="minorHAnsi"/>
          <w:sz w:val="20"/>
          <w:szCs w:val="20"/>
        </w:rPr>
      </w:pPr>
      <w:r w:rsidRPr="009076A7">
        <w:rPr>
          <w:rFonts w:asciiTheme="minorHAnsi" w:hAnsiTheme="minorHAnsi"/>
          <w:sz w:val="20"/>
          <w:szCs w:val="20"/>
        </w:rPr>
        <w:t xml:space="preserve">  </w:t>
      </w:r>
    </w:p>
    <w:sectPr w:rsidR="006B3F1F" w:rsidRPr="009076A7" w:rsidSect="005C544A">
      <w:pgSz w:w="11911" w:h="16841"/>
      <w:pgMar w:top="1134" w:right="1440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1F"/>
    <w:rsid w:val="0002575A"/>
    <w:rsid w:val="000522FB"/>
    <w:rsid w:val="000C2222"/>
    <w:rsid w:val="000D260B"/>
    <w:rsid w:val="000F639E"/>
    <w:rsid w:val="001C3575"/>
    <w:rsid w:val="00303004"/>
    <w:rsid w:val="003E700C"/>
    <w:rsid w:val="004F03DC"/>
    <w:rsid w:val="00536430"/>
    <w:rsid w:val="005C544A"/>
    <w:rsid w:val="006170CA"/>
    <w:rsid w:val="006B3F1F"/>
    <w:rsid w:val="006B6333"/>
    <w:rsid w:val="0079706F"/>
    <w:rsid w:val="008A4C53"/>
    <w:rsid w:val="009076A7"/>
    <w:rsid w:val="009A4AC8"/>
    <w:rsid w:val="00A8017A"/>
    <w:rsid w:val="00A87949"/>
    <w:rsid w:val="00C91A52"/>
    <w:rsid w:val="00CA2865"/>
    <w:rsid w:val="00D13238"/>
    <w:rsid w:val="00D3468F"/>
    <w:rsid w:val="00D545FC"/>
    <w:rsid w:val="00DA272E"/>
    <w:rsid w:val="00E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23ED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A87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15</cp:revision>
  <dcterms:created xsi:type="dcterms:W3CDTF">2021-07-21T17:41:00Z</dcterms:created>
  <dcterms:modified xsi:type="dcterms:W3CDTF">2025-07-28T19:50:00Z</dcterms:modified>
</cp:coreProperties>
</file>