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19B0" w14:textId="6D36EF57" w:rsidR="00A466D0" w:rsidRPr="00BF5D0B" w:rsidRDefault="00A466D0" w:rsidP="00A466D0">
      <w:pPr>
        <w:pStyle w:val="Ttulo"/>
        <w:jc w:val="center"/>
        <w:rPr>
          <w:rFonts w:ascii="Calibri" w:hAnsi="Calibri" w:cs="Calibri"/>
          <w:sz w:val="24"/>
          <w:szCs w:val="24"/>
        </w:rPr>
      </w:pPr>
      <w:r w:rsidRPr="00BF5D0B">
        <w:rPr>
          <w:rFonts w:ascii="Calibri" w:hAnsi="Calibri" w:cs="Calibri"/>
          <w:noProof/>
          <w:sz w:val="24"/>
          <w:szCs w:val="24"/>
        </w:rPr>
        <w:drawing>
          <wp:inline distT="0" distB="0" distL="0" distR="0" wp14:anchorId="543CD87D" wp14:editId="010C9268">
            <wp:extent cx="2584450" cy="1123950"/>
            <wp:effectExtent l="0" t="0" r="6350" b="0"/>
            <wp:docPr id="1143892618" name="Imagem 2" descr="Desenho de personagem de desenho anim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92618" name="Imagem 2" descr="Desenho de personagem de desenho animad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123950"/>
                    </a:xfrm>
                    <a:prstGeom prst="rect">
                      <a:avLst/>
                    </a:prstGeom>
                    <a:noFill/>
                    <a:ln>
                      <a:noFill/>
                    </a:ln>
                  </pic:spPr>
                </pic:pic>
              </a:graphicData>
            </a:graphic>
          </wp:inline>
        </w:drawing>
      </w:r>
    </w:p>
    <w:p w14:paraId="4486FFB2" w14:textId="77777777" w:rsidR="00A466D0" w:rsidRPr="00BF5D0B" w:rsidRDefault="00A466D0">
      <w:pPr>
        <w:pStyle w:val="Ttulo"/>
        <w:jc w:val="center"/>
        <w:rPr>
          <w:rFonts w:ascii="Calibri" w:hAnsi="Calibri" w:cs="Calibri"/>
          <w:b/>
          <w:bCs/>
          <w:sz w:val="36"/>
          <w:szCs w:val="36"/>
        </w:rPr>
      </w:pPr>
    </w:p>
    <w:p w14:paraId="04372934" w14:textId="6C4F9B2F" w:rsidR="00640826" w:rsidRPr="00BF5D0B" w:rsidRDefault="00517F0E">
      <w:pPr>
        <w:pStyle w:val="Ttulo"/>
        <w:jc w:val="center"/>
        <w:rPr>
          <w:rFonts w:ascii="Calibri" w:hAnsi="Calibri" w:cs="Calibri"/>
          <w:b/>
          <w:bCs/>
          <w:sz w:val="36"/>
          <w:szCs w:val="36"/>
        </w:rPr>
      </w:pPr>
      <w:r w:rsidRPr="00517F0E">
        <w:rPr>
          <w:rFonts w:ascii="Calibri" w:hAnsi="Calibri" w:cs="Calibri"/>
          <w:b/>
          <w:bCs/>
          <w:sz w:val="36"/>
          <w:szCs w:val="36"/>
        </w:rPr>
        <w:t>DECLARAÇÃO DE TRANSFERÊNCIA DA AUTORIZAÇÃO DE OPERAÇÃO</w:t>
      </w:r>
    </w:p>
    <w:p w14:paraId="3FD26F83" w14:textId="5E1B0497" w:rsidR="00EA0F6E" w:rsidRDefault="00EA0F6E" w:rsidP="00EA0F6E">
      <w:pPr>
        <w:spacing w:before="240" w:line="360" w:lineRule="auto"/>
        <w:jc w:val="center"/>
        <w:rPr>
          <w:rFonts w:ascii="Calibri" w:hAnsi="Calibri" w:cs="Calibri"/>
          <w:i/>
          <w:iCs/>
          <w:sz w:val="24"/>
          <w:szCs w:val="24"/>
        </w:rPr>
      </w:pPr>
      <w:r w:rsidRPr="00EA0F6E">
        <w:rPr>
          <w:rFonts w:ascii="Calibri" w:hAnsi="Calibri" w:cs="Calibri"/>
          <w:i/>
          <w:iCs/>
          <w:sz w:val="24"/>
          <w:szCs w:val="24"/>
        </w:rPr>
        <w:t>(Art. 10, inciso V, da Resolução ANP nº 987/2025)</w:t>
      </w:r>
    </w:p>
    <w:p w14:paraId="1B5CD851" w14:textId="7FFC9B59" w:rsidR="00F45738" w:rsidRDefault="00F45738" w:rsidP="00F45738">
      <w:pPr>
        <w:spacing w:before="240" w:line="360" w:lineRule="auto"/>
        <w:rPr>
          <w:rFonts w:ascii="Calibri" w:hAnsi="Calibri" w:cs="Calibri"/>
          <w:i/>
          <w:iCs/>
          <w:sz w:val="24"/>
          <w:szCs w:val="24"/>
        </w:rPr>
      </w:pPr>
      <w:r w:rsidRPr="00F45738">
        <w:rPr>
          <w:rFonts w:ascii="Calibri" w:hAnsi="Calibri" w:cs="Calibri"/>
          <w:i/>
          <w:iCs/>
          <w:sz w:val="24"/>
          <w:szCs w:val="24"/>
        </w:rPr>
        <w:t>À</w:t>
      </w:r>
      <w:r w:rsidRPr="00F45738">
        <w:rPr>
          <w:rFonts w:ascii="Calibri" w:hAnsi="Calibri" w:cs="Calibri"/>
          <w:i/>
          <w:iCs/>
          <w:sz w:val="24"/>
          <w:szCs w:val="24"/>
        </w:rPr>
        <w:br/>
      </w:r>
      <w:r w:rsidRPr="00F45738">
        <w:rPr>
          <w:rFonts w:ascii="Calibri" w:hAnsi="Calibri" w:cs="Calibri"/>
          <w:b/>
          <w:bCs/>
          <w:i/>
          <w:iCs/>
          <w:sz w:val="24"/>
          <w:szCs w:val="24"/>
        </w:rPr>
        <w:t>Agência Nacional do Petróleo, Gás Natural e Biocombustíveis – ANP</w:t>
      </w:r>
      <w:r w:rsidRPr="00F45738">
        <w:rPr>
          <w:rFonts w:ascii="Calibri" w:hAnsi="Calibri" w:cs="Calibri"/>
          <w:i/>
          <w:iCs/>
          <w:sz w:val="24"/>
          <w:szCs w:val="24"/>
        </w:rPr>
        <w:br/>
        <w:t>Superintendência de Produção de Combustíveis – SPC</w:t>
      </w:r>
    </w:p>
    <w:p w14:paraId="73B2C521" w14:textId="4C14ADF6" w:rsidR="00F45738" w:rsidRPr="00F45738" w:rsidRDefault="00CB41B8" w:rsidP="00F45738">
      <w:pPr>
        <w:jc w:val="both"/>
        <w:rPr>
          <w:rFonts w:ascii="Calibri" w:hAnsi="Calibri" w:cs="Calibri"/>
          <w:sz w:val="24"/>
          <w:szCs w:val="24"/>
        </w:rPr>
      </w:pPr>
      <w:r w:rsidRPr="5C4F8C4E">
        <w:rPr>
          <w:rFonts w:ascii="Calibri" w:hAnsi="Calibri" w:cs="Calibri"/>
          <w:sz w:val="24"/>
          <w:szCs w:val="24"/>
        </w:rPr>
        <w:t>A</w:t>
      </w:r>
      <w:r w:rsidRPr="5C4F8C4E">
        <w:rPr>
          <w:rFonts w:ascii="Calibri" w:hAnsi="Calibri" w:cs="Calibri"/>
          <w:b/>
          <w:bCs/>
          <w:sz w:val="24"/>
          <w:szCs w:val="24"/>
        </w:rPr>
        <w:t xml:space="preserve"> </w:t>
      </w:r>
      <w:r w:rsidR="00F45738" w:rsidRPr="5C4F8C4E">
        <w:rPr>
          <w:rFonts w:ascii="Calibri" w:hAnsi="Calibri" w:cs="Calibri"/>
          <w:b/>
          <w:bCs/>
          <w:sz w:val="24"/>
          <w:szCs w:val="24"/>
        </w:rPr>
        <w:t>[</w:t>
      </w:r>
      <w:r w:rsidR="0089329C" w:rsidRPr="5C4F8C4E">
        <w:rPr>
          <w:rFonts w:ascii="Calibri" w:hAnsi="Calibri" w:cs="Calibri"/>
          <w:b/>
          <w:bCs/>
          <w:sz w:val="24"/>
          <w:szCs w:val="24"/>
        </w:rPr>
        <w:t>DENOMINAÇÃO</w:t>
      </w:r>
      <w:r w:rsidR="00F45738" w:rsidRPr="5C4F8C4E">
        <w:rPr>
          <w:rFonts w:ascii="Calibri" w:hAnsi="Calibri" w:cs="Calibri"/>
          <w:b/>
          <w:bCs/>
          <w:sz w:val="24"/>
          <w:szCs w:val="24"/>
        </w:rPr>
        <w:t xml:space="preserve"> SOCIAL DA </w:t>
      </w:r>
      <w:r w:rsidR="3F233E28" w:rsidRPr="5C4F8C4E">
        <w:rPr>
          <w:rFonts w:ascii="Calibri" w:hAnsi="Calibri" w:cs="Calibri"/>
          <w:b/>
          <w:bCs/>
          <w:sz w:val="24"/>
          <w:szCs w:val="24"/>
        </w:rPr>
        <w:t>CEDENTE</w:t>
      </w:r>
      <w:r w:rsidR="00F45738" w:rsidRPr="5C4F8C4E">
        <w:rPr>
          <w:rFonts w:ascii="Calibri" w:hAnsi="Calibri" w:cs="Calibri"/>
          <w:b/>
          <w:bCs/>
          <w:sz w:val="24"/>
          <w:szCs w:val="24"/>
        </w:rPr>
        <w:t>]</w:t>
      </w:r>
      <w:r w:rsidR="00F45738" w:rsidRPr="5C4F8C4E">
        <w:rPr>
          <w:rFonts w:ascii="Calibri" w:hAnsi="Calibri" w:cs="Calibri"/>
          <w:sz w:val="24"/>
          <w:szCs w:val="24"/>
        </w:rPr>
        <w:t xml:space="preserve">, pessoa jurídica de direito privado, inscrita no CNPJ sob o nº </w:t>
      </w:r>
      <w:r w:rsidR="00F45738" w:rsidRPr="5C4F8C4E">
        <w:rPr>
          <w:rFonts w:ascii="Calibri" w:hAnsi="Calibri" w:cs="Calibri"/>
          <w:b/>
          <w:bCs/>
          <w:sz w:val="24"/>
          <w:szCs w:val="24"/>
        </w:rPr>
        <w:t>[●]</w:t>
      </w:r>
      <w:r w:rsidR="00F45738" w:rsidRPr="5C4F8C4E">
        <w:rPr>
          <w:rFonts w:ascii="Calibri" w:hAnsi="Calibri" w:cs="Calibri"/>
          <w:sz w:val="24"/>
          <w:szCs w:val="24"/>
        </w:rPr>
        <w:t xml:space="preserve">, com sede à </w:t>
      </w:r>
      <w:r w:rsidR="00F45738" w:rsidRPr="5C4F8C4E">
        <w:rPr>
          <w:rFonts w:ascii="Calibri" w:hAnsi="Calibri" w:cs="Calibri"/>
          <w:b/>
          <w:bCs/>
          <w:sz w:val="24"/>
          <w:szCs w:val="24"/>
        </w:rPr>
        <w:t>[endereço completo]</w:t>
      </w:r>
      <w:r w:rsidR="00F45738" w:rsidRPr="5C4F8C4E">
        <w:rPr>
          <w:rFonts w:ascii="Calibri" w:hAnsi="Calibri" w:cs="Calibri"/>
          <w:sz w:val="24"/>
          <w:szCs w:val="24"/>
        </w:rPr>
        <w:t xml:space="preserve">, doravante denominada </w:t>
      </w:r>
      <w:r w:rsidR="5BB3AA4E" w:rsidRPr="5C4F8C4E">
        <w:rPr>
          <w:rFonts w:ascii="Calibri" w:hAnsi="Calibri" w:cs="Calibri"/>
          <w:b/>
          <w:bCs/>
          <w:sz w:val="24"/>
          <w:szCs w:val="24"/>
        </w:rPr>
        <w:t>Cedente</w:t>
      </w:r>
      <w:r w:rsidR="00F45738" w:rsidRPr="5C4F8C4E">
        <w:rPr>
          <w:rFonts w:ascii="Calibri" w:hAnsi="Calibri" w:cs="Calibri"/>
          <w:sz w:val="24"/>
          <w:szCs w:val="24"/>
        </w:rPr>
        <w:t xml:space="preserve">, detentora da Autorização </w:t>
      </w:r>
      <w:r w:rsidR="00EF089B" w:rsidRPr="5C4F8C4E">
        <w:rPr>
          <w:rFonts w:ascii="Calibri" w:hAnsi="Calibri" w:cs="Calibri"/>
          <w:sz w:val="24"/>
          <w:szCs w:val="24"/>
        </w:rPr>
        <w:t>ANP</w:t>
      </w:r>
      <w:r w:rsidR="00F45738" w:rsidRPr="5C4F8C4E">
        <w:rPr>
          <w:rFonts w:ascii="Calibri" w:hAnsi="Calibri" w:cs="Calibri"/>
          <w:sz w:val="24"/>
          <w:szCs w:val="24"/>
        </w:rPr>
        <w:t xml:space="preserve"> nº </w:t>
      </w:r>
      <w:r w:rsidR="00F45738" w:rsidRPr="5C4F8C4E">
        <w:rPr>
          <w:rFonts w:ascii="Calibri" w:hAnsi="Calibri" w:cs="Calibri"/>
          <w:b/>
          <w:bCs/>
          <w:sz w:val="24"/>
          <w:szCs w:val="24"/>
        </w:rPr>
        <w:t>[●]</w:t>
      </w:r>
      <w:r w:rsidR="00F45738" w:rsidRPr="5C4F8C4E">
        <w:rPr>
          <w:rFonts w:ascii="Calibri" w:hAnsi="Calibri" w:cs="Calibri"/>
          <w:sz w:val="24"/>
          <w:szCs w:val="24"/>
        </w:rPr>
        <w:t xml:space="preserve">, referente à instalação produtora de </w:t>
      </w:r>
      <w:r w:rsidR="00F45738" w:rsidRPr="5C4F8C4E">
        <w:rPr>
          <w:rFonts w:ascii="Calibri" w:hAnsi="Calibri" w:cs="Calibri"/>
          <w:b/>
          <w:bCs/>
          <w:sz w:val="24"/>
          <w:szCs w:val="24"/>
        </w:rPr>
        <w:t>[</w:t>
      </w:r>
      <w:proofErr w:type="spellStart"/>
      <w:r w:rsidR="00F45738" w:rsidRPr="5C4F8C4E">
        <w:rPr>
          <w:rFonts w:ascii="Calibri" w:hAnsi="Calibri" w:cs="Calibri"/>
          <w:b/>
          <w:bCs/>
          <w:sz w:val="24"/>
          <w:szCs w:val="24"/>
        </w:rPr>
        <w:t>tipo</w:t>
      </w:r>
      <w:proofErr w:type="spellEnd"/>
      <w:r w:rsidR="00F45738" w:rsidRPr="5C4F8C4E">
        <w:rPr>
          <w:rFonts w:ascii="Calibri" w:hAnsi="Calibri" w:cs="Calibri"/>
          <w:b/>
          <w:bCs/>
          <w:sz w:val="24"/>
          <w:szCs w:val="24"/>
        </w:rPr>
        <w:t xml:space="preserve"> de biocombustível]</w:t>
      </w:r>
      <w:r w:rsidR="00F45738" w:rsidRPr="5C4F8C4E">
        <w:rPr>
          <w:rFonts w:ascii="Calibri" w:hAnsi="Calibri" w:cs="Calibri"/>
          <w:sz w:val="24"/>
          <w:szCs w:val="24"/>
        </w:rPr>
        <w:t xml:space="preserve"> localizada em </w:t>
      </w:r>
      <w:r w:rsidR="00F45738" w:rsidRPr="5C4F8C4E">
        <w:rPr>
          <w:rFonts w:ascii="Calibri" w:hAnsi="Calibri" w:cs="Calibri"/>
          <w:b/>
          <w:bCs/>
          <w:sz w:val="24"/>
          <w:szCs w:val="24"/>
        </w:rPr>
        <w:t>[município/UF]</w:t>
      </w:r>
      <w:r w:rsidR="00F45738" w:rsidRPr="5C4F8C4E">
        <w:rPr>
          <w:rFonts w:ascii="Calibri" w:hAnsi="Calibri" w:cs="Calibri"/>
          <w:sz w:val="24"/>
          <w:szCs w:val="24"/>
        </w:rPr>
        <w:t xml:space="preserve">, declara, para os devidos fins, que </w:t>
      </w:r>
      <w:r w:rsidR="00EF089B" w:rsidRPr="5C4F8C4E">
        <w:rPr>
          <w:rFonts w:ascii="Calibri" w:hAnsi="Calibri" w:cs="Calibri"/>
          <w:sz w:val="24"/>
          <w:szCs w:val="24"/>
        </w:rPr>
        <w:t xml:space="preserve">está de acordo com a </w:t>
      </w:r>
      <w:r w:rsidR="00F45738" w:rsidRPr="5C4F8C4E">
        <w:rPr>
          <w:rFonts w:ascii="Calibri" w:hAnsi="Calibri" w:cs="Calibri"/>
          <w:sz w:val="24"/>
          <w:szCs w:val="24"/>
        </w:rPr>
        <w:t>transfer</w:t>
      </w:r>
      <w:r w:rsidR="00EF089B" w:rsidRPr="5C4F8C4E">
        <w:rPr>
          <w:rFonts w:ascii="Calibri" w:hAnsi="Calibri" w:cs="Calibri"/>
          <w:sz w:val="24"/>
          <w:szCs w:val="24"/>
        </w:rPr>
        <w:t>ência</w:t>
      </w:r>
      <w:r w:rsidR="0089329C" w:rsidRPr="5C4F8C4E">
        <w:rPr>
          <w:rFonts w:ascii="Calibri" w:hAnsi="Calibri" w:cs="Calibri"/>
          <w:sz w:val="24"/>
          <w:szCs w:val="24"/>
        </w:rPr>
        <w:t xml:space="preserve"> de titularidade</w:t>
      </w:r>
      <w:r w:rsidR="00F45738" w:rsidRPr="5C4F8C4E">
        <w:rPr>
          <w:rFonts w:ascii="Calibri" w:hAnsi="Calibri" w:cs="Calibri"/>
          <w:sz w:val="24"/>
          <w:szCs w:val="24"/>
        </w:rPr>
        <w:t xml:space="preserve"> </w:t>
      </w:r>
      <w:r w:rsidR="0089329C" w:rsidRPr="5C4F8C4E">
        <w:rPr>
          <w:rFonts w:ascii="Calibri" w:hAnsi="Calibri" w:cs="Calibri"/>
          <w:sz w:val="24"/>
          <w:szCs w:val="24"/>
        </w:rPr>
        <w:t>d</w:t>
      </w:r>
      <w:r w:rsidR="00F45738" w:rsidRPr="5C4F8C4E">
        <w:rPr>
          <w:rFonts w:ascii="Calibri" w:hAnsi="Calibri" w:cs="Calibri"/>
          <w:sz w:val="24"/>
          <w:szCs w:val="24"/>
        </w:rPr>
        <w:t xml:space="preserve">a referida autorização para </w:t>
      </w:r>
      <w:r w:rsidR="00F45738" w:rsidRPr="5C4F8C4E">
        <w:rPr>
          <w:rFonts w:ascii="Calibri" w:hAnsi="Calibri" w:cs="Calibri"/>
          <w:b/>
          <w:bCs/>
          <w:sz w:val="24"/>
          <w:szCs w:val="24"/>
        </w:rPr>
        <w:t>[</w:t>
      </w:r>
      <w:r w:rsidR="0089329C" w:rsidRPr="5C4F8C4E">
        <w:rPr>
          <w:rFonts w:ascii="Calibri" w:hAnsi="Calibri" w:cs="Calibri"/>
          <w:b/>
          <w:bCs/>
          <w:sz w:val="24"/>
          <w:szCs w:val="24"/>
        </w:rPr>
        <w:t>DENOMINAÇÃO</w:t>
      </w:r>
      <w:r w:rsidR="00F45738" w:rsidRPr="5C4F8C4E">
        <w:rPr>
          <w:rFonts w:ascii="Calibri" w:hAnsi="Calibri" w:cs="Calibri"/>
          <w:b/>
          <w:bCs/>
          <w:sz w:val="24"/>
          <w:szCs w:val="24"/>
        </w:rPr>
        <w:t xml:space="preserve"> SOCIAL DA CESSIONÁRIA]</w:t>
      </w:r>
      <w:r w:rsidR="00F45738" w:rsidRPr="5C4F8C4E">
        <w:rPr>
          <w:rFonts w:ascii="Calibri" w:hAnsi="Calibri" w:cs="Calibri"/>
          <w:sz w:val="24"/>
          <w:szCs w:val="24"/>
        </w:rPr>
        <w:t xml:space="preserve">, inscrita no CNPJ sob o nº </w:t>
      </w:r>
      <w:r w:rsidR="00F45738" w:rsidRPr="5C4F8C4E">
        <w:rPr>
          <w:rFonts w:ascii="Calibri" w:hAnsi="Calibri" w:cs="Calibri"/>
          <w:b/>
          <w:bCs/>
          <w:sz w:val="24"/>
          <w:szCs w:val="24"/>
        </w:rPr>
        <w:t>[●]</w:t>
      </w:r>
      <w:r w:rsidR="00F45738" w:rsidRPr="5C4F8C4E">
        <w:rPr>
          <w:rFonts w:ascii="Calibri" w:hAnsi="Calibri" w:cs="Calibri"/>
          <w:sz w:val="24"/>
          <w:szCs w:val="24"/>
        </w:rPr>
        <w:t xml:space="preserve">, com sede à </w:t>
      </w:r>
      <w:r w:rsidR="00F45738" w:rsidRPr="5C4F8C4E">
        <w:rPr>
          <w:rFonts w:ascii="Calibri" w:hAnsi="Calibri" w:cs="Calibri"/>
          <w:b/>
          <w:bCs/>
          <w:sz w:val="24"/>
          <w:szCs w:val="24"/>
        </w:rPr>
        <w:t>[endereço completo]</w:t>
      </w:r>
      <w:r w:rsidR="00F45738" w:rsidRPr="5C4F8C4E">
        <w:rPr>
          <w:rFonts w:ascii="Calibri" w:hAnsi="Calibri" w:cs="Calibri"/>
          <w:sz w:val="24"/>
          <w:szCs w:val="24"/>
        </w:rPr>
        <w:t xml:space="preserve">, doravante denominada </w:t>
      </w:r>
      <w:r w:rsidR="00F45738" w:rsidRPr="5C4F8C4E">
        <w:rPr>
          <w:rFonts w:ascii="Calibri" w:hAnsi="Calibri" w:cs="Calibri"/>
          <w:b/>
          <w:bCs/>
          <w:sz w:val="24"/>
          <w:szCs w:val="24"/>
        </w:rPr>
        <w:t>Cessionária</w:t>
      </w:r>
      <w:r w:rsidR="00F45738" w:rsidRPr="5C4F8C4E">
        <w:rPr>
          <w:rFonts w:ascii="Calibri" w:hAnsi="Calibri" w:cs="Calibri"/>
          <w:sz w:val="24"/>
          <w:szCs w:val="24"/>
        </w:rPr>
        <w:t>, nos termos e condições previstos n</w:t>
      </w:r>
      <w:r w:rsidR="002B0120" w:rsidRPr="5C4F8C4E">
        <w:rPr>
          <w:rFonts w:ascii="Calibri" w:hAnsi="Calibri" w:cs="Calibri"/>
          <w:sz w:val="24"/>
          <w:szCs w:val="24"/>
        </w:rPr>
        <w:t>o art. 10 da</w:t>
      </w:r>
      <w:r w:rsidR="00F45738" w:rsidRPr="5C4F8C4E">
        <w:rPr>
          <w:rFonts w:ascii="Calibri" w:hAnsi="Calibri" w:cs="Calibri"/>
          <w:sz w:val="24"/>
          <w:szCs w:val="24"/>
        </w:rPr>
        <w:t xml:space="preserve"> Resolução ANP nº 987/2025.</w:t>
      </w:r>
    </w:p>
    <w:p w14:paraId="2C41751B" w14:textId="40AC8814" w:rsidR="00F45738" w:rsidRPr="00F45738" w:rsidRDefault="00F45738" w:rsidP="00F45738">
      <w:pPr>
        <w:jc w:val="both"/>
        <w:rPr>
          <w:rFonts w:ascii="Calibri" w:hAnsi="Calibri" w:cs="Calibri"/>
          <w:sz w:val="24"/>
          <w:szCs w:val="24"/>
        </w:rPr>
      </w:pPr>
      <w:r w:rsidRPr="2D5C0D19">
        <w:rPr>
          <w:rFonts w:ascii="Calibri" w:hAnsi="Calibri" w:cs="Calibri"/>
          <w:sz w:val="24"/>
          <w:szCs w:val="24"/>
        </w:rPr>
        <w:t xml:space="preserve">A </w:t>
      </w:r>
      <w:r w:rsidR="191F63BD" w:rsidRPr="2D5C0D19">
        <w:rPr>
          <w:rFonts w:ascii="Calibri" w:hAnsi="Calibri" w:cs="Calibri"/>
          <w:sz w:val="24"/>
          <w:szCs w:val="24"/>
        </w:rPr>
        <w:t>Cedente</w:t>
      </w:r>
      <w:r w:rsidRPr="2D5C0D19">
        <w:rPr>
          <w:rFonts w:ascii="Calibri" w:hAnsi="Calibri" w:cs="Calibri"/>
          <w:sz w:val="24"/>
          <w:szCs w:val="24"/>
        </w:rPr>
        <w:t xml:space="preserve"> e a Cessionária declaram estar cientes de que a</w:t>
      </w:r>
      <w:r w:rsidR="3732CDFB" w:rsidRPr="2D5C0D19">
        <w:rPr>
          <w:rFonts w:ascii="Calibri" w:hAnsi="Calibri" w:cs="Calibri"/>
          <w:sz w:val="24"/>
          <w:szCs w:val="24"/>
        </w:rPr>
        <w:t xml:space="preserve"> validade da</w:t>
      </w:r>
      <w:r w:rsidRPr="2D5C0D19">
        <w:rPr>
          <w:rFonts w:ascii="Calibri" w:hAnsi="Calibri" w:cs="Calibri"/>
          <w:sz w:val="24"/>
          <w:szCs w:val="24"/>
        </w:rPr>
        <w:t xml:space="preserve"> transferência da autorização está condicionada ao atendimento integral das exigências </w:t>
      </w:r>
      <w:r w:rsidR="6F9168FA" w:rsidRPr="2D5C0D19">
        <w:rPr>
          <w:rFonts w:ascii="Calibri" w:hAnsi="Calibri" w:cs="Calibri"/>
          <w:sz w:val="24"/>
          <w:szCs w:val="24"/>
        </w:rPr>
        <w:t>previstas pela regulação em vigor</w:t>
      </w:r>
      <w:r w:rsidRPr="2D5C0D19">
        <w:rPr>
          <w:rFonts w:ascii="Calibri" w:hAnsi="Calibri" w:cs="Calibri"/>
          <w:sz w:val="24"/>
          <w:szCs w:val="24"/>
        </w:rPr>
        <w:t xml:space="preserve">, incluindo o envio à ANP da documentação comprobatória </w:t>
      </w:r>
      <w:r w:rsidR="3FCBF249" w:rsidRPr="2D5C0D19">
        <w:rPr>
          <w:rFonts w:ascii="Calibri" w:hAnsi="Calibri" w:cs="Calibri"/>
          <w:sz w:val="24"/>
          <w:szCs w:val="24"/>
        </w:rPr>
        <w:t>da regularidade perante outros órgãos e entidades públicas</w:t>
      </w:r>
      <w:r w:rsidRPr="2D5C0D19">
        <w:rPr>
          <w:rFonts w:ascii="Calibri" w:hAnsi="Calibri" w:cs="Calibri"/>
          <w:sz w:val="24"/>
          <w:szCs w:val="24"/>
        </w:rPr>
        <w:t xml:space="preserve"> e a publicação do respectivo ato autorizativo no Diário Oficial da União.</w:t>
      </w:r>
    </w:p>
    <w:p w14:paraId="41E6FFA9" w14:textId="69336A42" w:rsidR="0080130C" w:rsidRPr="0080130C" w:rsidRDefault="0080130C" w:rsidP="0080130C">
      <w:pPr>
        <w:jc w:val="both"/>
        <w:rPr>
          <w:rFonts w:ascii="Calibri" w:hAnsi="Calibri" w:cs="Calibri"/>
          <w:sz w:val="24"/>
          <w:szCs w:val="24"/>
        </w:rPr>
      </w:pPr>
      <w:r w:rsidRPr="0080130C">
        <w:rPr>
          <w:rFonts w:ascii="Calibri" w:hAnsi="Calibri" w:cs="Calibri"/>
          <w:sz w:val="24"/>
          <w:szCs w:val="24"/>
        </w:rPr>
        <w:t>A Cedente e a Cessionária declaram, ainda, ciência, nos termos d</w:t>
      </w:r>
      <w:r>
        <w:rPr>
          <w:rFonts w:ascii="Calibri" w:hAnsi="Calibri" w:cs="Calibri"/>
          <w:sz w:val="24"/>
          <w:szCs w:val="24"/>
        </w:rPr>
        <w:t>o art. 10 da</w:t>
      </w:r>
      <w:r w:rsidRPr="0080130C">
        <w:rPr>
          <w:rFonts w:ascii="Calibri" w:hAnsi="Calibri" w:cs="Calibri"/>
          <w:sz w:val="24"/>
          <w:szCs w:val="24"/>
        </w:rPr>
        <w:t xml:space="preserve"> Resolução ANP nº 987/2025, do seguinte:</w:t>
      </w:r>
    </w:p>
    <w:p w14:paraId="55EAC60B"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Os documentos relativos à transferência de titularidade, mencionados nos incisos II e III do caput do art. 10, serão considerados válidos, mesmo com a titularidade anterior, até a data de validade dos respectivos documentos.</w:t>
      </w:r>
    </w:p>
    <w:p w14:paraId="2ABC710F"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lastRenderedPageBreak/>
        <w:t>Caso o novo titular seja pessoa jurídica não autorizada pela ANP ao exercício da atividade de produção de biocombustíveis, deverão ser encaminhados, adicionalmente, os documentos constantes do art. 4º, para fins de outorga da autorização para o exercício da atividade de produção de biocombustíveis, conjuntamente com a outorga da nova autorização de operação da instalação produtora.</w:t>
      </w:r>
    </w:p>
    <w:p w14:paraId="1A4A16DB"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Caso a atividade de produção de biocombustíveis na instalação produtora autorizada esteja paralisada por período igual ou superior a um ano, cumpridos os requisitos do art. 10, a ANP outorgará a autorização de operação da instalação produtora em nome do novo titular, ficando suspensa a operação até que seja realizada vistoria e obtida aprovação expressa da ANP para a retomada, conforme art. 28, inciso VI.</w:t>
      </w:r>
    </w:p>
    <w:p w14:paraId="275B9133"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No caso previsto no item anterior, enquanto a retomada não for aprovada pela ANP, fica vedada a compra, venda e armazenamento de biocombustíveis na instalação produtora pelo novo titular.</w:t>
      </w:r>
    </w:p>
    <w:p w14:paraId="7EDE097F"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No caso de transferência de titularidade da autorização para o exercício da atividade de produção de biocombustíveis e da autorização de operação da instalação produtora de biodiesel, considerando as regras de obtenção do Registro Especial da Receita Federal do Brasil, nos termos da Lei nº 11.116/2005 e da Instrução Normativa RFB nº 1.053/2010, fica permitida a manutenção das autorizações em nome do antigo titular, conjuntamente com a outorga das autorizações em nome do novo titular, quando couber, até a obtenção do Registro Especial em nome do novo titular.</w:t>
      </w:r>
    </w:p>
    <w:p w14:paraId="271F4147"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No caso previsto no item anterior, quando o novo titular obtiver o Registro Especial, as autorizações em nome do antigo titular serão canceladas, devendo a operação e movimentação da instalação ser executada apenas pelo novo titular detentor do Registro Especial.</w:t>
      </w:r>
    </w:p>
    <w:p w14:paraId="7518093F" w14:textId="77777777" w:rsidR="0080130C" w:rsidRPr="0080130C" w:rsidRDefault="0080130C" w:rsidP="0080130C">
      <w:pPr>
        <w:numPr>
          <w:ilvl w:val="0"/>
          <w:numId w:val="16"/>
        </w:numPr>
        <w:jc w:val="both"/>
        <w:rPr>
          <w:rFonts w:ascii="Calibri" w:hAnsi="Calibri" w:cs="Calibri"/>
          <w:sz w:val="24"/>
          <w:szCs w:val="24"/>
        </w:rPr>
      </w:pPr>
      <w:r w:rsidRPr="0080130C">
        <w:rPr>
          <w:rFonts w:ascii="Calibri" w:hAnsi="Calibri" w:cs="Calibri"/>
          <w:sz w:val="24"/>
          <w:szCs w:val="24"/>
        </w:rPr>
        <w:t>O novo titular deverá aguardar a publicação no DOU da autorização de operação em seu nome para iniciar a operação da instalação produtora e a compra e venda dos biocombustíveis.</w:t>
      </w:r>
    </w:p>
    <w:p w14:paraId="5F4CA471" w14:textId="577C3E2F" w:rsidR="00E818C9" w:rsidRDefault="0080130C" w:rsidP="00F45738">
      <w:pPr>
        <w:jc w:val="both"/>
        <w:rPr>
          <w:rFonts w:ascii="Calibri" w:hAnsi="Calibri" w:cs="Calibri"/>
          <w:sz w:val="24"/>
          <w:szCs w:val="24"/>
        </w:rPr>
      </w:pPr>
      <w:r w:rsidRPr="0080130C">
        <w:rPr>
          <w:rFonts w:ascii="Calibri" w:hAnsi="Calibri" w:cs="Calibri"/>
          <w:sz w:val="24"/>
          <w:szCs w:val="24"/>
        </w:rPr>
        <w:t>Por ser expressão da verdade, firmam a presente declaração.</w:t>
      </w:r>
    </w:p>
    <w:p w14:paraId="12E1D5AE" w14:textId="77777777" w:rsidR="00C374AF" w:rsidRDefault="00C374AF" w:rsidP="00F45738">
      <w:pPr>
        <w:jc w:val="both"/>
        <w:rPr>
          <w:rFonts w:ascii="Calibri" w:hAnsi="Calibri" w:cs="Calibri"/>
          <w:sz w:val="24"/>
          <w:szCs w:val="24"/>
        </w:rPr>
      </w:pPr>
    </w:p>
    <w:p w14:paraId="353A79B1" w14:textId="77777777" w:rsidR="00C374AF" w:rsidRPr="00F45738" w:rsidRDefault="00C374AF" w:rsidP="00F45738">
      <w:pPr>
        <w:jc w:val="both"/>
        <w:rPr>
          <w:rFonts w:ascii="Calibri" w:hAnsi="Calibri" w:cs="Calibri"/>
          <w:sz w:val="24"/>
          <w:szCs w:val="24"/>
        </w:rPr>
      </w:pPr>
    </w:p>
    <w:p w14:paraId="4DFBD7C6" w14:textId="77777777" w:rsidR="00F45738" w:rsidRDefault="00F45738" w:rsidP="00F45738">
      <w:pPr>
        <w:jc w:val="both"/>
        <w:rPr>
          <w:rFonts w:ascii="Calibri" w:hAnsi="Calibri" w:cs="Calibri"/>
          <w:sz w:val="24"/>
          <w:szCs w:val="24"/>
        </w:rPr>
      </w:pPr>
      <w:r w:rsidRPr="00F45738">
        <w:rPr>
          <w:rFonts w:ascii="Calibri" w:hAnsi="Calibri" w:cs="Calibri"/>
          <w:sz w:val="24"/>
          <w:szCs w:val="24"/>
        </w:rPr>
        <w:lastRenderedPageBreak/>
        <w:t>[Local], [data].</w:t>
      </w:r>
    </w:p>
    <w:p w14:paraId="2672972C" w14:textId="77777777" w:rsidR="00E818C9" w:rsidRPr="00F45738" w:rsidRDefault="00E818C9" w:rsidP="00F45738">
      <w:pPr>
        <w:jc w:val="both"/>
        <w:rPr>
          <w:rFonts w:ascii="Calibri" w:hAnsi="Calibri" w:cs="Calibri"/>
          <w:sz w:val="24"/>
          <w:szCs w:val="24"/>
        </w:rPr>
      </w:pPr>
    </w:p>
    <w:p w14:paraId="51919754" w14:textId="77777777" w:rsidR="00F45738" w:rsidRPr="00F45738" w:rsidRDefault="00C374AF" w:rsidP="00F45738">
      <w:pPr>
        <w:jc w:val="both"/>
        <w:rPr>
          <w:rFonts w:ascii="Calibri" w:hAnsi="Calibri" w:cs="Calibri"/>
          <w:sz w:val="24"/>
          <w:szCs w:val="24"/>
        </w:rPr>
      </w:pPr>
      <w:r>
        <w:rPr>
          <w:rFonts w:ascii="Calibri" w:hAnsi="Calibri" w:cs="Calibri"/>
          <w:sz w:val="24"/>
          <w:szCs w:val="24"/>
        </w:rPr>
        <w:pict w14:anchorId="59C432F4">
          <v:rect id="_x0000_i1025" style="width:0;height:1.5pt" o:hralign="center" o:hrstd="t" o:hr="t" fillcolor="#a0a0a0" stroked="f"/>
        </w:pict>
      </w:r>
    </w:p>
    <w:p w14:paraId="59674788" w14:textId="35ED4C32" w:rsidR="00F45738" w:rsidRDefault="00F45738" w:rsidP="00E818C9">
      <w:pPr>
        <w:jc w:val="center"/>
        <w:rPr>
          <w:rFonts w:ascii="Calibri" w:hAnsi="Calibri" w:cs="Calibri"/>
          <w:sz w:val="24"/>
          <w:szCs w:val="24"/>
        </w:rPr>
      </w:pPr>
      <w:r w:rsidRPr="39001203">
        <w:rPr>
          <w:rFonts w:ascii="Calibri" w:hAnsi="Calibri" w:cs="Calibri"/>
          <w:b/>
          <w:bCs/>
          <w:sz w:val="24"/>
          <w:szCs w:val="24"/>
        </w:rPr>
        <w:t xml:space="preserve">[Nome do Representante Legal da </w:t>
      </w:r>
      <w:r w:rsidR="49E66B03" w:rsidRPr="39001203">
        <w:rPr>
          <w:rFonts w:ascii="Calibri" w:hAnsi="Calibri" w:cs="Calibri"/>
          <w:b/>
          <w:bCs/>
          <w:sz w:val="24"/>
          <w:szCs w:val="24"/>
        </w:rPr>
        <w:t>Cedente</w:t>
      </w:r>
      <w:r w:rsidRPr="39001203">
        <w:rPr>
          <w:rFonts w:ascii="Calibri" w:hAnsi="Calibri" w:cs="Calibri"/>
          <w:b/>
          <w:bCs/>
          <w:sz w:val="24"/>
          <w:szCs w:val="24"/>
        </w:rPr>
        <w:t>]</w:t>
      </w:r>
      <w:r>
        <w:br/>
      </w:r>
      <w:r w:rsidRPr="39001203">
        <w:rPr>
          <w:rFonts w:ascii="Calibri" w:hAnsi="Calibri" w:cs="Calibri"/>
          <w:sz w:val="24"/>
          <w:szCs w:val="24"/>
        </w:rPr>
        <w:t>Cargo: [●]</w:t>
      </w:r>
      <w:r>
        <w:br/>
      </w:r>
      <w:r w:rsidRPr="39001203">
        <w:rPr>
          <w:rFonts w:ascii="Calibri" w:hAnsi="Calibri" w:cs="Calibri"/>
          <w:sz w:val="24"/>
          <w:szCs w:val="24"/>
        </w:rPr>
        <w:t>CPF: [●]</w:t>
      </w:r>
    </w:p>
    <w:p w14:paraId="44202739" w14:textId="77777777" w:rsidR="00E818C9" w:rsidRPr="00F45738" w:rsidRDefault="00E818C9" w:rsidP="00E818C9">
      <w:pPr>
        <w:jc w:val="center"/>
        <w:rPr>
          <w:rFonts w:ascii="Calibri" w:hAnsi="Calibri" w:cs="Calibri"/>
          <w:sz w:val="24"/>
          <w:szCs w:val="24"/>
        </w:rPr>
      </w:pPr>
    </w:p>
    <w:p w14:paraId="6A301A53" w14:textId="77777777" w:rsidR="00F45738" w:rsidRPr="00F45738" w:rsidRDefault="00C374AF" w:rsidP="00F45738">
      <w:pPr>
        <w:jc w:val="both"/>
        <w:rPr>
          <w:rFonts w:ascii="Calibri" w:hAnsi="Calibri" w:cs="Calibri"/>
          <w:sz w:val="24"/>
          <w:szCs w:val="24"/>
        </w:rPr>
      </w:pPr>
      <w:r>
        <w:rPr>
          <w:rFonts w:ascii="Calibri" w:hAnsi="Calibri" w:cs="Calibri"/>
          <w:sz w:val="24"/>
          <w:szCs w:val="24"/>
        </w:rPr>
        <w:pict w14:anchorId="56E39407">
          <v:rect id="_x0000_i1026" style="width:0;height:1.5pt" o:hralign="center" o:hrstd="t" o:hr="t" fillcolor="#a0a0a0" stroked="f"/>
        </w:pict>
      </w:r>
    </w:p>
    <w:p w14:paraId="3E4CC399" w14:textId="2058F524" w:rsidR="00877BFF" w:rsidRPr="00FA3648" w:rsidRDefault="00F45738" w:rsidP="00FA3648">
      <w:pPr>
        <w:jc w:val="center"/>
        <w:rPr>
          <w:rFonts w:ascii="Calibri" w:hAnsi="Calibri" w:cs="Calibri"/>
          <w:sz w:val="24"/>
          <w:szCs w:val="24"/>
        </w:rPr>
      </w:pPr>
      <w:r w:rsidRPr="00F45738">
        <w:rPr>
          <w:rFonts w:ascii="Calibri" w:hAnsi="Calibri" w:cs="Calibri"/>
          <w:b/>
          <w:bCs/>
          <w:sz w:val="24"/>
          <w:szCs w:val="24"/>
        </w:rPr>
        <w:t>[Nome do Representante Legal da Cessionária]</w:t>
      </w:r>
      <w:r w:rsidRPr="00F45738">
        <w:rPr>
          <w:rFonts w:ascii="Calibri" w:hAnsi="Calibri" w:cs="Calibri"/>
          <w:sz w:val="24"/>
          <w:szCs w:val="24"/>
        </w:rPr>
        <w:br/>
        <w:t>Cargo: [●]</w:t>
      </w:r>
      <w:r w:rsidRPr="00F45738">
        <w:rPr>
          <w:rFonts w:ascii="Calibri" w:hAnsi="Calibri" w:cs="Calibri"/>
          <w:sz w:val="24"/>
          <w:szCs w:val="24"/>
        </w:rPr>
        <w:br/>
        <w:t>CPF: [●]</w:t>
      </w:r>
    </w:p>
    <w:sectPr w:rsidR="00877BFF" w:rsidRPr="00FA364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B04B" w14:textId="77777777" w:rsidR="00485B2C" w:rsidRPr="00BF5D0B" w:rsidRDefault="00485B2C" w:rsidP="00A466D0">
      <w:pPr>
        <w:spacing w:after="0" w:line="240" w:lineRule="auto"/>
      </w:pPr>
      <w:r w:rsidRPr="00BF5D0B">
        <w:separator/>
      </w:r>
    </w:p>
  </w:endnote>
  <w:endnote w:type="continuationSeparator" w:id="0">
    <w:p w14:paraId="4B4354CE" w14:textId="77777777" w:rsidR="00485B2C" w:rsidRPr="00BF5D0B" w:rsidRDefault="00485B2C" w:rsidP="00A466D0">
      <w:pPr>
        <w:spacing w:after="0" w:line="240" w:lineRule="auto"/>
      </w:pPr>
      <w:r w:rsidRPr="00BF5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B026" w14:textId="77777777" w:rsidR="00485B2C" w:rsidRPr="00BF5D0B" w:rsidRDefault="00485B2C" w:rsidP="00A466D0">
      <w:pPr>
        <w:spacing w:after="0" w:line="240" w:lineRule="auto"/>
      </w:pPr>
      <w:r w:rsidRPr="00BF5D0B">
        <w:separator/>
      </w:r>
    </w:p>
  </w:footnote>
  <w:footnote w:type="continuationSeparator" w:id="0">
    <w:p w14:paraId="5C469E5E" w14:textId="77777777" w:rsidR="00485B2C" w:rsidRPr="00BF5D0B" w:rsidRDefault="00485B2C" w:rsidP="00A466D0">
      <w:pPr>
        <w:spacing w:after="0" w:line="240" w:lineRule="auto"/>
      </w:pPr>
      <w:r w:rsidRPr="00BF5D0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29986CFF"/>
    <w:multiLevelType w:val="hybridMultilevel"/>
    <w:tmpl w:val="74823A9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5110DEA"/>
    <w:multiLevelType w:val="multilevel"/>
    <w:tmpl w:val="07F8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9321F"/>
    <w:multiLevelType w:val="hybridMultilevel"/>
    <w:tmpl w:val="1C5096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F654AD3"/>
    <w:multiLevelType w:val="hybridMultilevel"/>
    <w:tmpl w:val="86363294"/>
    <w:lvl w:ilvl="0" w:tplc="EC60E01E">
      <w:start w:val="5"/>
      <w:numFmt w:val="bullet"/>
      <w:lvlText w:val="-"/>
      <w:lvlJc w:val="left"/>
      <w:pPr>
        <w:ind w:left="720" w:hanging="360"/>
      </w:pPr>
      <w:rPr>
        <w:rFonts w:ascii="Calibri" w:eastAsiaTheme="minorEastAsia" w:hAnsi="Calibri" w:cs="Calibr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3FB02D3"/>
    <w:multiLevelType w:val="hybridMultilevel"/>
    <w:tmpl w:val="F906EB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4" w15:restartNumberingAfterBreak="0">
    <w:nsid w:val="606672F2"/>
    <w:multiLevelType w:val="hybridMultilevel"/>
    <w:tmpl w:val="FD5AFE7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5" w15:restartNumberingAfterBreak="0">
    <w:nsid w:val="7E4C0670"/>
    <w:multiLevelType w:val="hybridMultilevel"/>
    <w:tmpl w:val="46FCA3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848908328">
    <w:abstractNumId w:val="8"/>
  </w:num>
  <w:num w:numId="2" w16cid:durableId="959456666">
    <w:abstractNumId w:val="6"/>
  </w:num>
  <w:num w:numId="3" w16cid:durableId="1721586005">
    <w:abstractNumId w:val="5"/>
  </w:num>
  <w:num w:numId="4" w16cid:durableId="46146686">
    <w:abstractNumId w:val="4"/>
  </w:num>
  <w:num w:numId="5" w16cid:durableId="373164223">
    <w:abstractNumId w:val="7"/>
  </w:num>
  <w:num w:numId="6" w16cid:durableId="996612355">
    <w:abstractNumId w:val="3"/>
  </w:num>
  <w:num w:numId="7" w16cid:durableId="686373103">
    <w:abstractNumId w:val="2"/>
  </w:num>
  <w:num w:numId="8" w16cid:durableId="525293143">
    <w:abstractNumId w:val="1"/>
  </w:num>
  <w:num w:numId="9" w16cid:durableId="1855653645">
    <w:abstractNumId w:val="0"/>
  </w:num>
  <w:num w:numId="10" w16cid:durableId="173687287">
    <w:abstractNumId w:val="14"/>
  </w:num>
  <w:num w:numId="11" w16cid:durableId="1429277800">
    <w:abstractNumId w:val="9"/>
  </w:num>
  <w:num w:numId="12" w16cid:durableId="772439220">
    <w:abstractNumId w:val="13"/>
  </w:num>
  <w:num w:numId="13" w16cid:durableId="598100839">
    <w:abstractNumId w:val="12"/>
  </w:num>
  <w:num w:numId="14" w16cid:durableId="1547793575">
    <w:abstractNumId w:val="15"/>
  </w:num>
  <w:num w:numId="15" w16cid:durableId="1391803950">
    <w:abstractNumId w:val="11"/>
  </w:num>
  <w:num w:numId="16" w16cid:durableId="1084762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96"/>
    <w:rsid w:val="00034616"/>
    <w:rsid w:val="0006063C"/>
    <w:rsid w:val="000D653F"/>
    <w:rsid w:val="00130CF8"/>
    <w:rsid w:val="0015074B"/>
    <w:rsid w:val="00183B61"/>
    <w:rsid w:val="001B6555"/>
    <w:rsid w:val="001F4751"/>
    <w:rsid w:val="00212717"/>
    <w:rsid w:val="002673D9"/>
    <w:rsid w:val="002809ED"/>
    <w:rsid w:val="0029639D"/>
    <w:rsid w:val="002B0120"/>
    <w:rsid w:val="002E0514"/>
    <w:rsid w:val="00326F90"/>
    <w:rsid w:val="00485B2C"/>
    <w:rsid w:val="005007B0"/>
    <w:rsid w:val="00517F0E"/>
    <w:rsid w:val="00522096"/>
    <w:rsid w:val="0054451B"/>
    <w:rsid w:val="005A6979"/>
    <w:rsid w:val="005F23E5"/>
    <w:rsid w:val="005F44F8"/>
    <w:rsid w:val="0063282D"/>
    <w:rsid w:val="00640826"/>
    <w:rsid w:val="006558FE"/>
    <w:rsid w:val="00721DF6"/>
    <w:rsid w:val="007B0B89"/>
    <w:rsid w:val="007B1BD4"/>
    <w:rsid w:val="007D2346"/>
    <w:rsid w:val="0080130C"/>
    <w:rsid w:val="008477E3"/>
    <w:rsid w:val="00877AE2"/>
    <w:rsid w:val="00877BFF"/>
    <w:rsid w:val="0089329C"/>
    <w:rsid w:val="00923C3E"/>
    <w:rsid w:val="009F0FFF"/>
    <w:rsid w:val="00A20C81"/>
    <w:rsid w:val="00A466D0"/>
    <w:rsid w:val="00A54F4D"/>
    <w:rsid w:val="00A643CD"/>
    <w:rsid w:val="00A84665"/>
    <w:rsid w:val="00A96184"/>
    <w:rsid w:val="00AA1D8D"/>
    <w:rsid w:val="00B31F3D"/>
    <w:rsid w:val="00B47730"/>
    <w:rsid w:val="00BF1B85"/>
    <w:rsid w:val="00BF5D0B"/>
    <w:rsid w:val="00C106FD"/>
    <w:rsid w:val="00C374AF"/>
    <w:rsid w:val="00CB0664"/>
    <w:rsid w:val="00CB41B8"/>
    <w:rsid w:val="00CB6663"/>
    <w:rsid w:val="00D66EFC"/>
    <w:rsid w:val="00DB465C"/>
    <w:rsid w:val="00E35CF7"/>
    <w:rsid w:val="00E54ECE"/>
    <w:rsid w:val="00E818C9"/>
    <w:rsid w:val="00E86204"/>
    <w:rsid w:val="00EA0F6E"/>
    <w:rsid w:val="00ED4F4F"/>
    <w:rsid w:val="00EF089B"/>
    <w:rsid w:val="00F2571D"/>
    <w:rsid w:val="00F45738"/>
    <w:rsid w:val="00F71720"/>
    <w:rsid w:val="00F85F74"/>
    <w:rsid w:val="00FA3648"/>
    <w:rsid w:val="00FC693F"/>
    <w:rsid w:val="00FE07BE"/>
    <w:rsid w:val="0E7B558D"/>
    <w:rsid w:val="0F423A15"/>
    <w:rsid w:val="14853F18"/>
    <w:rsid w:val="16235CEF"/>
    <w:rsid w:val="16D400D4"/>
    <w:rsid w:val="191F63BD"/>
    <w:rsid w:val="2D5C0D19"/>
    <w:rsid w:val="32FF630D"/>
    <w:rsid w:val="3623E583"/>
    <w:rsid w:val="3732CDFB"/>
    <w:rsid w:val="39001203"/>
    <w:rsid w:val="3AEA0626"/>
    <w:rsid w:val="3D868D64"/>
    <w:rsid w:val="3F233E28"/>
    <w:rsid w:val="3FCBF249"/>
    <w:rsid w:val="44C22232"/>
    <w:rsid w:val="480711D3"/>
    <w:rsid w:val="49E66B03"/>
    <w:rsid w:val="551F0E04"/>
    <w:rsid w:val="5BB3AA4E"/>
    <w:rsid w:val="5C4F8C4E"/>
    <w:rsid w:val="68909A5B"/>
    <w:rsid w:val="6A0BE597"/>
    <w:rsid w:val="6CAE1C21"/>
    <w:rsid w:val="6F9168FA"/>
    <w:rsid w:val="7DBDAF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42EE65C"/>
  <w14:defaultImageDpi w14:val="330"/>
  <w15:docId w15:val="{86651C46-47F0-446C-B8B1-EF6EDD72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notaderodap">
    <w:name w:val="footnote text"/>
    <w:basedOn w:val="Normal"/>
    <w:link w:val="TextodenotaderodapChar"/>
    <w:uiPriority w:val="99"/>
    <w:semiHidden/>
    <w:unhideWhenUsed/>
    <w:rsid w:val="00A466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466D0"/>
    <w:rPr>
      <w:sz w:val="20"/>
      <w:szCs w:val="20"/>
    </w:rPr>
  </w:style>
  <w:style w:type="character" w:styleId="Refdenotaderodap">
    <w:name w:val="footnote reference"/>
    <w:basedOn w:val="Fontepargpadro"/>
    <w:uiPriority w:val="99"/>
    <w:semiHidden/>
    <w:unhideWhenUsed/>
    <w:rsid w:val="00A466D0"/>
    <w:rPr>
      <w:vertAlign w:val="superscript"/>
    </w:rPr>
  </w:style>
  <w:style w:type="character" w:styleId="Hyperlink">
    <w:name w:val="Hyperlink"/>
    <w:basedOn w:val="Fontepargpadro"/>
    <w:uiPriority w:val="99"/>
    <w:unhideWhenUsed/>
    <w:rsid w:val="00522096"/>
    <w:rPr>
      <w:color w:val="0000FF" w:themeColor="hyperlink"/>
      <w:u w:val="single"/>
    </w:rPr>
  </w:style>
  <w:style w:type="character" w:styleId="MenoPendente">
    <w:name w:val="Unresolved Mention"/>
    <w:basedOn w:val="Fontepargpadro"/>
    <w:uiPriority w:val="99"/>
    <w:semiHidden/>
    <w:unhideWhenUsed/>
    <w:rsid w:val="00522096"/>
    <w:rPr>
      <w:color w:val="605E5C"/>
      <w:shd w:val="clear" w:color="auto" w:fill="E1DFDD"/>
    </w:rPr>
  </w:style>
  <w:style w:type="paragraph" w:styleId="NormalWeb">
    <w:name w:val="Normal (Web)"/>
    <w:basedOn w:val="Normal"/>
    <w:uiPriority w:val="99"/>
    <w:unhideWhenUsed/>
    <w:rsid w:val="00877AE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121">
      <w:bodyDiv w:val="1"/>
      <w:marLeft w:val="0"/>
      <w:marRight w:val="0"/>
      <w:marTop w:val="0"/>
      <w:marBottom w:val="0"/>
      <w:divBdr>
        <w:top w:val="none" w:sz="0" w:space="0" w:color="auto"/>
        <w:left w:val="none" w:sz="0" w:space="0" w:color="auto"/>
        <w:bottom w:val="none" w:sz="0" w:space="0" w:color="auto"/>
        <w:right w:val="none" w:sz="0" w:space="0" w:color="auto"/>
      </w:divBdr>
    </w:div>
    <w:div w:id="423963717">
      <w:bodyDiv w:val="1"/>
      <w:marLeft w:val="0"/>
      <w:marRight w:val="0"/>
      <w:marTop w:val="0"/>
      <w:marBottom w:val="0"/>
      <w:divBdr>
        <w:top w:val="none" w:sz="0" w:space="0" w:color="auto"/>
        <w:left w:val="none" w:sz="0" w:space="0" w:color="auto"/>
        <w:bottom w:val="none" w:sz="0" w:space="0" w:color="auto"/>
        <w:right w:val="none" w:sz="0" w:space="0" w:color="auto"/>
      </w:divBdr>
    </w:div>
    <w:div w:id="1061754121">
      <w:bodyDiv w:val="1"/>
      <w:marLeft w:val="0"/>
      <w:marRight w:val="0"/>
      <w:marTop w:val="0"/>
      <w:marBottom w:val="0"/>
      <w:divBdr>
        <w:top w:val="none" w:sz="0" w:space="0" w:color="auto"/>
        <w:left w:val="none" w:sz="0" w:space="0" w:color="auto"/>
        <w:bottom w:val="none" w:sz="0" w:space="0" w:color="auto"/>
        <w:right w:val="none" w:sz="0" w:space="0" w:color="auto"/>
      </w:divBdr>
    </w:div>
    <w:div w:id="1331177418">
      <w:bodyDiv w:val="1"/>
      <w:marLeft w:val="0"/>
      <w:marRight w:val="0"/>
      <w:marTop w:val="0"/>
      <w:marBottom w:val="0"/>
      <w:divBdr>
        <w:top w:val="none" w:sz="0" w:space="0" w:color="auto"/>
        <w:left w:val="none" w:sz="0" w:space="0" w:color="auto"/>
        <w:bottom w:val="none" w:sz="0" w:space="0" w:color="auto"/>
        <w:right w:val="none" w:sz="0" w:space="0" w:color="auto"/>
      </w:divBdr>
    </w:div>
    <w:div w:id="1789159947">
      <w:bodyDiv w:val="1"/>
      <w:marLeft w:val="0"/>
      <w:marRight w:val="0"/>
      <w:marTop w:val="0"/>
      <w:marBottom w:val="0"/>
      <w:divBdr>
        <w:top w:val="none" w:sz="0" w:space="0" w:color="auto"/>
        <w:left w:val="none" w:sz="0" w:space="0" w:color="auto"/>
        <w:bottom w:val="none" w:sz="0" w:space="0" w:color="auto"/>
        <w:right w:val="none" w:sz="0" w:space="0" w:color="auto"/>
      </w:divBdr>
    </w:div>
    <w:div w:id="18757337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587</Words>
  <Characters>3175</Characters>
  <Application>Microsoft Office Word</Application>
  <DocSecurity>0</DocSecurity>
  <Lines>26</Lines>
  <Paragraphs>7</Paragraphs>
  <ScaleCrop>false</ScaleCrop>
  <Manager/>
  <Company/>
  <LinksUpToDate>false</LinksUpToDate>
  <CharactersWithSpaces>3755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Fernanda Tardin Moreno Martins</cp:lastModifiedBy>
  <cp:revision>5</cp:revision>
  <dcterms:created xsi:type="dcterms:W3CDTF">2025-08-15T16:53:00Z</dcterms:created>
  <dcterms:modified xsi:type="dcterms:W3CDTF">2025-08-15T22:48:00Z</dcterms:modified>
  <cp:category/>
</cp:coreProperties>
</file>