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425"/>
        <w:gridCol w:w="142"/>
        <w:gridCol w:w="425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5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4661EDAC" w:rsidR="00EB0006" w:rsidRPr="009B7C18" w:rsidRDefault="00EB0006" w:rsidP="00A21A6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Acidente </w:t>
            </w:r>
            <w:r w:rsidR="00A21A6D">
              <w:rPr>
                <w:rFonts w:ascii="Cambria" w:hAnsi="Cambria"/>
                <w:sz w:val="20"/>
                <w:szCs w:val="20"/>
                <w:lang w:val="pt-BR"/>
              </w:rPr>
              <w:t>ocorrido em 18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/0</w:t>
            </w:r>
            <w:r w:rsidR="00A21A6D">
              <w:rPr>
                <w:rFonts w:ascii="Cambria" w:hAnsi="Cambria"/>
                <w:sz w:val="20"/>
                <w:szCs w:val="20"/>
                <w:lang w:val="pt-BR"/>
              </w:rPr>
              <w:t>5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="00A21A6D">
              <w:rPr>
                <w:rFonts w:ascii="Cambria" w:hAnsi="Cambria"/>
                <w:sz w:val="20"/>
                <w:szCs w:val="20"/>
                <w:lang w:val="pt-BR"/>
              </w:rPr>
              <w:t>3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A21A6D">
              <w:rPr>
                <w:rFonts w:ascii="Cambria" w:hAnsi="Cambria"/>
                <w:sz w:val="20"/>
                <w:szCs w:val="20"/>
                <w:lang w:val="pt-BR"/>
              </w:rPr>
              <w:t xml:space="preserve">na sonda West </w:t>
            </w:r>
            <w:proofErr w:type="spellStart"/>
            <w:r w:rsidR="00A21A6D">
              <w:rPr>
                <w:rFonts w:ascii="Cambria" w:hAnsi="Cambria"/>
                <w:sz w:val="20"/>
                <w:szCs w:val="20"/>
                <w:lang w:val="pt-BR"/>
              </w:rPr>
              <w:t>Eminence</w:t>
            </w:r>
            <w:bookmarkEnd w:id="0"/>
            <w:proofErr w:type="spellEnd"/>
          </w:p>
        </w:tc>
      </w:tr>
      <w:tr w:rsidR="008534D3" w:rsidRPr="00443AA3" w14:paraId="4390BD47" w14:textId="77777777" w:rsidTr="00EE21BA">
        <w:tc>
          <w:tcPr>
            <w:tcW w:w="4820" w:type="dxa"/>
            <w:gridSpan w:val="8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4CE177E2" w:rsidR="00DA4E40" w:rsidRPr="009B7C18" w:rsidRDefault="009B7C18" w:rsidP="00A21A6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</w:t>
            </w:r>
            <w:r w:rsidR="00A21A6D">
              <w:rPr>
                <w:rFonts w:ascii="Cambria" w:hAnsi="Cambria"/>
                <w:sz w:val="20"/>
                <w:szCs w:val="20"/>
                <w:lang w:val="pt-BR"/>
              </w:rPr>
              <w:t>2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/SSM/201</w:t>
            </w:r>
            <w:r w:rsidR="00A21A6D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13494DCD" w:rsidR="00DA4E40" w:rsidRPr="009B7C18" w:rsidRDefault="00A21A6D" w:rsidP="00A21A6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25</w:t>
            </w:r>
            <w:r w:rsidR="009B7C18" w:rsidRPr="009B7C18">
              <w:rPr>
                <w:rFonts w:ascii="Cambria" w:hAnsi="Cambria"/>
                <w:sz w:val="20"/>
                <w:szCs w:val="20"/>
                <w:lang w:val="pt-BR"/>
              </w:rPr>
              <w:t>/0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 w:rsidR="009B7C18" w:rsidRPr="009B7C18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4"/>
            <w:shd w:val="clear" w:color="auto" w:fill="BFBFBF" w:themeFill="background1" w:themeFillShade="BF"/>
            <w:vAlign w:val="center"/>
          </w:tcPr>
          <w:p w14:paraId="22BA1746" w14:textId="7EAE1FCA" w:rsidR="00233D1C" w:rsidRPr="00677E06" w:rsidRDefault="001D45ED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CR5: </w:t>
            </w:r>
            <w:r w:rsidRPr="001D45ED">
              <w:rPr>
                <w:rFonts w:ascii="Cambria" w:hAnsi="Cambria"/>
                <w:sz w:val="20"/>
                <w:szCs w:val="20"/>
                <w:lang w:val="pt-BR"/>
              </w:rPr>
              <w:t>Promoção inadequada de condições para a participação da força de trabalho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3F871634" w14:textId="1136878F" w:rsidR="00287688" w:rsidRDefault="00287688" w:rsidP="00287688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287688">
              <w:rPr>
                <w:rFonts w:ascii="Cambria" w:hAnsi="Cambria"/>
                <w:sz w:val="20"/>
              </w:rPr>
              <w:t>A gestão de segurança operacional para a construção de poços envolve diferentes atores, i</w:t>
            </w:r>
            <w:r>
              <w:rPr>
                <w:rFonts w:ascii="Cambria" w:hAnsi="Cambria"/>
                <w:sz w:val="20"/>
              </w:rPr>
              <w:t>ncluindo o Operador do contrato,</w:t>
            </w:r>
            <w:r w:rsidRPr="00287688">
              <w:rPr>
                <w:rFonts w:ascii="Cambria" w:hAnsi="Cambria"/>
                <w:sz w:val="20"/>
              </w:rPr>
              <w:t xml:space="preserve"> o Operador da Instalação e empresas contratadas, tanto do Operador da Instalação, </w:t>
            </w:r>
            <w:r>
              <w:rPr>
                <w:rFonts w:ascii="Cambria" w:hAnsi="Cambria"/>
                <w:sz w:val="20"/>
              </w:rPr>
              <w:t xml:space="preserve">como do Operador do contrato.  </w:t>
            </w:r>
          </w:p>
          <w:p w14:paraId="267D9B90" w14:textId="65164123" w:rsidR="00287688" w:rsidRPr="00287688" w:rsidRDefault="00287688" w:rsidP="00287688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287688">
              <w:rPr>
                <w:rFonts w:ascii="Cambria" w:hAnsi="Cambria"/>
                <w:sz w:val="20"/>
              </w:rPr>
              <w:t xml:space="preserve">No papel superior na hierarquia de diligenciar as atividades necessárias para a construção do poço, </w:t>
            </w:r>
            <w:r>
              <w:rPr>
                <w:rFonts w:ascii="Cambria" w:hAnsi="Cambria"/>
                <w:sz w:val="20"/>
              </w:rPr>
              <w:t>o operador do contrato</w:t>
            </w:r>
            <w:r w:rsidRPr="00287688">
              <w:rPr>
                <w:rFonts w:ascii="Cambria" w:hAnsi="Cambria"/>
                <w:sz w:val="20"/>
              </w:rPr>
              <w:t xml:space="preserve"> realizava diariamente através do Fiscal da sonda (</w:t>
            </w:r>
            <w:proofErr w:type="spellStart"/>
            <w:r w:rsidRPr="00287688">
              <w:rPr>
                <w:rFonts w:ascii="Cambria" w:hAnsi="Cambria"/>
                <w:i/>
                <w:sz w:val="20"/>
              </w:rPr>
              <w:t>Company</w:t>
            </w:r>
            <w:proofErr w:type="spellEnd"/>
            <w:r w:rsidRPr="00287688">
              <w:rPr>
                <w:rFonts w:ascii="Cambria" w:hAnsi="Cambria"/>
                <w:i/>
                <w:sz w:val="20"/>
              </w:rPr>
              <w:t xml:space="preserve"> </w:t>
            </w:r>
            <w:proofErr w:type="spellStart"/>
            <w:r w:rsidRPr="00287688">
              <w:rPr>
                <w:rFonts w:ascii="Cambria" w:hAnsi="Cambria"/>
                <w:i/>
                <w:sz w:val="20"/>
              </w:rPr>
              <w:t>man</w:t>
            </w:r>
            <w:proofErr w:type="spellEnd"/>
            <w:r w:rsidRPr="00287688">
              <w:rPr>
                <w:rFonts w:ascii="Cambria" w:hAnsi="Cambria"/>
                <w:sz w:val="20"/>
              </w:rPr>
              <w:t xml:space="preserve">) a reunião de planejamento de atividades de poço. Esta reunião orienta e discute as ações a serem observadas entre todos atores na definição da logística e atividades para a operacionalização da construção do projeto do poço. </w:t>
            </w:r>
          </w:p>
          <w:p w14:paraId="5D5F777E" w14:textId="01F062F6" w:rsidR="00EB58DC" w:rsidRPr="0024585B" w:rsidRDefault="00287688" w:rsidP="0026250A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287688">
              <w:rPr>
                <w:rFonts w:ascii="Cambria" w:hAnsi="Cambria"/>
                <w:sz w:val="20"/>
              </w:rPr>
              <w:t xml:space="preserve">Não há evidências que os empregados da </w:t>
            </w:r>
            <w:r>
              <w:rPr>
                <w:rFonts w:ascii="Cambria" w:hAnsi="Cambria"/>
                <w:sz w:val="20"/>
              </w:rPr>
              <w:t xml:space="preserve">empresa contratada pelo operador do </w:t>
            </w:r>
            <w:r w:rsidR="0026250A">
              <w:rPr>
                <w:rFonts w:ascii="Cambria" w:hAnsi="Cambria"/>
                <w:sz w:val="20"/>
              </w:rPr>
              <w:t>contrato</w:t>
            </w:r>
            <w:r w:rsidRPr="00287688">
              <w:rPr>
                <w:rFonts w:ascii="Cambria" w:hAnsi="Cambria"/>
                <w:sz w:val="20"/>
              </w:rPr>
              <w:t xml:space="preserve"> </w:t>
            </w:r>
            <w:r w:rsidR="0026250A">
              <w:rPr>
                <w:rFonts w:ascii="Cambria" w:hAnsi="Cambria"/>
                <w:sz w:val="20"/>
              </w:rPr>
              <w:t>tenham participado</w:t>
            </w:r>
            <w:r w:rsidRPr="00287688">
              <w:rPr>
                <w:rFonts w:ascii="Cambria" w:hAnsi="Cambria"/>
                <w:sz w:val="20"/>
              </w:rPr>
              <w:t xml:space="preserve"> da reunião de planejamento, apesar d</w:t>
            </w:r>
            <w:r w:rsidR="0026250A">
              <w:rPr>
                <w:rFonts w:ascii="Cambria" w:hAnsi="Cambria"/>
                <w:sz w:val="20"/>
              </w:rPr>
              <w:t xml:space="preserve">e </w:t>
            </w:r>
            <w:r w:rsidRPr="00287688">
              <w:rPr>
                <w:rFonts w:ascii="Cambria" w:hAnsi="Cambria"/>
                <w:sz w:val="20"/>
              </w:rPr>
              <w:t>esta ter sido realizada na véspera do acidente em questão. Isso impediu a participação de um dos atores do acidente nas discussões das atividades de forma a receber/discutir orientações e informações do responsável do projeto de poço acerca das ações e riscos envolvidos nas ativida</w:t>
            </w:r>
            <w:r w:rsidR="0026250A">
              <w:rPr>
                <w:rFonts w:ascii="Cambria" w:hAnsi="Cambria"/>
                <w:sz w:val="20"/>
              </w:rPr>
              <w:t xml:space="preserve">des em que estariam incluídos. </w:t>
            </w:r>
          </w:p>
        </w:tc>
      </w:tr>
      <w:tr w:rsidR="005124CB" w:rsidRPr="00443AA3" w14:paraId="3D0885CC" w14:textId="77777777" w:rsidTr="008806ED">
        <w:trPr>
          <w:trHeight w:val="278"/>
        </w:trPr>
        <w:tc>
          <w:tcPr>
            <w:tcW w:w="2693" w:type="dxa"/>
            <w:gridSpan w:val="5"/>
            <w:shd w:val="clear" w:color="auto" w:fill="BFBFBF" w:themeFill="background1" w:themeFillShade="BF"/>
            <w:vAlign w:val="center"/>
          </w:tcPr>
          <w:p w14:paraId="5FEB4B67" w14:textId="77777777" w:rsidR="005124CB" w:rsidRPr="00BA7412" w:rsidRDefault="005124CB" w:rsidP="005124CB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1600DCA" w14:textId="77777777" w:rsidR="005124CB" w:rsidRPr="00D31E71" w:rsidRDefault="005124CB" w:rsidP="005124C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  <w:szCs w:val="20"/>
                <w:lang w:val="pt-BR"/>
              </w:rPr>
              <w:t>SS-69_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07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6CFDEBB3" w14:textId="1C08F9B5" w:rsidR="005124CB" w:rsidRPr="00D31E71" w:rsidRDefault="005124CB" w:rsidP="005124C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644832C1" w14:textId="1F604576" w:rsidR="005124CB" w:rsidRPr="00D31E71" w:rsidRDefault="005124CB" w:rsidP="005124C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4B5575E4" w:rsidR="005124CB" w:rsidRPr="00D31E71" w:rsidRDefault="005124CB" w:rsidP="005124C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B01C93D" w14:textId="30C809BD" w:rsidR="00BA7412" w:rsidRPr="0024585B" w:rsidRDefault="00F3031C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3031C">
              <w:rPr>
                <w:rFonts w:ascii="Cambria" w:hAnsi="Cambria"/>
                <w:sz w:val="20"/>
                <w:szCs w:val="20"/>
                <w:lang w:val="pt-BR"/>
              </w:rPr>
              <w:t xml:space="preserve">Garantir que os turnos de trabalho das diferentes empresas a bordo permitam a participação das pessoas envolvidas nas atividades operacionais nas reuniões de planejamento, de </w:t>
            </w:r>
            <w:proofErr w:type="spellStart"/>
            <w:r w:rsidRPr="00F3031C">
              <w:rPr>
                <w:rFonts w:ascii="Cambria" w:hAnsi="Cambria"/>
                <w:sz w:val="20"/>
                <w:szCs w:val="20"/>
                <w:lang w:val="pt-BR"/>
              </w:rPr>
              <w:t>pré</w:t>
            </w:r>
            <w:proofErr w:type="spellEnd"/>
            <w:r w:rsidRPr="00F3031C">
              <w:rPr>
                <w:rFonts w:ascii="Cambria" w:hAnsi="Cambria"/>
                <w:sz w:val="20"/>
                <w:szCs w:val="20"/>
                <w:lang w:val="pt-BR"/>
              </w:rPr>
              <w:t xml:space="preserve">-turno e </w:t>
            </w:r>
            <w:proofErr w:type="spellStart"/>
            <w:r w:rsidRPr="00F3031C">
              <w:rPr>
                <w:rFonts w:ascii="Cambria" w:hAnsi="Cambria"/>
                <w:sz w:val="20"/>
                <w:szCs w:val="20"/>
                <w:lang w:val="pt-BR"/>
              </w:rPr>
              <w:t>pré</w:t>
            </w:r>
            <w:proofErr w:type="spellEnd"/>
            <w:r w:rsidRPr="00F3031C">
              <w:rPr>
                <w:rFonts w:ascii="Cambria" w:hAnsi="Cambria"/>
                <w:sz w:val="20"/>
                <w:szCs w:val="20"/>
                <w:lang w:val="pt-BR"/>
              </w:rPr>
              <w:t>-tarefa e quaisquer outras relativas a temas de segurança.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0A872BD8" w:rsidR="00413E97" w:rsidRPr="00BA7412" w:rsidRDefault="00413E97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>12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6EA14649" w:rsidR="00413E97" w:rsidRPr="00BA7412" w:rsidRDefault="00B83DF3" w:rsidP="00B83DF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25</w:t>
            </w:r>
            <w:r w:rsidR="000E5D1B">
              <w:rPr>
                <w:rFonts w:ascii="Cambria" w:hAnsi="Cambria"/>
                <w:sz w:val="20"/>
                <w:szCs w:val="20"/>
                <w:lang w:val="pt-BR"/>
              </w:rPr>
              <w:t>/0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 w:rsidR="000E5D1B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8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676CA03B" w14:textId="02065A27" w:rsidR="00CD09A9" w:rsidRDefault="0026250A" w:rsidP="0026250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Recomendação evidenciada través de a</w:t>
            </w:r>
            <w:r w:rsidR="00F3031C" w:rsidRPr="00F3031C">
              <w:rPr>
                <w:rFonts w:ascii="Cambria" w:hAnsi="Cambria"/>
                <w:sz w:val="20"/>
                <w:szCs w:val="20"/>
                <w:lang w:val="pt-BR"/>
              </w:rPr>
              <w:t xml:space="preserve">nexo de SMS dos contratos de serviços,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e </w:t>
            </w:r>
            <w:r w:rsidR="00F3031C" w:rsidRPr="00F3031C">
              <w:rPr>
                <w:rFonts w:ascii="Cambria" w:hAnsi="Cambria"/>
                <w:sz w:val="20"/>
                <w:szCs w:val="20"/>
                <w:lang w:val="pt-BR"/>
              </w:rPr>
              <w:t>reforçado a bordo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através de evidências de participação de todos os envolvidos nas reuniões pertinentes.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7EEDE669" w:rsidR="003A7D61" w:rsidRDefault="00B83DF3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Ambos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5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44F873B6" w:rsidR="00EB44A8" w:rsidRPr="003A7D61" w:rsidRDefault="00F3031C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Escritório/ </w:t>
            </w:r>
            <w:r w:rsidR="00B83DF3"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C29501C" w14:textId="6C8CDEAF" w:rsidR="002E4B99" w:rsidRPr="00AC42C4" w:rsidRDefault="005A5868" w:rsidP="005A586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42A2ED82" w14:textId="23FC8E19" w:rsidR="00EE4B30" w:rsidRPr="002E4B99" w:rsidRDefault="001E4199" w:rsidP="005A586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1E4199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 (</w:t>
            </w:r>
            <w:r w:rsidR="005A5868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opcional</w:t>
            </w:r>
            <w:r w:rsidRPr="001E4199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54129D" w:rsidRPr="00443AA3" w14:paraId="6551B726" w14:textId="77777777" w:rsidTr="0054129D">
        <w:trPr>
          <w:trHeight w:val="278"/>
        </w:trPr>
        <w:tc>
          <w:tcPr>
            <w:tcW w:w="2126" w:type="dxa"/>
            <w:gridSpan w:val="3"/>
            <w:shd w:val="clear" w:color="auto" w:fill="FFFFFF" w:themeFill="background1"/>
            <w:vAlign w:val="center"/>
          </w:tcPr>
          <w:p w14:paraId="0327D92C" w14:textId="77777777" w:rsidR="0054129D" w:rsidRPr="00AC42C4" w:rsidRDefault="0054129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5124C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5124C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8080" w:type="dxa"/>
            <w:gridSpan w:val="13"/>
            <w:shd w:val="clear" w:color="auto" w:fill="FFFFFF" w:themeFill="background1"/>
            <w:vAlign w:val="center"/>
          </w:tcPr>
          <w:p w14:paraId="0466582F" w14:textId="2AC331D8" w:rsidR="0054129D" w:rsidRPr="00AC42C4" w:rsidRDefault="0054129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54129D">
        <w:trPr>
          <w:trHeight w:val="278"/>
        </w:trPr>
        <w:tc>
          <w:tcPr>
            <w:tcW w:w="2268" w:type="dxa"/>
            <w:gridSpan w:val="4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5124C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5124C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938" w:type="dxa"/>
            <w:gridSpan w:val="12"/>
            <w:shd w:val="clear" w:color="auto" w:fill="FFFFFF" w:themeFill="background1"/>
            <w:vAlign w:val="center"/>
          </w:tcPr>
          <w:p w14:paraId="317A1C9A" w14:textId="241A1992" w:rsidR="00FA6D57" w:rsidRPr="00AC42C4" w:rsidRDefault="0069294E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54129D" w:rsidRPr="00443AA3" w14:paraId="7ED8CED8" w14:textId="77777777" w:rsidTr="00591623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4DEFAD51" w14:textId="2C05BCF7" w:rsidR="0054129D" w:rsidRDefault="0054129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1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CBA96" w14:textId="77777777" w:rsidR="00486263" w:rsidRDefault="0048626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54129D" w:rsidRPr="009F2F74" w14:paraId="59E5E735" w14:textId="77777777" w:rsidTr="0054129D">
      <w:trPr>
        <w:jc w:val="center"/>
      </w:trPr>
      <w:tc>
        <w:tcPr>
          <w:tcW w:w="1555" w:type="dxa"/>
        </w:tcPr>
        <w:p w14:paraId="3973EA78" w14:textId="77777777" w:rsidR="0054129D" w:rsidRPr="00CF4E05" w:rsidRDefault="0054129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4E4933C8" w:rsidR="0054129D" w:rsidRPr="00CF4E05" w:rsidRDefault="0054129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54129D" w:rsidRPr="00CF4E05" w:rsidRDefault="0054129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54129D" w:rsidRPr="00CF4E05" w:rsidRDefault="0054129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54129D" w:rsidRPr="00CF4E05" w:rsidRDefault="0054129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54129D" w:rsidRPr="009F2F74" w14:paraId="44819FE1" w14:textId="77777777" w:rsidTr="0054129D">
      <w:trPr>
        <w:trHeight w:val="457"/>
        <w:jc w:val="center"/>
      </w:trPr>
      <w:tc>
        <w:tcPr>
          <w:tcW w:w="1555" w:type="dxa"/>
          <w:vAlign w:val="center"/>
        </w:tcPr>
        <w:p w14:paraId="09CFE04A" w14:textId="50577F0C" w:rsidR="0054129D" w:rsidRPr="00CF4E05" w:rsidRDefault="00486263" w:rsidP="0056163C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54129D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0E37B2B7" w:rsidR="0054129D" w:rsidRPr="00CF4E05" w:rsidRDefault="0054129D" w:rsidP="0056163C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5884B83D" w:rsidR="0054129D" w:rsidRPr="00CF4E05" w:rsidRDefault="0054129D" w:rsidP="0056163C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SS-69_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07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54129D" w:rsidRPr="00CF4E05" w:rsidRDefault="0054129D" w:rsidP="0056163C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486263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486263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54129D" w:rsidRPr="00CF4E05" w:rsidRDefault="0054129D" w:rsidP="0056163C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54129D" w:rsidRPr="00CF4E05" w:rsidRDefault="0054129D" w:rsidP="0056163C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54129D" w:rsidRPr="00CF4E05" w:rsidRDefault="0054129D" w:rsidP="0056163C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D0DA4" w14:textId="77777777" w:rsidR="00486263" w:rsidRDefault="0048626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00245" w14:textId="77777777" w:rsidR="00486263" w:rsidRDefault="0048626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E0CDE" w14:textId="77777777" w:rsidR="00486263" w:rsidRDefault="0048626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22565"/>
    <w:rsid w:val="00035427"/>
    <w:rsid w:val="0009333F"/>
    <w:rsid w:val="000D1D64"/>
    <w:rsid w:val="000D4B8B"/>
    <w:rsid w:val="000E5D1B"/>
    <w:rsid w:val="000E7793"/>
    <w:rsid w:val="00134A6D"/>
    <w:rsid w:val="001370CB"/>
    <w:rsid w:val="00154BA2"/>
    <w:rsid w:val="001A3BAF"/>
    <w:rsid w:val="001D45ED"/>
    <w:rsid w:val="001E4199"/>
    <w:rsid w:val="00211D2B"/>
    <w:rsid w:val="002171EA"/>
    <w:rsid w:val="00233D1C"/>
    <w:rsid w:val="0024585B"/>
    <w:rsid w:val="00247D85"/>
    <w:rsid w:val="0026250A"/>
    <w:rsid w:val="002875EA"/>
    <w:rsid w:val="00287688"/>
    <w:rsid w:val="002D2549"/>
    <w:rsid w:val="002D42F6"/>
    <w:rsid w:val="002E4B99"/>
    <w:rsid w:val="0035028A"/>
    <w:rsid w:val="00350C38"/>
    <w:rsid w:val="0035240F"/>
    <w:rsid w:val="0037720B"/>
    <w:rsid w:val="00393064"/>
    <w:rsid w:val="003A7D61"/>
    <w:rsid w:val="003E5317"/>
    <w:rsid w:val="00413E97"/>
    <w:rsid w:val="00424436"/>
    <w:rsid w:val="00443AA3"/>
    <w:rsid w:val="00486263"/>
    <w:rsid w:val="005124CB"/>
    <w:rsid w:val="00531335"/>
    <w:rsid w:val="0054129D"/>
    <w:rsid w:val="00543D74"/>
    <w:rsid w:val="0054449E"/>
    <w:rsid w:val="0056163C"/>
    <w:rsid w:val="00597AD7"/>
    <w:rsid w:val="005A5868"/>
    <w:rsid w:val="005B0D44"/>
    <w:rsid w:val="005E7DC7"/>
    <w:rsid w:val="005F516E"/>
    <w:rsid w:val="00651B01"/>
    <w:rsid w:val="00665AA4"/>
    <w:rsid w:val="00672EA9"/>
    <w:rsid w:val="00677E06"/>
    <w:rsid w:val="00685C3A"/>
    <w:rsid w:val="0069294E"/>
    <w:rsid w:val="00694853"/>
    <w:rsid w:val="006C6A24"/>
    <w:rsid w:val="006E7F38"/>
    <w:rsid w:val="0071608C"/>
    <w:rsid w:val="0073371D"/>
    <w:rsid w:val="0075016E"/>
    <w:rsid w:val="00754867"/>
    <w:rsid w:val="00766033"/>
    <w:rsid w:val="007D2310"/>
    <w:rsid w:val="007F6C97"/>
    <w:rsid w:val="008534D3"/>
    <w:rsid w:val="008553C8"/>
    <w:rsid w:val="008707EC"/>
    <w:rsid w:val="008D28B6"/>
    <w:rsid w:val="00976EC0"/>
    <w:rsid w:val="009B3896"/>
    <w:rsid w:val="009B7C18"/>
    <w:rsid w:val="00A21A6D"/>
    <w:rsid w:val="00A4237E"/>
    <w:rsid w:val="00A51F57"/>
    <w:rsid w:val="00A535A6"/>
    <w:rsid w:val="00A91961"/>
    <w:rsid w:val="00AC42C4"/>
    <w:rsid w:val="00B076C3"/>
    <w:rsid w:val="00B103E0"/>
    <w:rsid w:val="00B5559E"/>
    <w:rsid w:val="00B83DF3"/>
    <w:rsid w:val="00B84C7D"/>
    <w:rsid w:val="00B92673"/>
    <w:rsid w:val="00BA588E"/>
    <w:rsid w:val="00BA6C53"/>
    <w:rsid w:val="00BA7412"/>
    <w:rsid w:val="00BD7427"/>
    <w:rsid w:val="00BE535C"/>
    <w:rsid w:val="00C00195"/>
    <w:rsid w:val="00C01B13"/>
    <w:rsid w:val="00C06337"/>
    <w:rsid w:val="00C37710"/>
    <w:rsid w:val="00C56C9B"/>
    <w:rsid w:val="00C8093D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DF3196"/>
    <w:rsid w:val="00E13C28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3031C"/>
    <w:rsid w:val="00F44973"/>
    <w:rsid w:val="00F60077"/>
    <w:rsid w:val="00F66AC7"/>
    <w:rsid w:val="00F705F8"/>
    <w:rsid w:val="00F809DC"/>
    <w:rsid w:val="00FA6D57"/>
    <w:rsid w:val="00FF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63BF0-AE86-49A3-B317-AEB397C9F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426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14</cp:revision>
  <dcterms:created xsi:type="dcterms:W3CDTF">2017-09-20T12:50:00Z</dcterms:created>
  <dcterms:modified xsi:type="dcterms:W3CDTF">2019-08-27T19:19:00Z</dcterms:modified>
</cp:coreProperties>
</file>