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822"/>
        <w:gridCol w:w="170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0AF260C6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404104E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74AEB852" w14:textId="77777777" w:rsidTr="00F705F8">
        <w:tc>
          <w:tcPr>
            <w:tcW w:w="2693" w:type="dxa"/>
            <w:gridSpan w:val="4"/>
            <w:vAlign w:val="center"/>
          </w:tcPr>
          <w:p w14:paraId="0F7736A4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6B77F995" w14:textId="77777777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6AB22B06" w14:textId="77777777" w:rsidTr="00EE21BA">
        <w:tc>
          <w:tcPr>
            <w:tcW w:w="4820" w:type="dxa"/>
            <w:gridSpan w:val="7"/>
            <w:vAlign w:val="center"/>
          </w:tcPr>
          <w:p w14:paraId="6DE210E8" w14:textId="77777777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14AF7C82" w14:textId="77777777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2B48542E" w14:textId="77777777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10D23118" w14:textId="77777777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3C7F59D6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029860E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6408B11C" w14:textId="77777777" w:rsidR="001D3690" w:rsidRPr="00677E06" w:rsidRDefault="001D3690" w:rsidP="009D7461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1D3690">
              <w:rPr>
                <w:rFonts w:ascii="Cambria" w:hAnsi="Cambria"/>
                <w:sz w:val="20"/>
                <w:szCs w:val="20"/>
                <w:lang w:val="pt-BR"/>
              </w:rPr>
              <w:t>CR28: Fonte de ignição introduzida pela ação de pessoas dentro de atmosfera explosiva</w:t>
            </w:r>
          </w:p>
        </w:tc>
      </w:tr>
      <w:tr w:rsidR="00EB0006" w:rsidRPr="00443AA3" w14:paraId="0FCC3408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CA63856" w14:textId="77777777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440E70C1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27F4C2E4" w14:textId="77777777" w:rsidR="00F77681" w:rsidRPr="00F77681" w:rsidRDefault="00F77681" w:rsidP="00F77681">
            <w:pPr>
              <w:spacing w:before="120" w:after="120"/>
              <w:contextualSpacing/>
              <w:jc w:val="both"/>
              <w:rPr>
                <w:rFonts w:ascii="Cambria" w:eastAsia="Calibri" w:hAnsi="Cambria"/>
                <w:sz w:val="20"/>
                <w:lang w:eastAsia="en-US"/>
              </w:rPr>
            </w:pPr>
            <w:r w:rsidRPr="00F77681">
              <w:rPr>
                <w:rFonts w:ascii="Cambria" w:eastAsia="Calibri" w:hAnsi="Cambria"/>
                <w:sz w:val="20"/>
                <w:lang w:eastAsia="en-US"/>
              </w:rPr>
              <w:t>A investigação não conseguiu determinar a fonte de ignição, sendo apontadas como mais prováveis que a fonte de ignição tenha sido causada por faísca mecânica ou por eletricidade estática. Para qualquer uma das duas possibilidades consideradas mais prováveis, a fonte de ignição teria introduzida na sala de bombas pela ação de pessoas dentro de atmosfera explosiva, sendo que a causa raiz para as duas hipóteses é a mesma: a falta de instruções claras/específicas para a realização das tarefas das equipes de resposta à emergência.  Na falta destas instruções, a equipe de resposta a emergência definiu procedimentos e utilizou equipamentos ou ferramentas não adequados para uso em atmosfera explosiva.</w:t>
            </w:r>
            <w:r w:rsidR="00855BF5">
              <w:rPr>
                <w:rFonts w:ascii="Cambria" w:eastAsia="Calibri" w:hAnsi="Cambria"/>
                <w:sz w:val="20"/>
                <w:lang w:eastAsia="en-US"/>
              </w:rPr>
              <w:t xml:space="preserve"> </w:t>
            </w:r>
          </w:p>
          <w:p w14:paraId="73E57034" w14:textId="77777777" w:rsidR="005A5472" w:rsidRPr="0024585B" w:rsidRDefault="00F77681" w:rsidP="00F77681">
            <w:pPr>
              <w:pStyle w:val="PargrafodaLista"/>
              <w:spacing w:before="120" w:after="120" w:line="240" w:lineRule="auto"/>
              <w:ind w:left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F77681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Como uma ocorrência de vazamento de gás se tratava de uma situação de emergência, as ações a serem tomadas para mitigar essa situação deveriam ser contempladas no Plano de Resposta a Emergência, incluindo recomendação para utilização exclusiva de ferramentas apropriadas para área classificada em caso de ambiente com detecção de gás e proibição do uso de mangueira em atmosfera explosiva. A falta dessas informações no Plano de Resposta a Emergência configura-se, portanto, uma falta de instrução clara e específica para execução das atividades com segurança.</w:t>
            </w:r>
          </w:p>
        </w:tc>
      </w:tr>
      <w:tr w:rsidR="00BF0A75" w:rsidRPr="00443AA3" w14:paraId="368B90FB" w14:textId="77777777" w:rsidTr="005E5585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79086B4F" w14:textId="77777777" w:rsidR="00BF0A75" w:rsidRPr="00BA7412" w:rsidRDefault="00BF0A75" w:rsidP="00BF0A7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32099F73" w14:textId="77777777" w:rsidR="00BF0A75" w:rsidRPr="00D31E71" w:rsidRDefault="00BF0A75" w:rsidP="00BF0A75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50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3636D3D2" w14:textId="1107DEB0" w:rsidR="00BF0A75" w:rsidRPr="00D31E71" w:rsidRDefault="00BF0A75" w:rsidP="00BF0A75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7068FF58" w14:textId="75F6ADF2" w:rsidR="00BF0A75" w:rsidRPr="00D31E71" w:rsidRDefault="00BF0A75" w:rsidP="00BF0A75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309B5AD" w14:textId="137C1CF8" w:rsidR="00BF0A75" w:rsidRPr="00D31E71" w:rsidRDefault="00BF0A75" w:rsidP="00BF0A75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42FA5081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2345AC93" w14:textId="77777777" w:rsidR="00BA7412" w:rsidRPr="0024585B" w:rsidRDefault="0053369F" w:rsidP="00494E1F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53369F">
              <w:rPr>
                <w:rFonts w:ascii="Cambria" w:hAnsi="Cambria"/>
                <w:sz w:val="20"/>
                <w:szCs w:val="20"/>
                <w:lang w:val="pt-BR"/>
              </w:rPr>
              <w:t>Proibir o uso de mangueiras não condutoras em ambientes onde uma atmosfera inflamável estiver presente e não houver chama.</w:t>
            </w:r>
          </w:p>
        </w:tc>
      </w:tr>
      <w:tr w:rsidR="00413E97" w:rsidRPr="00443AA3" w14:paraId="45D9614F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17EF3B2F" w14:textId="7777777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4FBE3724" w14:textId="77777777" w:rsidR="00413E97" w:rsidRPr="00BA7412" w:rsidRDefault="001D3690" w:rsidP="009D746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imediato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4F563B57" w14:textId="7777777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A2F5B96" w14:textId="77777777" w:rsidR="00413E97" w:rsidRPr="00BA7412" w:rsidRDefault="001D3690" w:rsidP="001D3690">
            <w:pPr>
              <w:pStyle w:val="PargrafodaLista"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-</w:t>
            </w:r>
          </w:p>
        </w:tc>
      </w:tr>
      <w:tr w:rsidR="00D31E71" w:rsidRPr="00443AA3" w14:paraId="4FD72090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3F76E90B" w14:textId="77777777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228C4839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B091ECA" w14:textId="77777777" w:rsidR="00BC749A" w:rsidRDefault="00BC749A" w:rsidP="00F73BB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BC749A">
              <w:rPr>
                <w:rFonts w:ascii="Cambria" w:hAnsi="Cambria"/>
                <w:sz w:val="20"/>
                <w:szCs w:val="20"/>
                <w:lang w:val="pt-BR"/>
              </w:rPr>
              <w:t>Analisando os fatos ocorridos no acidente em questão, observa-se uma entre as situações que se configuram como potencial fonte de eletricidade estática: a utilização de mangueira de incêndio para lavar o local no qual havia se formado a poça de condensado.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 Mangueiras de combate a incêndio </w:t>
            </w:r>
            <w:r w:rsidR="00285378">
              <w:rPr>
                <w:rFonts w:ascii="Cambria" w:hAnsi="Cambria"/>
                <w:sz w:val="20"/>
                <w:szCs w:val="20"/>
                <w:lang w:val="pt-BR"/>
              </w:rPr>
              <w:t xml:space="preserve">não condutoras 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somente devem ser utilizadas na ausência de atmosfera </w:t>
            </w:r>
            <w:r w:rsidR="00285378">
              <w:rPr>
                <w:rFonts w:ascii="Cambria" w:hAnsi="Cambria"/>
                <w:sz w:val="20"/>
                <w:szCs w:val="20"/>
                <w:lang w:val="pt-BR"/>
              </w:rPr>
              <w:t xml:space="preserve">explosiva 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e tal </w:t>
            </w:r>
            <w:r w:rsidR="00285378">
              <w:rPr>
                <w:rFonts w:ascii="Cambria" w:hAnsi="Cambria"/>
                <w:sz w:val="20"/>
                <w:szCs w:val="20"/>
                <w:lang w:val="pt-BR"/>
              </w:rPr>
              <w:t xml:space="preserve">restrição 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deve estar explícita no Plano de Resposta a Emergência ou outro procedimento de conhecimento </w:t>
            </w:r>
            <w:r w:rsidR="00F73BBC">
              <w:rPr>
                <w:rFonts w:ascii="Cambria" w:hAnsi="Cambria"/>
                <w:sz w:val="20"/>
                <w:szCs w:val="20"/>
                <w:lang w:val="pt-BR"/>
              </w:rPr>
              <w:t>de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 todos os membros da brigada.</w:t>
            </w:r>
            <w:r w:rsidR="00C2175C">
              <w:rPr>
                <w:rFonts w:ascii="Cambria" w:hAnsi="Cambria"/>
                <w:sz w:val="20"/>
                <w:szCs w:val="20"/>
                <w:lang w:val="pt-BR"/>
              </w:rPr>
              <w:t xml:space="preserve"> </w:t>
            </w:r>
          </w:p>
          <w:p w14:paraId="77EEE320" w14:textId="77777777" w:rsidR="00B81A6B" w:rsidRDefault="00B81A6B" w:rsidP="00665AF6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Deve-se ressaltar que o cumprimento da recomendação CDSM_R</w:t>
            </w:r>
            <w:r w:rsidR="00906ED8">
              <w:rPr>
                <w:rFonts w:ascii="Cambria" w:hAnsi="Cambria"/>
                <w:sz w:val="20"/>
                <w:szCs w:val="20"/>
                <w:lang w:val="pt-BR"/>
              </w:rPr>
              <w:t>38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, que se refere à exposição da força de trabalho a atmosfera explosiva, não deve ser entendido como atendimento a recomendação aqui tratada. </w:t>
            </w:r>
            <w:r w:rsidR="007A0B80">
              <w:rPr>
                <w:rFonts w:ascii="Cambria" w:hAnsi="Cambria"/>
                <w:sz w:val="20"/>
                <w:szCs w:val="20"/>
                <w:lang w:val="pt-BR"/>
              </w:rPr>
              <w:t xml:space="preserve">A ausência do trabalhador da área como atmosfera explosiva não garante a eliminação do risco, uma vez que existe a possibilidade da mangueira ser utilizada a distância e, mesmo assim, gerar eletricidade estática. 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Conforme pode ser identificado na API RP 2003, item 4.1.1</w:t>
            </w:r>
            <w:r w:rsidR="007A0B80">
              <w:rPr>
                <w:rFonts w:ascii="Cambria" w:hAnsi="Cambria"/>
                <w:sz w:val="20"/>
                <w:szCs w:val="20"/>
                <w:lang w:val="pt-BR"/>
              </w:rPr>
              <w:t xml:space="preserve"> c, que sugere 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fluidos turbulentos </w:t>
            </w:r>
            <w:r w:rsidR="007A0B80">
              <w:rPr>
                <w:rFonts w:ascii="Cambria" w:hAnsi="Cambria"/>
                <w:sz w:val="20"/>
                <w:szCs w:val="20"/>
                <w:lang w:val="pt-BR"/>
              </w:rPr>
              <w:t xml:space="preserve">dissimilares </w:t>
            </w:r>
            <w:r w:rsidR="00665AF6">
              <w:rPr>
                <w:rFonts w:ascii="Cambria" w:hAnsi="Cambria"/>
                <w:sz w:val="20"/>
                <w:szCs w:val="20"/>
                <w:lang w:val="pt-BR"/>
              </w:rPr>
              <w:t xml:space="preserve">passando </w:t>
            </w:r>
            <w:r w:rsidR="007A0B80">
              <w:rPr>
                <w:rFonts w:ascii="Cambria" w:hAnsi="Cambria"/>
                <w:sz w:val="20"/>
                <w:szCs w:val="20"/>
                <w:lang w:val="pt-BR"/>
              </w:rPr>
              <w:t xml:space="preserve">através de hidrocarboneto líquido </w:t>
            </w:r>
            <w:r w:rsidR="00665AF6">
              <w:rPr>
                <w:rFonts w:ascii="Cambria" w:hAnsi="Cambria"/>
                <w:sz w:val="20"/>
                <w:szCs w:val="20"/>
                <w:lang w:val="pt-BR"/>
              </w:rPr>
              <w:t xml:space="preserve">podem ser </w:t>
            </w:r>
            <w:r w:rsidR="007A0B80">
              <w:rPr>
                <w:rFonts w:ascii="Cambria" w:hAnsi="Cambria"/>
                <w:sz w:val="20"/>
                <w:szCs w:val="20"/>
                <w:lang w:val="pt-BR"/>
              </w:rPr>
              <w:t>gerador</w:t>
            </w:r>
            <w:r w:rsidR="00665AF6">
              <w:rPr>
                <w:rFonts w:ascii="Cambria" w:hAnsi="Cambria"/>
                <w:sz w:val="20"/>
                <w:szCs w:val="20"/>
                <w:lang w:val="pt-BR"/>
              </w:rPr>
              <w:t>es</w:t>
            </w:r>
            <w:r w:rsidR="007A0B80">
              <w:rPr>
                <w:rFonts w:ascii="Cambria" w:hAnsi="Cambria"/>
                <w:sz w:val="20"/>
                <w:szCs w:val="20"/>
                <w:lang w:val="pt-BR"/>
              </w:rPr>
              <w:t xml:space="preserve"> de eletricidade estática por fricção. </w:t>
            </w:r>
          </w:p>
        </w:tc>
      </w:tr>
      <w:tr w:rsidR="003A7D61" w:rsidRPr="00443AA3" w14:paraId="77992261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7ABB8773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07483154" w14:textId="77777777" w:rsidR="003A7D61" w:rsidRDefault="003A7D61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  <w:r w:rsidR="009D7461">
              <w:rPr>
                <w:rFonts w:ascii="Cambria" w:hAnsi="Cambria"/>
                <w:sz w:val="20"/>
                <w:szCs w:val="20"/>
                <w:lang w:val="pt-BR"/>
              </w:rPr>
              <w:t xml:space="preserve"> ou sondas</w:t>
            </w:r>
          </w:p>
        </w:tc>
      </w:tr>
      <w:tr w:rsidR="00EB44A8" w:rsidRPr="00443AA3" w14:paraId="16D07D20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48C8CC4A" w14:textId="7777777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5A51FFD5" w14:textId="77777777" w:rsidR="00EB44A8" w:rsidRPr="003A7D61" w:rsidRDefault="001D3690" w:rsidP="00494E1F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 bordo</w:t>
            </w:r>
          </w:p>
        </w:tc>
      </w:tr>
      <w:tr w:rsidR="002E4B99" w:rsidRPr="00443AA3" w14:paraId="24ED2057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575CF9EF" w14:textId="77777777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36B2A45E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37FE6D44" w14:textId="77777777" w:rsidR="002E4B99" w:rsidRPr="00AC42C4" w:rsidRDefault="00AC42C4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</w:t>
            </w:r>
            <w:r w:rsidR="00285378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ado</w:t>
            </w:r>
          </w:p>
        </w:tc>
      </w:tr>
      <w:tr w:rsidR="00EE4B30" w:rsidRPr="00443AA3" w14:paraId="239020CF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E587BBE" w14:textId="77777777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2FC2013D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B47778B" w14:textId="77777777" w:rsidR="00EE4B30" w:rsidRPr="002E4B99" w:rsidRDefault="00AC42C4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lastRenderedPageBreak/>
              <w:t>A ser preenchido pelo auditor</w:t>
            </w:r>
            <w:r w:rsidR="00285378">
              <w:rPr>
                <w:rFonts w:ascii="Cambria" w:hAnsi="Cambria"/>
                <w:sz w:val="20"/>
                <w:szCs w:val="20"/>
                <w:lang w:val="pt-BR"/>
              </w:rPr>
              <w:t xml:space="preserve"> (opcional)</w:t>
            </w:r>
          </w:p>
        </w:tc>
      </w:tr>
      <w:tr w:rsidR="00C00195" w:rsidRPr="00443AA3" w14:paraId="2D46F243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40B650CF" w14:textId="77777777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035132" w:rsidRPr="00443AA3" w14:paraId="2E5F2F84" w14:textId="77777777" w:rsidTr="00035132">
        <w:trPr>
          <w:trHeight w:val="278"/>
        </w:trPr>
        <w:tc>
          <w:tcPr>
            <w:tcW w:w="2523" w:type="dxa"/>
            <w:gridSpan w:val="3"/>
            <w:shd w:val="clear" w:color="auto" w:fill="FFFFFF" w:themeFill="background1"/>
            <w:vAlign w:val="center"/>
          </w:tcPr>
          <w:p w14:paraId="15C8BEBF" w14:textId="77777777" w:rsidR="00035132" w:rsidRPr="00AC42C4" w:rsidRDefault="00035132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BF0A75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BF0A75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683" w:type="dxa"/>
            <w:gridSpan w:val="12"/>
            <w:shd w:val="clear" w:color="auto" w:fill="FFFFFF" w:themeFill="background1"/>
            <w:vAlign w:val="center"/>
          </w:tcPr>
          <w:p w14:paraId="514A6706" w14:textId="77777777" w:rsidR="00035132" w:rsidRPr="00AC42C4" w:rsidRDefault="00035132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0EA6C6DE" w14:textId="77777777" w:rsidTr="00035132">
        <w:trPr>
          <w:trHeight w:val="278"/>
        </w:trPr>
        <w:tc>
          <w:tcPr>
            <w:tcW w:w="2523" w:type="dxa"/>
            <w:gridSpan w:val="3"/>
            <w:shd w:val="clear" w:color="auto" w:fill="FFFFFF" w:themeFill="background1"/>
            <w:vAlign w:val="center"/>
          </w:tcPr>
          <w:p w14:paraId="14AEA8BB" w14:textId="77777777" w:rsidR="00FA6D57" w:rsidRPr="00AC42C4" w:rsidRDefault="00213159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A6D57"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BF0A75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BF0A75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="00FA6D57"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683" w:type="dxa"/>
            <w:gridSpan w:val="12"/>
            <w:shd w:val="clear" w:color="auto" w:fill="FFFFFF" w:themeFill="background1"/>
            <w:vAlign w:val="center"/>
          </w:tcPr>
          <w:p w14:paraId="0B8BD63E" w14:textId="77777777" w:rsidR="00FA6D57" w:rsidRPr="00AC42C4" w:rsidRDefault="00894FBF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035132" w:rsidRPr="00443AA3" w14:paraId="296C2306" w14:textId="77777777" w:rsidTr="00E224A5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2F27EAEC" w14:textId="77777777" w:rsidR="00035132" w:rsidRDefault="00035132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EE4B30" w:rsidRPr="00443AA3" w14:paraId="6D31C733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4885501" w14:textId="77777777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EE4B30" w:rsidRPr="00443AA3" w14:paraId="3BF9018E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29B3E671" w14:textId="77777777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759C3AB7" w14:textId="77777777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5856B21" w14:textId="77777777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A6B9326" w14:textId="77777777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5ABD7BE0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23291A" w14:textId="77777777" w:rsidR="00976EC0" w:rsidRDefault="00976EC0" w:rsidP="00DA4E40">
      <w:r>
        <w:separator/>
      </w:r>
    </w:p>
  </w:endnote>
  <w:endnote w:type="continuationSeparator" w:id="0">
    <w:p w14:paraId="78EA37F5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8CC0F" w14:textId="77777777" w:rsidR="00C90AB3" w:rsidRDefault="00C90AB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6F4AE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852"/>
      <w:gridCol w:w="1609"/>
      <w:gridCol w:w="992"/>
      <w:gridCol w:w="1559"/>
    </w:tblGrid>
    <w:tr w:rsidR="00035132" w:rsidRPr="009F2F74" w14:paraId="3EA4713E" w14:textId="77777777" w:rsidTr="00035132">
      <w:trPr>
        <w:jc w:val="center"/>
      </w:trPr>
      <w:tc>
        <w:tcPr>
          <w:tcW w:w="1189" w:type="dxa"/>
        </w:tcPr>
        <w:p w14:paraId="0F557362" w14:textId="77777777" w:rsidR="00035132" w:rsidRPr="00CF4E05" w:rsidRDefault="00035132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852" w:type="dxa"/>
        </w:tcPr>
        <w:p w14:paraId="5C383B9C" w14:textId="77777777" w:rsidR="00035132" w:rsidRPr="00CF4E05" w:rsidRDefault="00035132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7453B4AC" w14:textId="77777777" w:rsidR="00035132" w:rsidRPr="00CF4E05" w:rsidRDefault="00035132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4A4724FE" w14:textId="77777777" w:rsidR="00035132" w:rsidRPr="00CF4E05" w:rsidRDefault="00035132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2662FD84" w14:textId="77777777" w:rsidR="00035132" w:rsidRPr="00CF4E05" w:rsidRDefault="00035132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035132" w:rsidRPr="009F2F74" w14:paraId="78BCA6EC" w14:textId="77777777" w:rsidTr="00035132">
      <w:trPr>
        <w:trHeight w:val="457"/>
        <w:jc w:val="center"/>
      </w:trPr>
      <w:tc>
        <w:tcPr>
          <w:tcW w:w="1189" w:type="dxa"/>
          <w:vAlign w:val="center"/>
        </w:tcPr>
        <w:p w14:paraId="45992B85" w14:textId="77777777" w:rsidR="00035132" w:rsidRPr="00CF4E05" w:rsidRDefault="00C90AB3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035132">
            <w:rPr>
              <w:rFonts w:ascii="Cambria" w:hAnsi="Cambria"/>
              <w:sz w:val="20"/>
            </w:rPr>
            <w:t>_SSM_XXX</w:t>
          </w:r>
        </w:p>
      </w:tc>
      <w:tc>
        <w:tcPr>
          <w:tcW w:w="4852" w:type="dxa"/>
          <w:vAlign w:val="center"/>
        </w:tcPr>
        <w:p w14:paraId="2027588C" w14:textId="77777777" w:rsidR="00035132" w:rsidRPr="00CF4E05" w:rsidRDefault="00035132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207CB46D" w14:textId="77777777" w:rsidR="00035132" w:rsidRPr="00CF4E05" w:rsidRDefault="00035132" w:rsidP="00FB373C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Recomendaçao \h </w:instrText>
          </w:r>
          <w:r>
            <w:fldChar w:fldCharType="separate"/>
          </w:r>
          <w:r>
            <w:rPr>
              <w:rFonts w:ascii="Cambria" w:hAnsi="Cambria"/>
              <w:sz w:val="20"/>
            </w:rPr>
            <w:t>CDSM_</w:t>
          </w:r>
          <w:r w:rsidRPr="00D31E71">
            <w:rPr>
              <w:rFonts w:ascii="Cambria" w:hAnsi="Cambria"/>
              <w:sz w:val="20"/>
            </w:rPr>
            <w:t>R</w:t>
          </w:r>
          <w:r>
            <w:rPr>
              <w:rFonts w:ascii="Cambria" w:hAnsi="Cambria"/>
              <w:sz w:val="20"/>
            </w:rPr>
            <w:t>50</w:t>
          </w:r>
          <w:r>
            <w:fldChar w:fldCharType="end"/>
          </w:r>
        </w:p>
      </w:tc>
      <w:tc>
        <w:tcPr>
          <w:tcW w:w="992" w:type="dxa"/>
          <w:vAlign w:val="center"/>
        </w:tcPr>
        <w:p w14:paraId="6B226A99" w14:textId="77777777" w:rsidR="00035132" w:rsidRPr="00CF4E05" w:rsidRDefault="00035132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C90AB3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="00BF0A75">
            <w:fldChar w:fldCharType="begin"/>
          </w:r>
          <w:r w:rsidR="00BF0A75">
            <w:instrText>NUMPAGES  \* Arabic  \* MERGEFORMAT</w:instrText>
          </w:r>
          <w:r w:rsidR="00BF0A75">
            <w:fldChar w:fldCharType="separate"/>
          </w:r>
          <w:r w:rsidR="00C90AB3" w:rsidRPr="00C90AB3">
            <w:rPr>
              <w:rFonts w:ascii="Cambria" w:hAnsi="Cambria"/>
              <w:bCs/>
              <w:noProof/>
              <w:sz w:val="20"/>
            </w:rPr>
            <w:t>2</w:t>
          </w:r>
          <w:r w:rsidR="00BF0A75">
            <w:rPr>
              <w:rFonts w:ascii="Cambria" w:hAnsi="Cambria"/>
              <w:bCs/>
              <w:noProof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26067D8" w14:textId="77777777" w:rsidR="00035132" w:rsidRPr="00CF4E05" w:rsidRDefault="00035132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77C9179" w14:textId="77777777" w:rsidR="00035132" w:rsidRPr="00CF4E05" w:rsidRDefault="00035132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30E5BE27" w14:textId="77777777" w:rsidR="00035132" w:rsidRPr="00CF4E05" w:rsidRDefault="00035132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785C93E2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B3AA2" w14:textId="77777777" w:rsidR="00C90AB3" w:rsidRDefault="00C90AB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4631AB" w14:textId="77777777" w:rsidR="00976EC0" w:rsidRDefault="00976EC0" w:rsidP="00DA4E40">
      <w:r>
        <w:separator/>
      </w:r>
    </w:p>
  </w:footnote>
  <w:footnote w:type="continuationSeparator" w:id="0">
    <w:p w14:paraId="065A34D7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39FCF" w14:textId="77777777" w:rsidR="00C90AB3" w:rsidRDefault="00C90AB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15E25BE6" w14:textId="77777777" w:rsidTr="00A4237E">
      <w:trPr>
        <w:trHeight w:val="552"/>
      </w:trPr>
      <w:tc>
        <w:tcPr>
          <w:tcW w:w="1069" w:type="dxa"/>
        </w:tcPr>
        <w:p w14:paraId="43FC7D35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119E779" wp14:editId="39D1E9F2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85C3ECF" w14:textId="77777777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27EC5216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52B539" w14:textId="77777777" w:rsidR="00C90AB3" w:rsidRDefault="00C90AB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4E40"/>
    <w:rsid w:val="00003421"/>
    <w:rsid w:val="00013398"/>
    <w:rsid w:val="00035132"/>
    <w:rsid w:val="00035427"/>
    <w:rsid w:val="0009333F"/>
    <w:rsid w:val="000D1D64"/>
    <w:rsid w:val="000D4B8B"/>
    <w:rsid w:val="000E5D1B"/>
    <w:rsid w:val="000E7793"/>
    <w:rsid w:val="00114DF0"/>
    <w:rsid w:val="00134A6D"/>
    <w:rsid w:val="001370CB"/>
    <w:rsid w:val="00141D71"/>
    <w:rsid w:val="00154BA2"/>
    <w:rsid w:val="00170038"/>
    <w:rsid w:val="00181147"/>
    <w:rsid w:val="001A3BAF"/>
    <w:rsid w:val="001D3690"/>
    <w:rsid w:val="00211D2B"/>
    <w:rsid w:val="00213159"/>
    <w:rsid w:val="002171EA"/>
    <w:rsid w:val="00233D1C"/>
    <w:rsid w:val="0024585B"/>
    <w:rsid w:val="00247D85"/>
    <w:rsid w:val="00285378"/>
    <w:rsid w:val="002875EA"/>
    <w:rsid w:val="002D2549"/>
    <w:rsid w:val="002D42F6"/>
    <w:rsid w:val="002E0E2F"/>
    <w:rsid w:val="002E4B99"/>
    <w:rsid w:val="00311E63"/>
    <w:rsid w:val="0035028A"/>
    <w:rsid w:val="00350C38"/>
    <w:rsid w:val="0035240F"/>
    <w:rsid w:val="00377138"/>
    <w:rsid w:val="0037720B"/>
    <w:rsid w:val="00394C2E"/>
    <w:rsid w:val="00394D39"/>
    <w:rsid w:val="003A7D61"/>
    <w:rsid w:val="003E5317"/>
    <w:rsid w:val="00413E97"/>
    <w:rsid w:val="00424436"/>
    <w:rsid w:val="00443AA3"/>
    <w:rsid w:val="00494E1F"/>
    <w:rsid w:val="00531335"/>
    <w:rsid w:val="0053369F"/>
    <w:rsid w:val="00543D74"/>
    <w:rsid w:val="0054449E"/>
    <w:rsid w:val="00556E8E"/>
    <w:rsid w:val="005A5472"/>
    <w:rsid w:val="005B0D44"/>
    <w:rsid w:val="005E7DC7"/>
    <w:rsid w:val="005F516E"/>
    <w:rsid w:val="00614078"/>
    <w:rsid w:val="00635848"/>
    <w:rsid w:val="00651B01"/>
    <w:rsid w:val="00665AA4"/>
    <w:rsid w:val="00665AF6"/>
    <w:rsid w:val="00672EA9"/>
    <w:rsid w:val="00677E06"/>
    <w:rsid w:val="00685C3A"/>
    <w:rsid w:val="00694853"/>
    <w:rsid w:val="006E7F38"/>
    <w:rsid w:val="0071608C"/>
    <w:rsid w:val="0073371D"/>
    <w:rsid w:val="0075016E"/>
    <w:rsid w:val="00754867"/>
    <w:rsid w:val="00766033"/>
    <w:rsid w:val="007739CA"/>
    <w:rsid w:val="007A0B80"/>
    <w:rsid w:val="007D2310"/>
    <w:rsid w:val="007F6C97"/>
    <w:rsid w:val="008112DB"/>
    <w:rsid w:val="00831A30"/>
    <w:rsid w:val="008534D3"/>
    <w:rsid w:val="00855BF5"/>
    <w:rsid w:val="008707EC"/>
    <w:rsid w:val="00894FBF"/>
    <w:rsid w:val="008D28B6"/>
    <w:rsid w:val="00906ED8"/>
    <w:rsid w:val="00976EC0"/>
    <w:rsid w:val="009858F1"/>
    <w:rsid w:val="009B3896"/>
    <w:rsid w:val="009B7C18"/>
    <w:rsid w:val="009D7461"/>
    <w:rsid w:val="00A32333"/>
    <w:rsid w:val="00A4237E"/>
    <w:rsid w:val="00A51F57"/>
    <w:rsid w:val="00A535A6"/>
    <w:rsid w:val="00A91961"/>
    <w:rsid w:val="00A92576"/>
    <w:rsid w:val="00AC42C4"/>
    <w:rsid w:val="00B00DDB"/>
    <w:rsid w:val="00B076C3"/>
    <w:rsid w:val="00B103E0"/>
    <w:rsid w:val="00B5559E"/>
    <w:rsid w:val="00B81A6B"/>
    <w:rsid w:val="00B84C7D"/>
    <w:rsid w:val="00B92673"/>
    <w:rsid w:val="00BA588E"/>
    <w:rsid w:val="00BA7412"/>
    <w:rsid w:val="00BC749A"/>
    <w:rsid w:val="00BD7427"/>
    <w:rsid w:val="00BE535C"/>
    <w:rsid w:val="00BF0A75"/>
    <w:rsid w:val="00C00195"/>
    <w:rsid w:val="00C01B13"/>
    <w:rsid w:val="00C06337"/>
    <w:rsid w:val="00C2175C"/>
    <w:rsid w:val="00C2767C"/>
    <w:rsid w:val="00C33ACF"/>
    <w:rsid w:val="00C37710"/>
    <w:rsid w:val="00C479A0"/>
    <w:rsid w:val="00C8093D"/>
    <w:rsid w:val="00C90AB3"/>
    <w:rsid w:val="00CC569E"/>
    <w:rsid w:val="00CD09A9"/>
    <w:rsid w:val="00CF19A9"/>
    <w:rsid w:val="00CF4E05"/>
    <w:rsid w:val="00D31E71"/>
    <w:rsid w:val="00D37830"/>
    <w:rsid w:val="00D536AF"/>
    <w:rsid w:val="00D80A1A"/>
    <w:rsid w:val="00D967F3"/>
    <w:rsid w:val="00DA4E40"/>
    <w:rsid w:val="00DA5DCD"/>
    <w:rsid w:val="00DC28B2"/>
    <w:rsid w:val="00E02329"/>
    <w:rsid w:val="00E0626A"/>
    <w:rsid w:val="00E32E57"/>
    <w:rsid w:val="00E40610"/>
    <w:rsid w:val="00E77404"/>
    <w:rsid w:val="00EB0006"/>
    <w:rsid w:val="00EB2053"/>
    <w:rsid w:val="00EB44A8"/>
    <w:rsid w:val="00EB58DC"/>
    <w:rsid w:val="00ED37B7"/>
    <w:rsid w:val="00EE21BA"/>
    <w:rsid w:val="00EE40E0"/>
    <w:rsid w:val="00EE4B30"/>
    <w:rsid w:val="00EF1417"/>
    <w:rsid w:val="00F13FE7"/>
    <w:rsid w:val="00F207BA"/>
    <w:rsid w:val="00F25877"/>
    <w:rsid w:val="00F44973"/>
    <w:rsid w:val="00F60077"/>
    <w:rsid w:val="00F705F8"/>
    <w:rsid w:val="00F7091E"/>
    <w:rsid w:val="00F73BBC"/>
    <w:rsid w:val="00F77681"/>
    <w:rsid w:val="00F809DC"/>
    <w:rsid w:val="00FA6D57"/>
    <w:rsid w:val="00FB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78C8BE73"/>
  <w15:docId w15:val="{0B4EB56E-04C8-4AAE-A286-812DA6EC1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08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8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70D00-5C1E-445B-AB45-7BD8F0060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799</TotalTime>
  <Pages>2</Pages>
  <Words>585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22</cp:revision>
  <dcterms:created xsi:type="dcterms:W3CDTF">2017-09-04T14:05:00Z</dcterms:created>
  <dcterms:modified xsi:type="dcterms:W3CDTF">2019-08-27T19:07:00Z</dcterms:modified>
</cp:coreProperties>
</file>