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709"/>
        <w:gridCol w:w="283"/>
        <w:gridCol w:w="993"/>
        <w:gridCol w:w="885"/>
        <w:gridCol w:w="249"/>
        <w:gridCol w:w="141"/>
        <w:gridCol w:w="1418"/>
        <w:gridCol w:w="70"/>
        <w:gridCol w:w="1631"/>
        <w:gridCol w:w="247"/>
        <w:gridCol w:w="462"/>
        <w:gridCol w:w="141"/>
        <w:gridCol w:w="1276"/>
      </w:tblGrid>
      <w:tr w:rsidR="008534D3" w:rsidRPr="00443AA3" w14:paraId="527FB2F5" w14:textId="77777777" w:rsidTr="00EE21BA"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E04355C" w14:textId="77777777" w:rsidR="008534D3" w:rsidRPr="00443AA3" w:rsidRDefault="008534D3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0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43AA3">
              <w:rPr>
                <w:rFonts w:ascii="Cambria" w:hAnsi="Cambria"/>
                <w:b/>
                <w:sz w:val="20"/>
                <w:szCs w:val="20"/>
                <w:lang w:val="pt-BR"/>
              </w:rPr>
              <w:t>Informações gerais</w:t>
            </w:r>
          </w:p>
        </w:tc>
      </w:tr>
      <w:tr w:rsidR="00EB0006" w:rsidRPr="00443AA3" w14:paraId="3B158298" w14:textId="77777777" w:rsidTr="00F705F8">
        <w:tc>
          <w:tcPr>
            <w:tcW w:w="2693" w:type="dxa"/>
            <w:gridSpan w:val="4"/>
            <w:vAlign w:val="center"/>
          </w:tcPr>
          <w:p w14:paraId="5B4F9DC3" w14:textId="77777777" w:rsidR="00EB0006" w:rsidRPr="00443AA3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Investigação</w:t>
            </w:r>
          </w:p>
        </w:tc>
        <w:tc>
          <w:tcPr>
            <w:tcW w:w="7513" w:type="dxa"/>
            <w:gridSpan w:val="11"/>
            <w:vAlign w:val="center"/>
          </w:tcPr>
          <w:p w14:paraId="580B0D99" w14:textId="6EF7E64A" w:rsidR="00EB0006" w:rsidRPr="009B7C18" w:rsidRDefault="00EB0006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0" w:name="Investigaçao"/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Acidente de explosão ocorrido em 11/02/2015 no FPSO Cidade de São Mateus</w:t>
            </w:r>
            <w:bookmarkEnd w:id="0"/>
          </w:p>
        </w:tc>
      </w:tr>
      <w:tr w:rsidR="008534D3" w:rsidRPr="00443AA3" w14:paraId="4390BD47" w14:textId="77777777" w:rsidTr="00EE21BA">
        <w:tc>
          <w:tcPr>
            <w:tcW w:w="4820" w:type="dxa"/>
            <w:gridSpan w:val="7"/>
            <w:vAlign w:val="center"/>
          </w:tcPr>
          <w:p w14:paraId="433FDD28" w14:textId="0180192E" w:rsidR="00DA4E40" w:rsidRPr="00443AA3" w:rsidRDefault="009B7C18" w:rsidP="0053133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Número de Ofício Circular de Recomendações</w:t>
            </w:r>
          </w:p>
        </w:tc>
        <w:tc>
          <w:tcPr>
            <w:tcW w:w="1559" w:type="dxa"/>
            <w:gridSpan w:val="2"/>
            <w:vAlign w:val="center"/>
          </w:tcPr>
          <w:p w14:paraId="04141C81" w14:textId="53C0C0BE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004/SSM/2016</w:t>
            </w:r>
          </w:p>
        </w:tc>
        <w:tc>
          <w:tcPr>
            <w:tcW w:w="2410" w:type="dxa"/>
            <w:gridSpan w:val="4"/>
            <w:vAlign w:val="center"/>
          </w:tcPr>
          <w:p w14:paraId="12963398" w14:textId="1A87660A" w:rsidR="00DA4E40" w:rsidRPr="00443AA3" w:rsidRDefault="009B7C18" w:rsidP="00B84C7D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Data do Ofício Circular</w:t>
            </w:r>
          </w:p>
        </w:tc>
        <w:tc>
          <w:tcPr>
            <w:tcW w:w="1417" w:type="dxa"/>
            <w:gridSpan w:val="2"/>
            <w:vAlign w:val="center"/>
          </w:tcPr>
          <w:p w14:paraId="27460093" w14:textId="46A919B9" w:rsidR="00DA4E40" w:rsidRPr="009B7C18" w:rsidRDefault="009B7C18" w:rsidP="00D967F3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9B7C18">
              <w:rPr>
                <w:rFonts w:ascii="Cambria" w:hAnsi="Cambria"/>
                <w:sz w:val="20"/>
                <w:szCs w:val="20"/>
                <w:lang w:val="pt-BR"/>
              </w:rPr>
              <w:t>19/04/2016</w:t>
            </w:r>
          </w:p>
        </w:tc>
      </w:tr>
      <w:tr w:rsidR="00233D1C" w:rsidRPr="00443AA3" w14:paraId="581BA109" w14:textId="77777777" w:rsidTr="0075016E"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53FC3468" w14:textId="77777777" w:rsidR="00233D1C" w:rsidRPr="00443AA3" w:rsidRDefault="00233D1C" w:rsidP="00EE21BA">
            <w:pPr>
              <w:pStyle w:val="PargrafodaLista"/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Causa Raiz</w:t>
            </w:r>
          </w:p>
        </w:tc>
        <w:tc>
          <w:tcPr>
            <w:tcW w:w="8505" w:type="dxa"/>
            <w:gridSpan w:val="13"/>
            <w:shd w:val="clear" w:color="auto" w:fill="BFBFBF" w:themeFill="background1" w:themeFillShade="BF"/>
            <w:vAlign w:val="center"/>
          </w:tcPr>
          <w:p w14:paraId="22BA1746" w14:textId="1DA371F7" w:rsidR="00233D1C" w:rsidRPr="00677E06" w:rsidRDefault="00233D1C" w:rsidP="00F87BF5">
            <w:pPr>
              <w:pStyle w:val="PargrafodaLista"/>
              <w:spacing w:before="120" w:after="120" w:line="240" w:lineRule="auto"/>
              <w:ind w:left="0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>CR</w:t>
            </w:r>
            <w:r w:rsidR="00F87BF5">
              <w:rPr>
                <w:rFonts w:ascii="Cambria" w:hAnsi="Cambria"/>
                <w:sz w:val="20"/>
                <w:szCs w:val="20"/>
                <w:lang w:val="pt-BR"/>
              </w:rPr>
              <w:t>3</w:t>
            </w:r>
            <w:r w:rsidRPr="00677E06">
              <w:rPr>
                <w:rFonts w:ascii="Cambria" w:hAnsi="Cambria"/>
                <w:sz w:val="20"/>
                <w:szCs w:val="20"/>
                <w:lang w:val="pt-BR"/>
              </w:rPr>
              <w:t xml:space="preserve">: </w:t>
            </w:r>
            <w:r w:rsidR="00F87BF5" w:rsidRPr="00F87BF5">
              <w:rPr>
                <w:rFonts w:ascii="Cambria" w:hAnsi="Cambria"/>
                <w:sz w:val="20"/>
                <w:szCs w:val="20"/>
                <w:lang w:val="pt-BR"/>
              </w:rPr>
              <w:t>Restrição de alinhamentos com a instalação de raquetes</w:t>
            </w:r>
          </w:p>
        </w:tc>
      </w:tr>
      <w:tr w:rsidR="00EB0006" w:rsidRPr="00443AA3" w14:paraId="0B5DB80B" w14:textId="77777777" w:rsidTr="00D31E71"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06705FF" w14:textId="08C07264" w:rsidR="00EB0006" w:rsidRPr="00EB44A8" w:rsidRDefault="00EB0006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lang w:val="pt-BR"/>
              </w:rPr>
            </w:pP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Descrição </w:t>
            </w:r>
            <w:r w:rsidR="00B103E0"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resumida da causa </w:t>
            </w:r>
            <w:r w:rsidRPr="000E5D1B">
              <w:rPr>
                <w:rFonts w:ascii="Cambria" w:hAnsi="Cambria"/>
                <w:b/>
                <w:sz w:val="20"/>
                <w:szCs w:val="20"/>
                <w:lang w:val="pt-BR"/>
              </w:rPr>
              <w:t>raiz</w:t>
            </w:r>
          </w:p>
        </w:tc>
      </w:tr>
      <w:tr w:rsidR="009B7C18" w:rsidRPr="00443AA3" w14:paraId="32780407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5763C300" w14:textId="44730429" w:rsidR="006C6307" w:rsidRDefault="00043815" w:rsidP="00A651B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F</w:t>
            </w:r>
            <w:r w:rsidRPr="00043815">
              <w:rPr>
                <w:rFonts w:ascii="Cambria" w:hAnsi="Cambria"/>
                <w:sz w:val="20"/>
                <w:szCs w:val="20"/>
                <w:lang w:val="pt-BR"/>
              </w:rPr>
              <w:t>o</w:t>
            </w:r>
            <w:r w:rsidR="006C6307">
              <w:rPr>
                <w:rFonts w:ascii="Cambria" w:hAnsi="Cambria"/>
                <w:sz w:val="20"/>
                <w:szCs w:val="20"/>
                <w:lang w:val="pt-BR"/>
              </w:rPr>
              <w:t>ram</w:t>
            </w:r>
            <w:r w:rsidRPr="00043815">
              <w:rPr>
                <w:rFonts w:ascii="Cambria" w:hAnsi="Cambria"/>
                <w:sz w:val="20"/>
                <w:szCs w:val="20"/>
                <w:lang w:val="pt-BR"/>
              </w:rPr>
              <w:t xml:space="preserve"> realizada</w:t>
            </w:r>
            <w:r w:rsidR="006C6307">
              <w:rPr>
                <w:rFonts w:ascii="Cambria" w:hAnsi="Cambria"/>
                <w:sz w:val="20"/>
                <w:szCs w:val="20"/>
                <w:lang w:val="pt-BR"/>
              </w:rPr>
              <w:t>s</w:t>
            </w:r>
            <w:r w:rsidR="00A651B7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 w:rsidR="006C6307">
              <w:rPr>
                <w:rFonts w:ascii="Cambria" w:hAnsi="Cambria"/>
                <w:sz w:val="20"/>
                <w:szCs w:val="20"/>
                <w:lang w:val="pt-BR"/>
              </w:rPr>
              <w:t xml:space="preserve">algumas </w:t>
            </w:r>
            <w:r w:rsidR="00A651B7">
              <w:rPr>
                <w:rFonts w:ascii="Cambria" w:hAnsi="Cambria"/>
                <w:sz w:val="20"/>
                <w:szCs w:val="20"/>
                <w:lang w:val="pt-BR"/>
              </w:rPr>
              <w:t>mudanças temporária</w:t>
            </w:r>
            <w:r w:rsidR="006C6307">
              <w:rPr>
                <w:rFonts w:ascii="Cambria" w:hAnsi="Cambria"/>
                <w:sz w:val="20"/>
                <w:szCs w:val="20"/>
                <w:lang w:val="pt-BR"/>
              </w:rPr>
              <w:t>s necessárias para o isolamento e correção dos problemas de passagem interna de fluido através das válvulas, mesmo quando estas estavam fechadas.  Tais mudanças ainda incluíam o isolamento pela instalação de raquetes para prevenir o esvaziamento e/ou a comunicação de fluido entre os tanques, que não era garantida apenas com o uso das válvulas do sistema.</w:t>
            </w:r>
          </w:p>
          <w:p w14:paraId="1C6C6AD6" w14:textId="5100BEB5" w:rsidR="006C6307" w:rsidRDefault="006C6307" w:rsidP="00A651B7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Durante a investigação foi possível evidenciar o aumento considerável na complexidade da operação do sistema devido à</w:t>
            </w:r>
            <w:r w:rsidR="0057501B">
              <w:rPr>
                <w:rFonts w:ascii="Cambria" w:hAnsi="Cambria"/>
                <w:sz w:val="20"/>
                <w:szCs w:val="20"/>
                <w:lang w:val="pt-BR"/>
              </w:rPr>
              <w:t>s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diversas mudanças que</w:t>
            </w:r>
            <w:r w:rsidR="0057501B">
              <w:rPr>
                <w:rFonts w:ascii="Cambria" w:hAnsi="Cambria"/>
                <w:sz w:val="20"/>
                <w:szCs w:val="20"/>
                <w:lang w:val="pt-BR"/>
              </w:rPr>
              <w:t>,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apesar de temporárias</w:t>
            </w:r>
            <w:r w:rsidR="0057501B">
              <w:rPr>
                <w:rFonts w:ascii="Cambria" w:hAnsi="Cambria"/>
                <w:sz w:val="20"/>
                <w:szCs w:val="20"/>
                <w:lang w:val="pt-BR"/>
              </w:rPr>
              <w:t>,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estavam há anos implementadas, incluindo </w:t>
            </w:r>
            <w:r w:rsidR="00EF641A">
              <w:rPr>
                <w:rFonts w:ascii="Cambria" w:hAnsi="Cambria"/>
                <w:sz w:val="20"/>
                <w:szCs w:val="20"/>
                <w:lang w:val="pt-BR"/>
              </w:rPr>
              <w:t>a instalação de raquetes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  Não havia um planejamento conciso que previa a função de cada mudança, bem como o que era necessário fazer para que essa mudança fosse desfeita e que se permitisse o retorno do sistema à sua condição inicial.</w:t>
            </w:r>
            <w:r w:rsidR="00EF641A">
              <w:rPr>
                <w:rFonts w:ascii="Cambria" w:hAnsi="Cambria"/>
                <w:sz w:val="20"/>
                <w:szCs w:val="20"/>
                <w:lang w:val="pt-BR"/>
              </w:rPr>
              <w:t xml:space="preserve">  Assim, diversas mudanças temporárias</w:t>
            </w:r>
            <w:r w:rsidR="0057501B">
              <w:rPr>
                <w:rFonts w:ascii="Cambria" w:hAnsi="Cambria"/>
                <w:sz w:val="20"/>
                <w:szCs w:val="20"/>
                <w:lang w:val="pt-BR"/>
              </w:rPr>
              <w:t>,</w:t>
            </w:r>
            <w:r w:rsidR="00EF641A">
              <w:rPr>
                <w:rFonts w:ascii="Cambria" w:hAnsi="Cambria"/>
                <w:sz w:val="20"/>
                <w:szCs w:val="20"/>
                <w:lang w:val="pt-BR"/>
              </w:rPr>
              <w:t xml:space="preserve"> que não tinham mais motivo de estarem implementadas, permaneciam presentes, ocasionando incremento do risco refletida na complexidade de operação de um sistema degradado e com muitas mudanças.</w:t>
            </w:r>
          </w:p>
          <w:p w14:paraId="29A84462" w14:textId="312F19A2" w:rsidR="00EF641A" w:rsidRDefault="00EF641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No caso concreto, houve a</w:t>
            </w:r>
            <w:r w:rsidR="00666ACE" w:rsidRPr="00666ACE">
              <w:rPr>
                <w:rFonts w:ascii="Cambria" w:hAnsi="Cambria"/>
                <w:sz w:val="20"/>
                <w:szCs w:val="20"/>
                <w:lang w:val="pt-BR"/>
              </w:rPr>
              <w:t xml:space="preserve"> permanênc</w:t>
            </w:r>
            <w:r w:rsidR="00666ACE">
              <w:rPr>
                <w:rFonts w:ascii="Cambria" w:hAnsi="Cambria"/>
                <w:sz w:val="20"/>
                <w:szCs w:val="20"/>
                <w:lang w:val="pt-BR"/>
              </w:rPr>
              <w:t>ia 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e uma</w:t>
            </w:r>
            <w:r w:rsidR="00666ACE">
              <w:rPr>
                <w:rFonts w:ascii="Cambria" w:hAnsi="Cambria"/>
                <w:sz w:val="20"/>
                <w:szCs w:val="20"/>
                <w:lang w:val="pt-BR"/>
              </w:rPr>
              <w:t xml:space="preserve"> raquete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em uma</w:t>
            </w:r>
            <w:r w:rsidR="00666ACE">
              <w:rPr>
                <w:rFonts w:ascii="Cambria" w:hAnsi="Cambria"/>
                <w:sz w:val="20"/>
                <w:szCs w:val="20"/>
                <w:lang w:val="pt-BR"/>
              </w:rPr>
              <w:t xml:space="preserve"> linha</w:t>
            </w:r>
            <w:r w:rsidR="00666ACE" w:rsidRPr="00666ACE">
              <w:rPr>
                <w:rFonts w:ascii="Cambria" w:hAnsi="Cambria"/>
                <w:sz w:val="20"/>
                <w:szCs w:val="20"/>
                <w:lang w:val="pt-BR"/>
              </w:rPr>
              <w:t xml:space="preserve"> localizada na descarga da bomba de </w:t>
            </w:r>
            <w:proofErr w:type="spellStart"/>
            <w:r w:rsidR="00666ACE" w:rsidRPr="00666ACE">
              <w:rPr>
                <w:rFonts w:ascii="Cambria" w:hAnsi="Cambria"/>
                <w:i/>
                <w:sz w:val="20"/>
                <w:szCs w:val="20"/>
                <w:lang w:val="pt-BR"/>
              </w:rPr>
              <w:t>stripping</w:t>
            </w:r>
            <w:proofErr w:type="spellEnd"/>
            <w:r w:rsidR="00666ACE" w:rsidRPr="00666ACE">
              <w:rPr>
                <w:rFonts w:ascii="Cambria" w:hAnsi="Cambria"/>
                <w:sz w:val="20"/>
                <w:szCs w:val="20"/>
                <w:lang w:val="pt-BR"/>
              </w:rPr>
              <w:t>,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que não teve sua instalação planejada de forma a permitir uma manutenção ou ações para reestabelecimento das condições iniciais do sistema</w:t>
            </w:r>
            <w:r w:rsidR="0086192C">
              <w:rPr>
                <w:rFonts w:ascii="Cambria" w:hAnsi="Cambria"/>
                <w:sz w:val="20"/>
                <w:szCs w:val="20"/>
                <w:lang w:val="pt-BR"/>
              </w:rPr>
              <w:t>, ou seja, sem a própria raquete.</w:t>
            </w:r>
          </w:p>
          <w:p w14:paraId="070E0707" w14:textId="77777777" w:rsidR="00C54DF5" w:rsidRDefault="00EF641A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equipe de investigação considerou então que todas as mudanças temporárias devem contemplar</w:t>
            </w:r>
            <w:r w:rsidR="00C54DF5">
              <w:rPr>
                <w:rFonts w:ascii="Cambria" w:hAnsi="Cambria"/>
                <w:sz w:val="20"/>
                <w:szCs w:val="20"/>
                <w:lang w:val="pt-BR"/>
              </w:rPr>
              <w:t>,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dentro do seu processo de elaboração</w:t>
            </w:r>
            <w:r w:rsidR="00C54DF5">
              <w:rPr>
                <w:rFonts w:ascii="Cambria" w:hAnsi="Cambria"/>
                <w:sz w:val="20"/>
                <w:szCs w:val="20"/>
                <w:lang w:val="pt-BR"/>
              </w:rPr>
              <w:t>,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o planejamento que </w:t>
            </w:r>
            <w:r w:rsidR="00C54DF5">
              <w:rPr>
                <w:rFonts w:ascii="Cambria" w:hAnsi="Cambria"/>
                <w:sz w:val="20"/>
                <w:szCs w:val="20"/>
                <w:lang w:val="pt-BR"/>
              </w:rPr>
              <w:t xml:space="preserve">contemple desde a inclusão da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mudança </w:t>
            </w:r>
            <w:r w:rsidR="00C54DF5">
              <w:rPr>
                <w:rFonts w:ascii="Cambria" w:hAnsi="Cambria"/>
                <w:sz w:val="20"/>
                <w:szCs w:val="20"/>
                <w:lang w:val="pt-BR"/>
              </w:rPr>
              <w:t>até a sua retirada, ou seja, o retorno à condição inicial antes da mudança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.</w:t>
            </w:r>
          </w:p>
          <w:p w14:paraId="5D5F777E" w14:textId="57D825AA" w:rsidR="00A651B7" w:rsidRPr="0024585B" w:rsidRDefault="00017AED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Para o caso concreto, a mudança para inserir uma raquete temporária no sistema deveria prever quais ações seriam realizadas até sua retirada</w:t>
            </w:r>
            <w:r w:rsidR="00C54DF5">
              <w:rPr>
                <w:rFonts w:ascii="Cambria" w:hAnsi="Cambria"/>
                <w:sz w:val="20"/>
                <w:szCs w:val="20"/>
                <w:lang w:val="pt-BR"/>
              </w:rPr>
              <w:t xml:space="preserve"> e retorno do sistema à condição inicial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, com planejamento</w:t>
            </w:r>
            <w:r w:rsidR="00C54DF5">
              <w:rPr>
                <w:rFonts w:ascii="Cambria" w:hAnsi="Cambria"/>
                <w:sz w:val="20"/>
                <w:szCs w:val="20"/>
                <w:lang w:val="pt-BR"/>
              </w:rPr>
              <w:t xml:space="preserve"> com a definição de ações,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prazos </w:t>
            </w:r>
            <w:r w:rsidR="00C54DF5">
              <w:rPr>
                <w:rFonts w:ascii="Cambria" w:hAnsi="Cambria"/>
                <w:sz w:val="20"/>
                <w:szCs w:val="20"/>
                <w:lang w:val="pt-BR"/>
              </w:rPr>
              <w:t xml:space="preserve">e responsáveis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definidos e aprovados por nível gerencial </w:t>
            </w:r>
            <w:r w:rsidR="00C54DF5">
              <w:rPr>
                <w:rFonts w:ascii="Cambria" w:hAnsi="Cambria"/>
                <w:sz w:val="20"/>
                <w:szCs w:val="20"/>
                <w:lang w:val="pt-BR"/>
              </w:rPr>
              <w:t xml:space="preserve">adequado. </w:t>
            </w:r>
          </w:p>
        </w:tc>
      </w:tr>
      <w:tr w:rsidR="0097643F" w:rsidRPr="00443AA3" w14:paraId="3D0885CC" w14:textId="77777777" w:rsidTr="001328F4">
        <w:trPr>
          <w:trHeight w:val="278"/>
        </w:trPr>
        <w:tc>
          <w:tcPr>
            <w:tcW w:w="2693" w:type="dxa"/>
            <w:gridSpan w:val="4"/>
            <w:shd w:val="clear" w:color="auto" w:fill="BFBFBF" w:themeFill="background1" w:themeFillShade="BF"/>
            <w:vAlign w:val="center"/>
          </w:tcPr>
          <w:p w14:paraId="5FEB4B67" w14:textId="77777777" w:rsidR="0097643F" w:rsidRPr="00BA7412" w:rsidRDefault="0097643F" w:rsidP="0097643F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BA7412">
              <w:rPr>
                <w:rFonts w:ascii="Cambria" w:hAnsi="Cambria"/>
                <w:b/>
                <w:sz w:val="20"/>
                <w:szCs w:val="20"/>
                <w:lang w:val="pt-BR"/>
              </w:rPr>
              <w:t>Recomendação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4313450B" w14:textId="77777777" w:rsidR="0097643F" w:rsidRPr="00D31E71" w:rsidRDefault="0097643F" w:rsidP="0097643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1" w:name="Recomendaçao"/>
            <w:r>
              <w:rPr>
                <w:rFonts w:ascii="Cambria" w:hAnsi="Cambria"/>
                <w:sz w:val="20"/>
              </w:rPr>
              <w:t>CDSM_</w:t>
            </w:r>
            <w:r w:rsidRPr="00D31E71">
              <w:rPr>
                <w:rFonts w:ascii="Cambria" w:hAnsi="Cambria"/>
                <w:sz w:val="20"/>
                <w:szCs w:val="20"/>
                <w:lang w:val="pt-BR"/>
              </w:rPr>
              <w:t>R0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6</w:t>
            </w:r>
          </w:p>
        </w:tc>
        <w:tc>
          <w:tcPr>
            <w:tcW w:w="1878" w:type="dxa"/>
            <w:gridSpan w:val="4"/>
            <w:shd w:val="clear" w:color="auto" w:fill="BFBFBF" w:themeFill="background1" w:themeFillShade="BF"/>
            <w:vAlign w:val="center"/>
          </w:tcPr>
          <w:p w14:paraId="554C8D8A" w14:textId="655726FE" w:rsidR="0097643F" w:rsidRPr="00D31E71" w:rsidRDefault="0097643F" w:rsidP="0097643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t-BR"/>
              </w:rPr>
              <w:t>Revisão e data</w:t>
            </w:r>
          </w:p>
        </w:tc>
        <w:tc>
          <w:tcPr>
            <w:tcW w:w="1878" w:type="dxa"/>
            <w:gridSpan w:val="2"/>
            <w:shd w:val="clear" w:color="auto" w:fill="BFBFBF" w:themeFill="background1" w:themeFillShade="BF"/>
            <w:vAlign w:val="center"/>
          </w:tcPr>
          <w:p w14:paraId="74DEB91A" w14:textId="5B7FBE68" w:rsidR="0097643F" w:rsidRPr="00D31E71" w:rsidRDefault="0097643F" w:rsidP="0097643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Rev. 2.0</w:t>
            </w:r>
          </w:p>
        </w:tc>
        <w:bookmarkEnd w:id="1"/>
        <w:tc>
          <w:tcPr>
            <w:tcW w:w="1879" w:type="dxa"/>
            <w:gridSpan w:val="3"/>
            <w:shd w:val="clear" w:color="auto" w:fill="BFBFBF" w:themeFill="background1" w:themeFillShade="BF"/>
            <w:vAlign w:val="center"/>
          </w:tcPr>
          <w:p w14:paraId="5A5D0152" w14:textId="4EB87758" w:rsidR="0097643F" w:rsidRPr="00D31E71" w:rsidRDefault="0097643F" w:rsidP="0097643F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09/08/2019</w:t>
            </w:r>
          </w:p>
        </w:tc>
      </w:tr>
      <w:tr w:rsidR="00BA7412" w:rsidRPr="00443AA3" w14:paraId="5E91F2BD" w14:textId="77777777" w:rsidTr="00EE21B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0B01C93D" w14:textId="317BB647" w:rsidR="00BA7412" w:rsidRPr="0024585B" w:rsidRDefault="00F87BF5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bookmarkStart w:id="2" w:name="_GoBack"/>
            <w:bookmarkEnd w:id="2"/>
            <w:r w:rsidRPr="00F87BF5">
              <w:rPr>
                <w:rFonts w:ascii="Cambria" w:hAnsi="Cambria"/>
                <w:sz w:val="20"/>
                <w:szCs w:val="20"/>
                <w:lang w:val="pt-BR"/>
              </w:rPr>
              <w:t>Planejar ações, anteriormente à implementação de mudanças temporárias, até o retorno à condição definitiva do sistema.  Este planejamento deve constar no processo de gerenciamento de mudanças.</w:t>
            </w:r>
          </w:p>
        </w:tc>
      </w:tr>
      <w:tr w:rsidR="00413E97" w:rsidRPr="00443AA3" w14:paraId="08A3D34F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40B1B9DE" w14:textId="37AEA9BD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Prazo máximo de implantação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14:paraId="7D3442A0" w14:textId="6E317FAF" w:rsidR="00413E97" w:rsidRPr="00BA7412" w:rsidRDefault="00F87BF5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15</w:t>
            </w:r>
            <w:r w:rsidR="00413E97" w:rsidRPr="00413E97">
              <w:rPr>
                <w:rFonts w:ascii="Cambria" w:hAnsi="Cambria"/>
                <w:sz w:val="20"/>
                <w:szCs w:val="20"/>
                <w:lang w:val="pt-BR"/>
              </w:rPr>
              <w:t xml:space="preserve"> meses</w:t>
            </w:r>
          </w:p>
        </w:tc>
        <w:tc>
          <w:tcPr>
            <w:tcW w:w="3828" w:type="dxa"/>
            <w:gridSpan w:val="5"/>
            <w:shd w:val="clear" w:color="auto" w:fill="FFFFFF" w:themeFill="background1"/>
            <w:vAlign w:val="center"/>
          </w:tcPr>
          <w:p w14:paraId="58ECF12E" w14:textId="4DF910F7" w:rsidR="00413E97" w:rsidRPr="00413E97" w:rsidRDefault="00413E97" w:rsidP="000E5D1B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413E97">
              <w:rPr>
                <w:rFonts w:ascii="Cambria" w:hAnsi="Cambria"/>
                <w:b/>
                <w:sz w:val="20"/>
                <w:szCs w:val="20"/>
                <w:lang w:val="pt-BR"/>
              </w:rPr>
              <w:t>Data limite para implementação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E4D9A" w14:textId="62A85B45" w:rsidR="00413E97" w:rsidRPr="00BA7412" w:rsidRDefault="000E5D1B" w:rsidP="00F87BF5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19/0</w:t>
            </w:r>
            <w:r w:rsidR="00F87BF5">
              <w:rPr>
                <w:rFonts w:ascii="Cambria" w:hAnsi="Cambria"/>
                <w:sz w:val="20"/>
                <w:szCs w:val="20"/>
                <w:lang w:val="pt-BR"/>
              </w:rPr>
              <w:t>7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/2017</w:t>
            </w:r>
          </w:p>
        </w:tc>
      </w:tr>
      <w:tr w:rsidR="00D31E71" w:rsidRPr="00443AA3" w14:paraId="3212B90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4245D0D" w14:textId="1EFD1DEB" w:rsidR="00D31E71" w:rsidRPr="002E4B99" w:rsidRDefault="00D31E7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Motivação / Descrição ma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>is detalhada da recomendação / F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orma esperada de implementação</w:t>
            </w:r>
          </w:p>
        </w:tc>
      </w:tr>
      <w:tr w:rsidR="00D31E71" w:rsidRPr="00443AA3" w14:paraId="4D4BD7A4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5C22318" w14:textId="02ABB1CF" w:rsidR="00917298" w:rsidRDefault="00CB0710" w:rsidP="00F87BF5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A motivação desta recomendação </w:t>
            </w:r>
            <w:r w:rsidR="00F87BF5" w:rsidRPr="00F87BF5">
              <w:rPr>
                <w:rFonts w:ascii="Cambria" w:hAnsi="Cambria"/>
                <w:sz w:val="20"/>
              </w:rPr>
              <w:t>é</w:t>
            </w:r>
            <w:r>
              <w:rPr>
                <w:rFonts w:ascii="Cambria" w:hAnsi="Cambria"/>
                <w:sz w:val="20"/>
              </w:rPr>
              <w:t xml:space="preserve"> que </w:t>
            </w:r>
            <w:r w:rsidR="00F87BF5" w:rsidRPr="00F87BF5">
              <w:rPr>
                <w:rFonts w:ascii="Cambria" w:hAnsi="Cambria"/>
                <w:sz w:val="20"/>
              </w:rPr>
              <w:t>haja</w:t>
            </w:r>
            <w:r>
              <w:rPr>
                <w:rFonts w:ascii="Cambria" w:hAnsi="Cambria"/>
                <w:sz w:val="20"/>
              </w:rPr>
              <w:t xml:space="preserve"> um planejamento consistente para a implementação de uma mudança tempor</w:t>
            </w:r>
            <w:r w:rsidR="005F07E0">
              <w:rPr>
                <w:rFonts w:ascii="Cambria" w:hAnsi="Cambria"/>
                <w:sz w:val="20"/>
              </w:rPr>
              <w:t>ária, impedindo que esta perdure em tempo maior do que o necessário.</w:t>
            </w:r>
            <w:r w:rsidR="00917298">
              <w:rPr>
                <w:rFonts w:ascii="Cambria" w:hAnsi="Cambria"/>
                <w:sz w:val="20"/>
              </w:rPr>
              <w:t xml:space="preserve">  </w:t>
            </w:r>
          </w:p>
          <w:p w14:paraId="676CA03B" w14:textId="466BF342" w:rsidR="00CD09A9" w:rsidRDefault="00F72163" w:rsidP="00F72163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Um e</w:t>
            </w:r>
            <w:r w:rsidR="00F87BF5" w:rsidRPr="00F87BF5">
              <w:rPr>
                <w:rFonts w:ascii="Cambria" w:hAnsi="Cambria"/>
                <w:sz w:val="20"/>
                <w:szCs w:val="20"/>
                <w:lang w:val="pt-BR"/>
              </w:rPr>
              <w:t>x</w:t>
            </w:r>
            <w:r w:rsidR="00F87BF5">
              <w:rPr>
                <w:rFonts w:ascii="Cambria" w:hAnsi="Cambria"/>
                <w:sz w:val="20"/>
                <w:szCs w:val="20"/>
                <w:lang w:val="pt-BR"/>
              </w:rPr>
              <w:t>emplo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 de desvio que não estaria de acordo com essa recomendação seria uma</w:t>
            </w:r>
            <w:r w:rsidR="00F87BF5" w:rsidRPr="00F87BF5">
              <w:rPr>
                <w:rFonts w:ascii="Cambria" w:hAnsi="Cambria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m</w:t>
            </w:r>
            <w:r w:rsidR="00F87BF5" w:rsidRPr="00F87BF5">
              <w:rPr>
                <w:rFonts w:ascii="Cambria" w:hAnsi="Cambria"/>
                <w:sz w:val="20"/>
                <w:szCs w:val="20"/>
                <w:lang w:val="pt-BR"/>
              </w:rPr>
              <w:t xml:space="preserve">udança de local de armazenamento de produtos classificada 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 xml:space="preserve">como </w:t>
            </w:r>
            <w:r w:rsidR="00F87BF5" w:rsidRPr="00F87BF5">
              <w:rPr>
                <w:rFonts w:ascii="Cambria" w:hAnsi="Cambria"/>
                <w:sz w:val="20"/>
                <w:szCs w:val="20"/>
                <w:lang w:val="pt-BR"/>
              </w:rPr>
              <w:t>temporária, mas que não indicava ações para retornar o armazenamento ao local original.</w:t>
            </w:r>
          </w:p>
        </w:tc>
      </w:tr>
      <w:tr w:rsidR="003A7D61" w:rsidRPr="00443AA3" w14:paraId="080F5D26" w14:textId="77777777" w:rsidTr="00AC42C4">
        <w:trPr>
          <w:trHeight w:val="278"/>
        </w:trPr>
        <w:tc>
          <w:tcPr>
            <w:tcW w:w="3686" w:type="dxa"/>
            <w:gridSpan w:val="5"/>
            <w:shd w:val="clear" w:color="auto" w:fill="FFFFFF" w:themeFill="background1"/>
            <w:vAlign w:val="center"/>
          </w:tcPr>
          <w:p w14:paraId="20CA7253" w14:textId="77777777" w:rsidR="003A7D61" w:rsidRPr="003A7D61" w:rsidRDefault="003A7D61" w:rsidP="003A7D61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b/>
                <w:sz w:val="20"/>
                <w:szCs w:val="20"/>
                <w:lang w:val="pt-BR"/>
              </w:rPr>
              <w:t>Abrangência da recomendação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14:paraId="1AE2C0E9" w14:textId="6728F9A1" w:rsidR="003A7D61" w:rsidRDefault="003A7D61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 w:rsidRPr="003A7D61">
              <w:rPr>
                <w:rFonts w:ascii="Cambria" w:hAnsi="Cambria"/>
                <w:sz w:val="20"/>
                <w:szCs w:val="20"/>
                <w:lang w:val="pt-BR"/>
              </w:rPr>
              <w:t>Plataforma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s de produção</w:t>
            </w:r>
            <w:r w:rsidR="00F87BF5">
              <w:rPr>
                <w:rFonts w:ascii="Cambria" w:hAnsi="Cambria"/>
                <w:sz w:val="20"/>
                <w:szCs w:val="20"/>
                <w:lang w:val="pt-BR"/>
              </w:rPr>
              <w:t xml:space="preserve"> ou sondas</w:t>
            </w:r>
          </w:p>
        </w:tc>
      </w:tr>
      <w:tr w:rsidR="00EB44A8" w:rsidRPr="00443AA3" w14:paraId="65CE3A06" w14:textId="77777777" w:rsidTr="00F705F8">
        <w:trPr>
          <w:trHeight w:val="278"/>
        </w:trPr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45177DB5" w14:textId="71F98F07" w:rsidR="00EB44A8" w:rsidRPr="00F705F8" w:rsidRDefault="00EB44A8" w:rsidP="00F705F8">
            <w:pPr>
              <w:pStyle w:val="PargrafodaLista"/>
              <w:numPr>
                <w:ilvl w:val="1"/>
                <w:numId w:val="1"/>
              </w:numPr>
              <w:spacing w:before="120" w:after="120" w:line="240" w:lineRule="auto"/>
              <w:ind w:left="459" w:hanging="459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F705F8">
              <w:rPr>
                <w:rFonts w:ascii="Cambria" w:hAnsi="Cambria"/>
                <w:b/>
                <w:sz w:val="20"/>
                <w:szCs w:val="20"/>
                <w:lang w:val="pt-BR"/>
              </w:rPr>
              <w:t>Local de verificação</w:t>
            </w:r>
          </w:p>
        </w:tc>
        <w:tc>
          <w:tcPr>
            <w:tcW w:w="7513" w:type="dxa"/>
            <w:gridSpan w:val="11"/>
            <w:shd w:val="clear" w:color="auto" w:fill="FFFFFF" w:themeFill="background1"/>
            <w:vAlign w:val="center"/>
          </w:tcPr>
          <w:p w14:paraId="0FF5DA8E" w14:textId="3E97540D" w:rsidR="00EB44A8" w:rsidRPr="003A7D61" w:rsidRDefault="00F87BF5" w:rsidP="00EB58DC">
            <w:pPr>
              <w:pStyle w:val="PargrafodaLista"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 bordo</w:t>
            </w:r>
          </w:p>
        </w:tc>
      </w:tr>
      <w:tr w:rsidR="002E4B99" w:rsidRPr="00443AA3" w14:paraId="644D274F" w14:textId="77777777" w:rsidTr="002E4B99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6CDFE47B" w14:textId="5822A3F5" w:rsidR="002E4B99" w:rsidRPr="002E4B99" w:rsidRDefault="002E4B99" w:rsidP="002E4B99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Ações do Operador para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i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mplementação da 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r</w:t>
            </w:r>
            <w:r w:rsidRPr="002E4B99">
              <w:rPr>
                <w:rFonts w:ascii="Cambria" w:hAnsi="Cambria"/>
                <w:b/>
                <w:sz w:val="20"/>
                <w:szCs w:val="20"/>
                <w:lang w:val="pt-BR"/>
              </w:rPr>
              <w:t>ecomendaç</w:t>
            </w: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ão</w:t>
            </w:r>
            <w:r w:rsidR="00CD09A9">
              <w:rPr>
                <w:rFonts w:ascii="Cambria" w:hAnsi="Cambria"/>
                <w:b/>
                <w:sz w:val="20"/>
                <w:szCs w:val="20"/>
                <w:lang w:val="pt-BR"/>
              </w:rPr>
              <w:t xml:space="preserve"> / Evidências</w:t>
            </w:r>
          </w:p>
        </w:tc>
      </w:tr>
      <w:tr w:rsidR="002E4B99" w:rsidRPr="00443AA3" w14:paraId="57F32CA5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C29501C" w14:textId="0467F6D3" w:rsidR="002E4B99" w:rsidRPr="00AC42C4" w:rsidRDefault="00CB1B97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auditado</w:t>
            </w:r>
          </w:p>
        </w:tc>
      </w:tr>
      <w:tr w:rsidR="00EE4B30" w:rsidRPr="00443AA3" w14:paraId="3E77C4BC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0D2423A2" w14:textId="0CF724A8" w:rsidR="00EE4B30" w:rsidRPr="002E4B99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lastRenderedPageBreak/>
              <w:t>Solicitações adicionais</w:t>
            </w:r>
          </w:p>
        </w:tc>
      </w:tr>
      <w:tr w:rsidR="00EE4B30" w:rsidRPr="00443AA3" w14:paraId="7F7E76C1" w14:textId="77777777" w:rsidTr="001134DA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42A2ED82" w14:textId="2374B3A7" w:rsidR="00EE4B30" w:rsidRPr="002E4B99" w:rsidRDefault="00AC42C4" w:rsidP="002E4B99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 ser preenchido pelo auditor</w:t>
            </w:r>
            <w:r w:rsidR="00CB1B97">
              <w:rPr>
                <w:rFonts w:ascii="Cambria" w:hAnsi="Cambria"/>
                <w:sz w:val="20"/>
                <w:szCs w:val="20"/>
                <w:lang w:val="pt-BR"/>
              </w:rPr>
              <w:t xml:space="preserve"> (opcional)</w:t>
            </w:r>
          </w:p>
        </w:tc>
      </w:tr>
      <w:tr w:rsidR="00C00195" w:rsidRPr="00443AA3" w14:paraId="6659217B" w14:textId="77777777" w:rsidTr="00C00195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39A41226" w14:textId="77951D01" w:rsidR="00C00195" w:rsidRPr="002E4B99" w:rsidRDefault="00E32E57" w:rsidP="00C00195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b/>
                <w:sz w:val="20"/>
                <w:szCs w:val="20"/>
                <w:lang w:val="pt-BR"/>
              </w:rPr>
              <w:t>Parecer do Auditor</w:t>
            </w:r>
          </w:p>
        </w:tc>
      </w:tr>
      <w:tr w:rsidR="00886C05" w:rsidRPr="00443AA3" w14:paraId="6551B726" w14:textId="77777777" w:rsidTr="00886C05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0E30A696" w14:textId="77777777" w:rsidR="00886C05" w:rsidRPr="00AC42C4" w:rsidRDefault="00886C05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Seleciona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elecionar22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97643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97643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bookmarkEnd w:id="3"/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Implementada   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0466582F" w14:textId="39FAEF5D" w:rsidR="00886C05" w:rsidRPr="00AC42C4" w:rsidRDefault="00886C05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Abrangência: Instalação / U</w:t>
            </w:r>
            <w:r w:rsidRPr="0039779B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nidade Operacional / O</w:t>
            </w:r>
            <w:r w:rsidRPr="00B24E8E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perador</w:t>
            </w:r>
          </w:p>
        </w:tc>
      </w:tr>
      <w:tr w:rsidR="00FA6D57" w:rsidRPr="00443AA3" w14:paraId="34A81BA9" w14:textId="77777777" w:rsidTr="00FA6D57">
        <w:trPr>
          <w:trHeight w:val="278"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8DE6D68" w14:textId="59CDF2F0" w:rsidR="00FA6D57" w:rsidRPr="00AC42C4" w:rsidRDefault="00FA6D57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highlight w:val="yellow"/>
                <w:lang w:val="pt-BR"/>
              </w:rPr>
            </w:pP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instrText xml:space="preserve"> FORMCHECKBOX </w:instrText>
            </w:r>
            <w:r w:rsidR="0097643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</w:r>
            <w:r w:rsidR="0097643F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separate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fldChar w:fldCharType="end"/>
            </w:r>
            <w:r w:rsidRPr="00AC42C4">
              <w:rPr>
                <w:rFonts w:ascii="Cambria" w:hAnsi="Cambria" w:cs="Arial"/>
                <w:sz w:val="20"/>
                <w:szCs w:val="20"/>
                <w:highlight w:val="yellow"/>
                <w:lang w:val="pt-BR"/>
              </w:rPr>
              <w:t xml:space="preserve"> Não implementada </w:t>
            </w: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14:paraId="317A1C9A" w14:textId="375D3D4C" w:rsidR="00FA6D57" w:rsidRPr="00AC42C4" w:rsidRDefault="00494F03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Não conformidade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 relacionad</w:t>
            </w:r>
            <w:r>
              <w:rPr>
                <w:rFonts w:ascii="Cambria" w:hAnsi="Cambria"/>
                <w:sz w:val="20"/>
                <w:szCs w:val="20"/>
                <w:lang w:val="pt-BR"/>
              </w:rPr>
              <w:t>a</w:t>
            </w:r>
            <w:r w:rsidRPr="00AC42C4">
              <w:rPr>
                <w:rFonts w:ascii="Cambria" w:hAnsi="Cambria"/>
                <w:sz w:val="20"/>
                <w:szCs w:val="20"/>
                <w:lang w:val="pt-BR"/>
              </w:rPr>
              <w:t xml:space="preserve">:   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Caso a recomendação seja considerada não implementada, deverá ser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lavrada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NC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, cujo número deverá ser relacionado nesta ficha</w:t>
            </w:r>
            <w:r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 xml:space="preserve"> para fins de rastreabilidade</w:t>
            </w: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.</w:t>
            </w:r>
          </w:p>
        </w:tc>
      </w:tr>
      <w:tr w:rsidR="00886C05" w:rsidRPr="00443AA3" w14:paraId="13D8F6C5" w14:textId="77777777" w:rsidTr="00205A6D">
        <w:trPr>
          <w:trHeight w:val="278"/>
        </w:trPr>
        <w:tc>
          <w:tcPr>
            <w:tcW w:w="10206" w:type="dxa"/>
            <w:gridSpan w:val="15"/>
            <w:shd w:val="clear" w:color="auto" w:fill="FFFFFF" w:themeFill="background1"/>
            <w:vAlign w:val="center"/>
          </w:tcPr>
          <w:p w14:paraId="7751AFFA" w14:textId="36E22EE4" w:rsidR="00886C05" w:rsidRDefault="00886C05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>
              <w:rPr>
                <w:rFonts w:ascii="Cambria" w:hAnsi="Cambria"/>
                <w:sz w:val="20"/>
                <w:szCs w:val="20"/>
                <w:lang w:val="pt-BR"/>
              </w:rPr>
              <w:t>Análise:</w:t>
            </w:r>
          </w:p>
        </w:tc>
      </w:tr>
      <w:tr w:rsidR="00EE4B30" w:rsidRPr="00443AA3" w14:paraId="2C9D034B" w14:textId="77777777" w:rsidTr="00EE4B30">
        <w:trPr>
          <w:trHeight w:val="278"/>
        </w:trPr>
        <w:tc>
          <w:tcPr>
            <w:tcW w:w="10206" w:type="dxa"/>
            <w:gridSpan w:val="15"/>
            <w:shd w:val="clear" w:color="auto" w:fill="BFBFBF" w:themeFill="background1" w:themeFillShade="BF"/>
            <w:vAlign w:val="center"/>
          </w:tcPr>
          <w:p w14:paraId="70F61BFF" w14:textId="4DC875C0" w:rsidR="00EE4B30" w:rsidRDefault="00EE4B30" w:rsidP="00EE4B30">
            <w:pPr>
              <w:pStyle w:val="PargrafodaLista"/>
              <w:numPr>
                <w:ilvl w:val="0"/>
                <w:numId w:val="1"/>
              </w:numPr>
              <w:tabs>
                <w:tab w:val="left" w:pos="343"/>
              </w:tabs>
              <w:spacing w:before="120" w:after="120" w:line="240" w:lineRule="auto"/>
              <w:ind w:left="33" w:firstLine="0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Identificação e data da análise</w:t>
            </w:r>
          </w:p>
        </w:tc>
      </w:tr>
      <w:tr w:rsidR="00EE4B30" w:rsidRPr="00443AA3" w14:paraId="551EC9CF" w14:textId="77777777" w:rsidTr="00EE4B30">
        <w:trPr>
          <w:trHeight w:val="278"/>
        </w:trPr>
        <w:tc>
          <w:tcPr>
            <w:tcW w:w="992" w:type="dxa"/>
            <w:shd w:val="clear" w:color="auto" w:fill="FFFFFF" w:themeFill="background1"/>
            <w:vAlign w:val="center"/>
          </w:tcPr>
          <w:p w14:paraId="06A126D4" w14:textId="320992F4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Nome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0B5D94FC" w14:textId="534B905D" w:rsidR="00EE4B30" w:rsidRPr="00AC42C4" w:rsidRDefault="00AC42C4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Nome do auditor</w:t>
            </w:r>
          </w:p>
        </w:tc>
        <w:tc>
          <w:tcPr>
            <w:tcW w:w="850" w:type="dxa"/>
            <w:gridSpan w:val="3"/>
            <w:shd w:val="clear" w:color="auto" w:fill="FFFFFF" w:themeFill="background1"/>
            <w:vAlign w:val="center"/>
          </w:tcPr>
          <w:p w14:paraId="061592C4" w14:textId="1CA72C13" w:rsid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b/>
                <w:sz w:val="20"/>
                <w:szCs w:val="20"/>
                <w:lang w:val="pt-BR"/>
              </w:rPr>
            </w:pPr>
            <w:r w:rsidRPr="00EE4B30">
              <w:rPr>
                <w:rFonts w:ascii="Cambria" w:hAnsi="Cambria"/>
                <w:b/>
                <w:sz w:val="20"/>
                <w:szCs w:val="20"/>
                <w:lang w:val="pt-BR"/>
              </w:rPr>
              <w:t>Data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3F07E5" w14:textId="2C1DAFE2" w:rsidR="00EE4B30" w:rsidRPr="00EE4B30" w:rsidRDefault="00EE4B30" w:rsidP="00FA6D57">
            <w:pPr>
              <w:pStyle w:val="PargrafodaLista"/>
              <w:tabs>
                <w:tab w:val="left" w:pos="343"/>
              </w:tabs>
              <w:spacing w:before="120" w:after="120" w:line="240" w:lineRule="auto"/>
              <w:ind w:left="33"/>
              <w:contextualSpacing w:val="0"/>
              <w:rPr>
                <w:rFonts w:ascii="Cambria" w:hAnsi="Cambria"/>
                <w:sz w:val="20"/>
                <w:szCs w:val="20"/>
                <w:lang w:val="pt-BR"/>
              </w:rPr>
            </w:pPr>
            <w:r w:rsidRPr="00AC42C4">
              <w:rPr>
                <w:rFonts w:ascii="Cambria" w:hAnsi="Cambria"/>
                <w:sz w:val="20"/>
                <w:szCs w:val="20"/>
                <w:highlight w:val="yellow"/>
                <w:lang w:val="pt-BR"/>
              </w:rPr>
              <w:t>XX/XX/XX</w:t>
            </w:r>
          </w:p>
        </w:tc>
      </w:tr>
    </w:tbl>
    <w:p w14:paraId="398616C7" w14:textId="77777777" w:rsidR="008707EC" w:rsidRDefault="008707EC" w:rsidP="00531335"/>
    <w:sectPr w:rsidR="008707EC" w:rsidSect="002E4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680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0E01" w14:textId="77777777" w:rsidR="00976EC0" w:rsidRDefault="00976EC0" w:rsidP="00DA4E40">
      <w:r>
        <w:separator/>
      </w:r>
    </w:p>
  </w:endnote>
  <w:endnote w:type="continuationSeparator" w:id="0">
    <w:p w14:paraId="402FDAD2" w14:textId="77777777" w:rsidR="00976EC0" w:rsidRDefault="00976EC0" w:rsidP="00D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17953" w14:textId="77777777" w:rsidR="00234A0B" w:rsidRDefault="00234A0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E43B" w14:textId="77777777" w:rsidR="00976EC0" w:rsidRPr="002E4B99" w:rsidRDefault="00976EC0">
    <w:pPr>
      <w:pStyle w:val="Rodap"/>
      <w:rPr>
        <w:rFonts w:ascii="Cambria" w:hAnsi="Cambria"/>
        <w:sz w:val="10"/>
      </w:rPr>
    </w:pPr>
  </w:p>
  <w:tbl>
    <w:tblPr>
      <w:tblStyle w:val="Tabelacomgrade"/>
      <w:tblW w:w="0" w:type="auto"/>
      <w:jc w:val="center"/>
      <w:tblLook w:val="04A0" w:firstRow="1" w:lastRow="0" w:firstColumn="1" w:lastColumn="0" w:noHBand="0" w:noVBand="1"/>
    </w:tblPr>
    <w:tblGrid>
      <w:gridCol w:w="3020"/>
      <w:gridCol w:w="3021"/>
      <w:gridCol w:w="1609"/>
      <w:gridCol w:w="992"/>
      <w:gridCol w:w="1559"/>
    </w:tblGrid>
    <w:tr w:rsidR="00886C05" w:rsidRPr="009F2F74" w14:paraId="59E5E735" w14:textId="77777777" w:rsidTr="0012062F">
      <w:trPr>
        <w:jc w:val="center"/>
      </w:trPr>
      <w:tc>
        <w:tcPr>
          <w:tcW w:w="3020" w:type="dxa"/>
        </w:tcPr>
        <w:p w14:paraId="0307AF2A" w14:textId="77777777" w:rsidR="00886C05" w:rsidRPr="00CF4E05" w:rsidRDefault="00886C05" w:rsidP="00886C05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Auditoria</w:t>
          </w:r>
        </w:p>
      </w:tc>
      <w:tc>
        <w:tcPr>
          <w:tcW w:w="3021" w:type="dxa"/>
        </w:tcPr>
        <w:p w14:paraId="403529EB" w14:textId="3FBCF182" w:rsidR="00886C05" w:rsidRPr="00CF4E05" w:rsidRDefault="00886C05" w:rsidP="00886C05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Instalação</w:t>
          </w:r>
        </w:p>
      </w:tc>
      <w:tc>
        <w:tcPr>
          <w:tcW w:w="1609" w:type="dxa"/>
        </w:tcPr>
        <w:p w14:paraId="5295F4EF" w14:textId="77777777" w:rsidR="00886C05" w:rsidRPr="00CF4E05" w:rsidRDefault="00886C05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>
            <w:rPr>
              <w:rFonts w:ascii="Cambria" w:hAnsi="Cambria"/>
              <w:b/>
              <w:sz w:val="20"/>
            </w:rPr>
            <w:t>R</w:t>
          </w:r>
          <w:r w:rsidRPr="00CF4E05">
            <w:rPr>
              <w:rFonts w:ascii="Cambria" w:hAnsi="Cambria"/>
              <w:b/>
              <w:sz w:val="20"/>
            </w:rPr>
            <w:t>ecomendação</w:t>
          </w:r>
        </w:p>
      </w:tc>
      <w:tc>
        <w:tcPr>
          <w:tcW w:w="992" w:type="dxa"/>
        </w:tcPr>
        <w:p w14:paraId="5DE2697C" w14:textId="77777777" w:rsidR="00886C05" w:rsidRPr="00CF4E05" w:rsidRDefault="00886C05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Página</w:t>
          </w:r>
        </w:p>
      </w:tc>
      <w:tc>
        <w:tcPr>
          <w:tcW w:w="1559" w:type="dxa"/>
        </w:tcPr>
        <w:p w14:paraId="51F5B321" w14:textId="77777777" w:rsidR="00886C05" w:rsidRPr="00CF4E05" w:rsidRDefault="00886C05" w:rsidP="002E4B99">
          <w:pPr>
            <w:pStyle w:val="Rodap"/>
            <w:jc w:val="center"/>
            <w:rPr>
              <w:rFonts w:ascii="Cambria" w:hAnsi="Cambria"/>
              <w:b/>
              <w:sz w:val="20"/>
            </w:rPr>
          </w:pPr>
          <w:r w:rsidRPr="00CF4E05">
            <w:rPr>
              <w:rFonts w:ascii="Cambria" w:hAnsi="Cambria"/>
              <w:b/>
              <w:sz w:val="20"/>
            </w:rPr>
            <w:t>Rubrica</w:t>
          </w:r>
        </w:p>
      </w:tc>
    </w:tr>
    <w:tr w:rsidR="00886C05" w:rsidRPr="009F2F74" w14:paraId="44819FE1" w14:textId="77777777" w:rsidTr="007C6A28">
      <w:trPr>
        <w:trHeight w:val="457"/>
        <w:jc w:val="center"/>
      </w:trPr>
      <w:tc>
        <w:tcPr>
          <w:tcW w:w="3020" w:type="dxa"/>
          <w:vAlign w:val="center"/>
        </w:tcPr>
        <w:p w14:paraId="6F5915FB" w14:textId="54FBF727" w:rsidR="00886C05" w:rsidRPr="00CF4E05" w:rsidRDefault="00234A0B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t>AAAA</w:t>
          </w:r>
          <w:r w:rsidR="00886C05">
            <w:rPr>
              <w:rFonts w:ascii="Cambria" w:hAnsi="Cambria"/>
              <w:sz w:val="20"/>
            </w:rPr>
            <w:t>_SSM_XXX</w:t>
          </w:r>
        </w:p>
      </w:tc>
      <w:tc>
        <w:tcPr>
          <w:tcW w:w="3021" w:type="dxa"/>
          <w:vAlign w:val="center"/>
        </w:tcPr>
        <w:p w14:paraId="63E3BD82" w14:textId="4A3506F7" w:rsidR="00886C05" w:rsidRPr="00CF4E05" w:rsidRDefault="00886C05" w:rsidP="002E4B99">
          <w:pPr>
            <w:pStyle w:val="Rodap"/>
            <w:jc w:val="center"/>
            <w:rPr>
              <w:rFonts w:ascii="Cambria" w:hAnsi="Cambria"/>
              <w:sz w:val="20"/>
            </w:rPr>
          </w:pPr>
        </w:p>
      </w:tc>
      <w:tc>
        <w:tcPr>
          <w:tcW w:w="1609" w:type="dxa"/>
          <w:vAlign w:val="center"/>
        </w:tcPr>
        <w:p w14:paraId="32EA1B97" w14:textId="0A55E3F7" w:rsidR="00886C05" w:rsidRPr="00CF4E05" w:rsidRDefault="00886C05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>
            <w:rPr>
              <w:rFonts w:ascii="Cambria" w:hAnsi="Cambria"/>
              <w:sz w:val="20"/>
            </w:rPr>
            <w:fldChar w:fldCharType="begin"/>
          </w:r>
          <w:r>
            <w:rPr>
              <w:rFonts w:ascii="Cambria" w:hAnsi="Cambria"/>
              <w:sz w:val="20"/>
            </w:rPr>
            <w:instrText xml:space="preserve"> REF Recomendaçao \h </w:instrText>
          </w:r>
          <w:r>
            <w:rPr>
              <w:rFonts w:ascii="Cambria" w:hAnsi="Cambria"/>
              <w:sz w:val="20"/>
            </w:rPr>
          </w:r>
          <w:r>
            <w:rPr>
              <w:rFonts w:ascii="Cambria" w:hAnsi="Cambria"/>
              <w:sz w:val="20"/>
            </w:rPr>
            <w:fldChar w:fldCharType="separate"/>
          </w:r>
          <w:r>
            <w:rPr>
              <w:rFonts w:ascii="Cambria" w:hAnsi="Cambria"/>
              <w:sz w:val="20"/>
            </w:rPr>
            <w:t>CDSM_</w:t>
          </w:r>
          <w:r w:rsidRPr="00D31E71">
            <w:rPr>
              <w:rFonts w:ascii="Cambria" w:hAnsi="Cambria"/>
              <w:sz w:val="20"/>
            </w:rPr>
            <w:t>R0</w:t>
          </w:r>
          <w:r>
            <w:rPr>
              <w:rFonts w:ascii="Cambria" w:hAnsi="Cambria"/>
              <w:sz w:val="20"/>
            </w:rPr>
            <w:t>6</w:t>
          </w:r>
          <w:r>
            <w:rPr>
              <w:rFonts w:ascii="Cambria" w:hAnsi="Cambria"/>
              <w:sz w:val="20"/>
            </w:rPr>
            <w:fldChar w:fldCharType="end"/>
          </w:r>
        </w:p>
      </w:tc>
      <w:tc>
        <w:tcPr>
          <w:tcW w:w="992" w:type="dxa"/>
          <w:vAlign w:val="center"/>
        </w:tcPr>
        <w:p w14:paraId="5A3130E4" w14:textId="77777777" w:rsidR="00886C05" w:rsidRPr="00CF4E05" w:rsidRDefault="00886C05" w:rsidP="002E4B99">
          <w:pPr>
            <w:pStyle w:val="Rodap"/>
            <w:jc w:val="center"/>
            <w:rPr>
              <w:rFonts w:ascii="Cambria" w:hAnsi="Cambria"/>
              <w:sz w:val="20"/>
            </w:rPr>
          </w:pP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PAGE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234A0B">
            <w:rPr>
              <w:rFonts w:ascii="Cambria" w:hAnsi="Cambria"/>
              <w:bCs/>
              <w:noProof/>
              <w:sz w:val="20"/>
            </w:rPr>
            <w:t>1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  <w:r w:rsidRPr="00CF4E05">
            <w:rPr>
              <w:rFonts w:ascii="Cambria" w:hAnsi="Cambria"/>
              <w:sz w:val="20"/>
            </w:rPr>
            <w:t xml:space="preserve"> de </w:t>
          </w:r>
          <w:r w:rsidRPr="00CF4E05">
            <w:rPr>
              <w:rFonts w:ascii="Cambria" w:hAnsi="Cambria"/>
              <w:bCs/>
              <w:sz w:val="20"/>
            </w:rPr>
            <w:fldChar w:fldCharType="begin"/>
          </w:r>
          <w:r w:rsidRPr="00CF4E05">
            <w:rPr>
              <w:rFonts w:ascii="Cambria" w:hAnsi="Cambria"/>
              <w:bCs/>
              <w:sz w:val="20"/>
            </w:rPr>
            <w:instrText>NUMPAGES  \* Arabic  \* MERGEFORMAT</w:instrText>
          </w:r>
          <w:r w:rsidRPr="00CF4E05">
            <w:rPr>
              <w:rFonts w:ascii="Cambria" w:hAnsi="Cambria"/>
              <w:bCs/>
              <w:sz w:val="20"/>
            </w:rPr>
            <w:fldChar w:fldCharType="separate"/>
          </w:r>
          <w:r w:rsidR="00234A0B">
            <w:rPr>
              <w:rFonts w:ascii="Cambria" w:hAnsi="Cambria"/>
              <w:bCs/>
              <w:noProof/>
              <w:sz w:val="20"/>
            </w:rPr>
            <w:t>2</w:t>
          </w:r>
          <w:r w:rsidRPr="00CF4E05">
            <w:rPr>
              <w:rFonts w:ascii="Cambria" w:hAnsi="Cambria"/>
              <w:bCs/>
              <w:sz w:val="20"/>
            </w:rPr>
            <w:fldChar w:fldCharType="end"/>
          </w:r>
        </w:p>
      </w:tc>
      <w:tc>
        <w:tcPr>
          <w:tcW w:w="1559" w:type="dxa"/>
          <w:vAlign w:val="center"/>
        </w:tcPr>
        <w:p w14:paraId="2C2D8E25" w14:textId="77777777" w:rsidR="00886C05" w:rsidRPr="00CF4E05" w:rsidRDefault="00886C05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AB2E9D2" w14:textId="77777777" w:rsidR="00886C05" w:rsidRPr="00CF4E05" w:rsidRDefault="00886C05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  <w:p w14:paraId="6CC108F5" w14:textId="77777777" w:rsidR="00886C05" w:rsidRPr="00CF4E05" w:rsidRDefault="00886C05" w:rsidP="002E4B99">
          <w:pPr>
            <w:pStyle w:val="Rodap"/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0CE5A65C" w14:textId="77777777" w:rsidR="00976EC0" w:rsidRPr="002E4B99" w:rsidRDefault="00976EC0">
    <w:pPr>
      <w:pStyle w:val="Rodap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107AF" w14:textId="77777777" w:rsidR="00234A0B" w:rsidRDefault="00234A0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CFB74" w14:textId="77777777" w:rsidR="00976EC0" w:rsidRDefault="00976EC0" w:rsidP="00DA4E40">
      <w:r>
        <w:separator/>
      </w:r>
    </w:p>
  </w:footnote>
  <w:footnote w:type="continuationSeparator" w:id="0">
    <w:p w14:paraId="50CB0043" w14:textId="77777777" w:rsidR="00976EC0" w:rsidRDefault="00976EC0" w:rsidP="00D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09669" w14:textId="77777777" w:rsidR="00234A0B" w:rsidRDefault="00234A0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9"/>
      <w:gridCol w:w="9306"/>
    </w:tblGrid>
    <w:tr w:rsidR="00976EC0" w14:paraId="35756EA5" w14:textId="77777777" w:rsidTr="00A4237E">
      <w:trPr>
        <w:trHeight w:val="552"/>
      </w:trPr>
      <w:tc>
        <w:tcPr>
          <w:tcW w:w="1069" w:type="dxa"/>
        </w:tcPr>
        <w:p w14:paraId="5FA05494" w14:textId="77777777" w:rsidR="00976EC0" w:rsidRDefault="00976EC0">
          <w:pPr>
            <w:pStyle w:val="Cabealho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noProof/>
              <w:sz w:val="28"/>
              <w:szCs w:val="28"/>
            </w:rPr>
            <w:drawing>
              <wp:inline distT="0" distB="0" distL="0" distR="0" wp14:anchorId="63A7948C" wp14:editId="2EFAA61D">
                <wp:extent cx="362118" cy="540000"/>
                <wp:effectExtent l="0" t="0" r="0" b="0"/>
                <wp:docPr id="2" name="Imagem 2" descr="C:\Users\agalmeida\Desktop\Logos ANP\logoANP_v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galmeida\Desktop\Logos ANP\logoANP_v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118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6" w:type="dxa"/>
        </w:tcPr>
        <w:p w14:paraId="4AA4F5C5" w14:textId="19F5B030" w:rsidR="00976EC0" w:rsidRDefault="00976EC0" w:rsidP="00EE21BA">
          <w:pPr>
            <w:pStyle w:val="Cabealho"/>
            <w:ind w:right="10"/>
            <w:jc w:val="center"/>
            <w:rPr>
              <w:rFonts w:ascii="Cambria" w:hAnsi="Cambria"/>
              <w:b/>
              <w:sz w:val="28"/>
              <w:szCs w:val="28"/>
            </w:rPr>
          </w:pPr>
          <w:r w:rsidRPr="00DA4E40">
            <w:rPr>
              <w:rFonts w:ascii="Cambria" w:hAnsi="Cambria"/>
              <w:b/>
              <w:sz w:val="28"/>
              <w:szCs w:val="28"/>
            </w:rPr>
            <w:t xml:space="preserve">FORMULÁRIO DE </w:t>
          </w:r>
          <w:r w:rsidR="009B7C18">
            <w:rPr>
              <w:rFonts w:ascii="Cambria" w:hAnsi="Cambria"/>
              <w:b/>
              <w:sz w:val="28"/>
              <w:szCs w:val="28"/>
            </w:rPr>
            <w:t>ANÁLISE DE IMPLEMENTAÇÃO</w:t>
          </w:r>
          <w:r w:rsidR="00A91961">
            <w:rPr>
              <w:rFonts w:ascii="Cambria" w:hAnsi="Cambria"/>
              <w:b/>
              <w:sz w:val="28"/>
              <w:szCs w:val="28"/>
            </w:rPr>
            <w:t xml:space="preserve"> DE RECOMENDAÇÃO PROVENIENTE DE</w:t>
          </w:r>
          <w:r w:rsidR="009B7C18">
            <w:rPr>
              <w:rFonts w:ascii="Cambria" w:hAnsi="Cambria"/>
              <w:b/>
              <w:sz w:val="28"/>
              <w:szCs w:val="28"/>
            </w:rPr>
            <w:t xml:space="preserve"> INVESTIGAÇÃO DE INCIDENTE</w:t>
          </w:r>
        </w:p>
      </w:tc>
    </w:tr>
  </w:tbl>
  <w:p w14:paraId="75226EE1" w14:textId="77777777" w:rsidR="00976EC0" w:rsidRDefault="00976EC0" w:rsidP="00E4061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73A41" w14:textId="77777777" w:rsidR="00234A0B" w:rsidRDefault="00234A0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527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D13FEB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8A61F6"/>
    <w:multiLevelType w:val="multilevel"/>
    <w:tmpl w:val="A1F6D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40"/>
    <w:rsid w:val="00003421"/>
    <w:rsid w:val="00013398"/>
    <w:rsid w:val="00017AED"/>
    <w:rsid w:val="00035427"/>
    <w:rsid w:val="00041D1D"/>
    <w:rsid w:val="00043815"/>
    <w:rsid w:val="0009333F"/>
    <w:rsid w:val="000D1D64"/>
    <w:rsid w:val="000D4B8B"/>
    <w:rsid w:val="000E5D1B"/>
    <w:rsid w:val="000E7793"/>
    <w:rsid w:val="00134A6D"/>
    <w:rsid w:val="001370CB"/>
    <w:rsid w:val="001444DF"/>
    <w:rsid w:val="00154BA2"/>
    <w:rsid w:val="001A3BAF"/>
    <w:rsid w:val="00211D2B"/>
    <w:rsid w:val="002171EA"/>
    <w:rsid w:val="00233D1C"/>
    <w:rsid w:val="00234A0B"/>
    <w:rsid w:val="0024585B"/>
    <w:rsid w:val="00247D85"/>
    <w:rsid w:val="002875EA"/>
    <w:rsid w:val="002D2549"/>
    <w:rsid w:val="002D42F6"/>
    <w:rsid w:val="002E4B99"/>
    <w:rsid w:val="0035028A"/>
    <w:rsid w:val="00350C38"/>
    <w:rsid w:val="0035240F"/>
    <w:rsid w:val="0037720B"/>
    <w:rsid w:val="003A7D61"/>
    <w:rsid w:val="003E5317"/>
    <w:rsid w:val="00413E97"/>
    <w:rsid w:val="00424436"/>
    <w:rsid w:val="00443AA3"/>
    <w:rsid w:val="00494F03"/>
    <w:rsid w:val="00531335"/>
    <w:rsid w:val="00543D74"/>
    <w:rsid w:val="0054449E"/>
    <w:rsid w:val="0057501B"/>
    <w:rsid w:val="005B0D44"/>
    <w:rsid w:val="005E7DC7"/>
    <w:rsid w:val="005F07E0"/>
    <w:rsid w:val="005F516E"/>
    <w:rsid w:val="00651B01"/>
    <w:rsid w:val="00665AA4"/>
    <w:rsid w:val="00666ACE"/>
    <w:rsid w:val="00672EA9"/>
    <w:rsid w:val="00677E06"/>
    <w:rsid w:val="00685C3A"/>
    <w:rsid w:val="00694853"/>
    <w:rsid w:val="006C6307"/>
    <w:rsid w:val="006E7F38"/>
    <w:rsid w:val="0071608C"/>
    <w:rsid w:val="0073371D"/>
    <w:rsid w:val="0075016E"/>
    <w:rsid w:val="00754867"/>
    <w:rsid w:val="00766033"/>
    <w:rsid w:val="007D2310"/>
    <w:rsid w:val="007F6C97"/>
    <w:rsid w:val="008534D3"/>
    <w:rsid w:val="0086192C"/>
    <w:rsid w:val="008707EC"/>
    <w:rsid w:val="00886C05"/>
    <w:rsid w:val="008A0FD3"/>
    <w:rsid w:val="008D28B6"/>
    <w:rsid w:val="00917298"/>
    <w:rsid w:val="0097643F"/>
    <w:rsid w:val="00976EC0"/>
    <w:rsid w:val="009B3896"/>
    <w:rsid w:val="009B7C18"/>
    <w:rsid w:val="009C0751"/>
    <w:rsid w:val="00A4237E"/>
    <w:rsid w:val="00A51F57"/>
    <w:rsid w:val="00A535A6"/>
    <w:rsid w:val="00A651B7"/>
    <w:rsid w:val="00A809D0"/>
    <w:rsid w:val="00A91961"/>
    <w:rsid w:val="00AC42C4"/>
    <w:rsid w:val="00B076C3"/>
    <w:rsid w:val="00B103E0"/>
    <w:rsid w:val="00B5559E"/>
    <w:rsid w:val="00B84C7D"/>
    <w:rsid w:val="00B92673"/>
    <w:rsid w:val="00BA588E"/>
    <w:rsid w:val="00BA7412"/>
    <w:rsid w:val="00BD7427"/>
    <w:rsid w:val="00BE535C"/>
    <w:rsid w:val="00C00195"/>
    <w:rsid w:val="00C01B13"/>
    <w:rsid w:val="00C06337"/>
    <w:rsid w:val="00C37710"/>
    <w:rsid w:val="00C4730F"/>
    <w:rsid w:val="00C54DF5"/>
    <w:rsid w:val="00C8093D"/>
    <w:rsid w:val="00CB0710"/>
    <w:rsid w:val="00CB1B97"/>
    <w:rsid w:val="00CD09A9"/>
    <w:rsid w:val="00CF19A9"/>
    <w:rsid w:val="00CF4E05"/>
    <w:rsid w:val="00D31E71"/>
    <w:rsid w:val="00D37830"/>
    <w:rsid w:val="00D44559"/>
    <w:rsid w:val="00D536AF"/>
    <w:rsid w:val="00D967F3"/>
    <w:rsid w:val="00DA4E40"/>
    <w:rsid w:val="00DA5DCD"/>
    <w:rsid w:val="00DC28B2"/>
    <w:rsid w:val="00E050E1"/>
    <w:rsid w:val="00E32E57"/>
    <w:rsid w:val="00E40610"/>
    <w:rsid w:val="00E77404"/>
    <w:rsid w:val="00EB0006"/>
    <w:rsid w:val="00EB2053"/>
    <w:rsid w:val="00EB44A8"/>
    <w:rsid w:val="00EB58DC"/>
    <w:rsid w:val="00ED37B7"/>
    <w:rsid w:val="00EE21BA"/>
    <w:rsid w:val="00EE4B30"/>
    <w:rsid w:val="00EF1417"/>
    <w:rsid w:val="00EF641A"/>
    <w:rsid w:val="00F13FE7"/>
    <w:rsid w:val="00F207BA"/>
    <w:rsid w:val="00F25877"/>
    <w:rsid w:val="00F44973"/>
    <w:rsid w:val="00F60077"/>
    <w:rsid w:val="00F705F8"/>
    <w:rsid w:val="00F72163"/>
    <w:rsid w:val="00F809DC"/>
    <w:rsid w:val="00F87BF5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31BA2D8"/>
  <w15:chartTrackingRefBased/>
  <w15:docId w15:val="{77D04231-37E0-4847-81D8-0F90B0EC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4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DA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DA4E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E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E4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A4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E40"/>
    <w:rPr>
      <w:rFonts w:ascii="Arial" w:eastAsia="Times New Roman" w:hAnsi="Arial" w:cs="Times New Roman"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536A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536A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536AF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536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536AF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BE535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8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69173-51A2-4E6E-A127-7A4123E0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584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GONI COELHO</dc:creator>
  <cp:keywords/>
  <dc:description/>
  <cp:lastModifiedBy>LUCIANO DA SILVA PINTO TEIXEIRA</cp:lastModifiedBy>
  <cp:revision>21</cp:revision>
  <dcterms:created xsi:type="dcterms:W3CDTF">2017-08-28T19:02:00Z</dcterms:created>
  <dcterms:modified xsi:type="dcterms:W3CDTF">2019-08-08T20:11:00Z</dcterms:modified>
</cp:coreProperties>
</file>