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567"/>
        <w:gridCol w:w="142"/>
        <w:gridCol w:w="283"/>
        <w:gridCol w:w="993"/>
        <w:gridCol w:w="885"/>
        <w:gridCol w:w="249"/>
        <w:gridCol w:w="141"/>
        <w:gridCol w:w="1418"/>
        <w:gridCol w:w="70"/>
        <w:gridCol w:w="1631"/>
        <w:gridCol w:w="247"/>
        <w:gridCol w:w="462"/>
        <w:gridCol w:w="141"/>
        <w:gridCol w:w="1276"/>
      </w:tblGrid>
      <w:tr w:rsidR="008534D3" w:rsidRPr="00443AA3" w14:paraId="527FB2F5" w14:textId="77777777" w:rsidTr="00EE21BA">
        <w:tc>
          <w:tcPr>
            <w:tcW w:w="10206" w:type="dxa"/>
            <w:gridSpan w:val="16"/>
            <w:shd w:val="clear" w:color="auto" w:fill="BFBFBF" w:themeFill="background1" w:themeFillShade="BF"/>
            <w:vAlign w:val="center"/>
          </w:tcPr>
          <w:p w14:paraId="0E04355C"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3B158298" w14:textId="77777777" w:rsidTr="00F705F8">
        <w:tc>
          <w:tcPr>
            <w:tcW w:w="2693" w:type="dxa"/>
            <w:gridSpan w:val="5"/>
            <w:vAlign w:val="center"/>
          </w:tcPr>
          <w:p w14:paraId="5B4F9DC3"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580B0D99" w14:textId="17009E99" w:rsidR="00EB0006" w:rsidRPr="009B7C18" w:rsidRDefault="00EB0006" w:rsidP="006E3163">
            <w:pPr>
              <w:pStyle w:val="PargrafodaLista"/>
              <w:spacing w:before="120" w:after="120" w:line="240" w:lineRule="auto"/>
              <w:ind w:left="0"/>
              <w:contextualSpacing w:val="0"/>
              <w:rPr>
                <w:rFonts w:ascii="Cambria" w:hAnsi="Cambria"/>
                <w:sz w:val="20"/>
                <w:szCs w:val="20"/>
                <w:lang w:val="pt-BR"/>
              </w:rPr>
            </w:pPr>
            <w:bookmarkStart w:id="0" w:name="Investigaçao"/>
            <w:r w:rsidRPr="009B7C18">
              <w:rPr>
                <w:rFonts w:ascii="Cambria" w:hAnsi="Cambria"/>
                <w:sz w:val="20"/>
                <w:szCs w:val="20"/>
                <w:lang w:val="pt-BR"/>
              </w:rPr>
              <w:t xml:space="preserve">Acidente de </w:t>
            </w:r>
            <w:r w:rsidR="006E3163">
              <w:rPr>
                <w:rFonts w:ascii="Cambria" w:hAnsi="Cambria"/>
                <w:sz w:val="20"/>
                <w:szCs w:val="20"/>
                <w:lang w:val="pt-BR"/>
              </w:rPr>
              <w:t>incêndio</w:t>
            </w:r>
            <w:r w:rsidRPr="009B7C18">
              <w:rPr>
                <w:rFonts w:ascii="Cambria" w:hAnsi="Cambria"/>
                <w:sz w:val="20"/>
                <w:szCs w:val="20"/>
                <w:lang w:val="pt-BR"/>
              </w:rPr>
              <w:t xml:space="preserve"> ocorrido em </w:t>
            </w:r>
            <w:r w:rsidR="006E3163">
              <w:rPr>
                <w:rFonts w:ascii="Cambria" w:hAnsi="Cambria"/>
                <w:sz w:val="20"/>
                <w:szCs w:val="20"/>
                <w:lang w:val="pt-BR"/>
              </w:rPr>
              <w:t>26/12/2013</w:t>
            </w:r>
            <w:r w:rsidRPr="009B7C18">
              <w:rPr>
                <w:rFonts w:ascii="Cambria" w:hAnsi="Cambria"/>
                <w:sz w:val="20"/>
                <w:szCs w:val="20"/>
                <w:lang w:val="pt-BR"/>
              </w:rPr>
              <w:t xml:space="preserve"> </w:t>
            </w:r>
            <w:r w:rsidR="006E3163">
              <w:rPr>
                <w:rFonts w:ascii="Cambria" w:hAnsi="Cambria"/>
                <w:sz w:val="20"/>
                <w:szCs w:val="20"/>
                <w:lang w:val="pt-BR"/>
              </w:rPr>
              <w:t>na plataforma P-20</w:t>
            </w:r>
            <w:bookmarkEnd w:id="0"/>
          </w:p>
        </w:tc>
      </w:tr>
      <w:tr w:rsidR="008534D3" w:rsidRPr="00443AA3" w14:paraId="4390BD47" w14:textId="77777777" w:rsidTr="00EE21BA">
        <w:tc>
          <w:tcPr>
            <w:tcW w:w="4820" w:type="dxa"/>
            <w:gridSpan w:val="8"/>
            <w:vAlign w:val="center"/>
          </w:tcPr>
          <w:p w14:paraId="433FDD28" w14:textId="0180192E"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04141C81" w14:textId="331ED6A0" w:rsidR="00DA4E40" w:rsidRPr="009B7C18" w:rsidRDefault="00C86DB3" w:rsidP="006E3163">
            <w:pPr>
              <w:pStyle w:val="PargrafodaLista"/>
              <w:spacing w:before="120" w:after="120" w:line="240" w:lineRule="auto"/>
              <w:ind w:left="0"/>
              <w:contextualSpacing w:val="0"/>
              <w:rPr>
                <w:rFonts w:ascii="Cambria" w:hAnsi="Cambria"/>
                <w:sz w:val="20"/>
                <w:szCs w:val="20"/>
                <w:lang w:val="pt-BR"/>
              </w:rPr>
            </w:pPr>
            <w:r w:rsidRPr="00C86DB3">
              <w:rPr>
                <w:rFonts w:ascii="Cambria" w:hAnsi="Cambria"/>
                <w:sz w:val="20"/>
                <w:szCs w:val="20"/>
                <w:lang w:val="pt-BR"/>
              </w:rPr>
              <w:t>004</w:t>
            </w:r>
            <w:r w:rsidR="009B7C18" w:rsidRPr="00C86DB3">
              <w:rPr>
                <w:rFonts w:ascii="Cambria" w:hAnsi="Cambria"/>
                <w:sz w:val="20"/>
                <w:szCs w:val="20"/>
                <w:lang w:val="pt-BR"/>
              </w:rPr>
              <w:t>/SSM/201</w:t>
            </w:r>
            <w:r w:rsidR="006E3163" w:rsidRPr="00C86DB3">
              <w:rPr>
                <w:rFonts w:ascii="Cambria" w:hAnsi="Cambria"/>
                <w:sz w:val="20"/>
                <w:szCs w:val="20"/>
                <w:lang w:val="pt-BR"/>
              </w:rPr>
              <w:t>8</w:t>
            </w:r>
          </w:p>
        </w:tc>
        <w:tc>
          <w:tcPr>
            <w:tcW w:w="2410" w:type="dxa"/>
            <w:gridSpan w:val="4"/>
            <w:vAlign w:val="center"/>
          </w:tcPr>
          <w:p w14:paraId="12963398" w14:textId="1A87660A" w:rsidR="00DA4E40" w:rsidRPr="00443AA3" w:rsidRDefault="009B7C18" w:rsidP="00B84C7D">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Data do Ofício Circular</w:t>
            </w:r>
          </w:p>
        </w:tc>
        <w:tc>
          <w:tcPr>
            <w:tcW w:w="1417" w:type="dxa"/>
            <w:gridSpan w:val="2"/>
            <w:vAlign w:val="center"/>
          </w:tcPr>
          <w:p w14:paraId="27460093" w14:textId="7E4C9717" w:rsidR="00DA4E40" w:rsidRPr="00C86DB3" w:rsidRDefault="00C86DB3" w:rsidP="00D967F3">
            <w:pPr>
              <w:pStyle w:val="PargrafodaLista"/>
              <w:spacing w:before="120" w:after="120" w:line="240" w:lineRule="auto"/>
              <w:ind w:left="0"/>
              <w:contextualSpacing w:val="0"/>
              <w:rPr>
                <w:rFonts w:ascii="Cambria" w:hAnsi="Cambria"/>
                <w:sz w:val="20"/>
                <w:szCs w:val="20"/>
                <w:lang w:val="pt-BR"/>
              </w:rPr>
            </w:pPr>
            <w:r w:rsidRPr="00C86DB3">
              <w:rPr>
                <w:rFonts w:ascii="Cambria" w:hAnsi="Cambria"/>
                <w:sz w:val="20"/>
                <w:szCs w:val="20"/>
                <w:lang w:val="pt-BR"/>
              </w:rPr>
              <w:t>17/08</w:t>
            </w:r>
            <w:r w:rsidR="006E3163" w:rsidRPr="00C86DB3">
              <w:rPr>
                <w:rFonts w:ascii="Cambria" w:hAnsi="Cambria"/>
                <w:sz w:val="20"/>
                <w:szCs w:val="20"/>
                <w:lang w:val="pt-BR"/>
              </w:rPr>
              <w:t>/2018</w:t>
            </w:r>
          </w:p>
        </w:tc>
      </w:tr>
      <w:tr w:rsidR="00233D1C" w:rsidRPr="00443AA3" w14:paraId="581BA109" w14:textId="77777777" w:rsidTr="0075016E">
        <w:tc>
          <w:tcPr>
            <w:tcW w:w="1701" w:type="dxa"/>
            <w:gridSpan w:val="2"/>
            <w:shd w:val="clear" w:color="auto" w:fill="BFBFBF" w:themeFill="background1" w:themeFillShade="BF"/>
            <w:vAlign w:val="center"/>
          </w:tcPr>
          <w:p w14:paraId="53FC3468" w14:textId="77777777" w:rsidR="00233D1C" w:rsidRPr="00443AA3" w:rsidRDefault="00233D1C" w:rsidP="00EE21BA">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4"/>
            <w:shd w:val="clear" w:color="auto" w:fill="BFBFBF" w:themeFill="background1" w:themeFillShade="BF"/>
            <w:vAlign w:val="center"/>
          </w:tcPr>
          <w:p w14:paraId="22BA1746" w14:textId="70ECD09C" w:rsidR="00233D1C" w:rsidRPr="00677E06" w:rsidRDefault="00842C4D" w:rsidP="001F773D">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CR</w:t>
            </w:r>
            <w:r w:rsidRPr="00842C4D">
              <w:rPr>
                <w:rFonts w:ascii="Cambria" w:hAnsi="Cambria"/>
                <w:sz w:val="20"/>
                <w:szCs w:val="20"/>
                <w:lang w:val="pt-BR"/>
              </w:rPr>
              <w:t xml:space="preserve">5: Falha no dimensionamento dos </w:t>
            </w:r>
            <w:r w:rsidRPr="00842C4D">
              <w:rPr>
                <w:rFonts w:ascii="Cambria" w:hAnsi="Cambria"/>
                <w:i/>
                <w:sz w:val="20"/>
                <w:szCs w:val="20"/>
                <w:lang w:val="pt-BR"/>
              </w:rPr>
              <w:t>vents</w:t>
            </w:r>
            <w:r w:rsidRPr="00842C4D">
              <w:rPr>
                <w:rFonts w:ascii="Cambria" w:hAnsi="Cambria"/>
                <w:sz w:val="20"/>
                <w:szCs w:val="20"/>
                <w:lang w:val="pt-BR"/>
              </w:rPr>
              <w:t xml:space="preserve"> dos tanques</w:t>
            </w:r>
          </w:p>
        </w:tc>
      </w:tr>
      <w:tr w:rsidR="00EB0006" w:rsidRPr="00443AA3" w14:paraId="0B5DB80B" w14:textId="77777777" w:rsidTr="00D31E71">
        <w:tc>
          <w:tcPr>
            <w:tcW w:w="10206" w:type="dxa"/>
            <w:gridSpan w:val="16"/>
            <w:shd w:val="clear" w:color="auto" w:fill="FFFFFF" w:themeFill="background1"/>
            <w:vAlign w:val="center"/>
          </w:tcPr>
          <w:p w14:paraId="006705FF" w14:textId="08C07264"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9B7C18" w:rsidRPr="00443AA3" w14:paraId="32780407" w14:textId="77777777" w:rsidTr="00EE21BA">
        <w:trPr>
          <w:trHeight w:val="278"/>
        </w:trPr>
        <w:tc>
          <w:tcPr>
            <w:tcW w:w="10206" w:type="dxa"/>
            <w:gridSpan w:val="16"/>
            <w:shd w:val="clear" w:color="auto" w:fill="FFFFFF" w:themeFill="background1"/>
            <w:vAlign w:val="center"/>
          </w:tcPr>
          <w:p w14:paraId="2DB0A4BC" w14:textId="500B4C90" w:rsidR="00842C4D" w:rsidRPr="00E8629B" w:rsidRDefault="00842C4D"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Em 2009, por ocasião da substituição dos tanques de fibra de vidro da Unidade Química por tanques em aço inoxidável, foi realizada uma Memória de Cálculo de verificação das linhas de vent atmosférico.</w:t>
            </w:r>
          </w:p>
          <w:p w14:paraId="5B237E3A" w14:textId="77777777" w:rsidR="00842C4D" w:rsidRPr="00E8629B" w:rsidRDefault="00842C4D"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 xml:space="preserve">Este documento menciona que “os cálculos das linhas de </w:t>
            </w:r>
            <w:r w:rsidRPr="00E8629B">
              <w:rPr>
                <w:rFonts w:ascii="Cambria" w:hAnsi="Cambria"/>
                <w:i/>
                <w:sz w:val="20"/>
                <w:szCs w:val="20"/>
                <w:lang w:val="pt-BR"/>
              </w:rPr>
              <w:t>vent</w:t>
            </w:r>
            <w:r w:rsidRPr="00E8629B">
              <w:rPr>
                <w:rFonts w:ascii="Cambria" w:hAnsi="Cambria"/>
                <w:sz w:val="20"/>
                <w:szCs w:val="20"/>
                <w:lang w:val="pt-BR"/>
              </w:rPr>
              <w:t xml:space="preserve"> seguem os requerimentos descritos na norma API 2000 – </w:t>
            </w:r>
            <w:proofErr w:type="spellStart"/>
            <w:r w:rsidRPr="00E8629B">
              <w:rPr>
                <w:rFonts w:ascii="Cambria" w:hAnsi="Cambria"/>
                <w:i/>
                <w:sz w:val="20"/>
                <w:szCs w:val="20"/>
                <w:lang w:val="pt-BR"/>
              </w:rPr>
              <w:t>Venting</w:t>
            </w:r>
            <w:proofErr w:type="spellEnd"/>
            <w:r w:rsidRPr="00E8629B">
              <w:rPr>
                <w:rFonts w:ascii="Cambria" w:hAnsi="Cambria"/>
                <w:i/>
                <w:sz w:val="20"/>
                <w:szCs w:val="20"/>
                <w:lang w:val="pt-BR"/>
              </w:rPr>
              <w:t xml:space="preserve"> </w:t>
            </w:r>
            <w:proofErr w:type="spellStart"/>
            <w:r w:rsidRPr="00E8629B">
              <w:rPr>
                <w:rFonts w:ascii="Cambria" w:hAnsi="Cambria"/>
                <w:i/>
                <w:sz w:val="20"/>
                <w:szCs w:val="20"/>
                <w:lang w:val="pt-BR"/>
              </w:rPr>
              <w:t>Atmospheric</w:t>
            </w:r>
            <w:proofErr w:type="spellEnd"/>
            <w:r w:rsidRPr="00E8629B">
              <w:rPr>
                <w:rFonts w:ascii="Cambria" w:hAnsi="Cambria"/>
                <w:i/>
                <w:sz w:val="20"/>
                <w:szCs w:val="20"/>
                <w:lang w:val="pt-BR"/>
              </w:rPr>
              <w:t xml:space="preserve"> </w:t>
            </w:r>
            <w:proofErr w:type="spellStart"/>
            <w:r w:rsidRPr="00E8629B">
              <w:rPr>
                <w:rFonts w:ascii="Cambria" w:hAnsi="Cambria"/>
                <w:i/>
                <w:sz w:val="20"/>
                <w:szCs w:val="20"/>
                <w:lang w:val="pt-BR"/>
              </w:rPr>
              <w:t>and</w:t>
            </w:r>
            <w:proofErr w:type="spellEnd"/>
            <w:r w:rsidRPr="00E8629B">
              <w:rPr>
                <w:rFonts w:ascii="Cambria" w:hAnsi="Cambria"/>
                <w:i/>
                <w:sz w:val="20"/>
                <w:szCs w:val="20"/>
                <w:lang w:val="pt-BR"/>
              </w:rPr>
              <w:t xml:space="preserve"> </w:t>
            </w:r>
            <w:proofErr w:type="spellStart"/>
            <w:r w:rsidRPr="00E8629B">
              <w:rPr>
                <w:rFonts w:ascii="Cambria" w:hAnsi="Cambria"/>
                <w:i/>
                <w:sz w:val="20"/>
                <w:szCs w:val="20"/>
                <w:lang w:val="pt-BR"/>
              </w:rPr>
              <w:t>Low-Pressure</w:t>
            </w:r>
            <w:proofErr w:type="spellEnd"/>
            <w:r w:rsidRPr="00E8629B">
              <w:rPr>
                <w:rFonts w:ascii="Cambria" w:hAnsi="Cambria"/>
                <w:i/>
                <w:sz w:val="20"/>
                <w:szCs w:val="20"/>
                <w:lang w:val="pt-BR"/>
              </w:rPr>
              <w:t xml:space="preserve"> </w:t>
            </w:r>
            <w:proofErr w:type="spellStart"/>
            <w:r w:rsidRPr="00E8629B">
              <w:rPr>
                <w:rFonts w:ascii="Cambria" w:hAnsi="Cambria"/>
                <w:i/>
                <w:sz w:val="20"/>
                <w:szCs w:val="20"/>
                <w:lang w:val="pt-BR"/>
              </w:rPr>
              <w:t>Storage</w:t>
            </w:r>
            <w:proofErr w:type="spellEnd"/>
            <w:r w:rsidRPr="00E8629B">
              <w:rPr>
                <w:rFonts w:ascii="Cambria" w:hAnsi="Cambria"/>
                <w:i/>
                <w:sz w:val="20"/>
                <w:szCs w:val="20"/>
                <w:lang w:val="pt-BR"/>
              </w:rPr>
              <w:t xml:space="preserve"> </w:t>
            </w:r>
            <w:proofErr w:type="spellStart"/>
            <w:r w:rsidRPr="00E8629B">
              <w:rPr>
                <w:rFonts w:ascii="Cambria" w:hAnsi="Cambria"/>
                <w:i/>
                <w:sz w:val="20"/>
                <w:szCs w:val="20"/>
                <w:lang w:val="pt-BR"/>
              </w:rPr>
              <w:t>Tanks</w:t>
            </w:r>
            <w:proofErr w:type="spellEnd"/>
            <w:r w:rsidRPr="00E8629B">
              <w:rPr>
                <w:rFonts w:ascii="Cambria" w:hAnsi="Cambria"/>
                <w:sz w:val="20"/>
                <w:szCs w:val="20"/>
                <w:lang w:val="pt-BR"/>
              </w:rPr>
              <w:t>” e que as situações para cálculo das vazões de vent incluíam a Condição Crítica (Critério de Fogo).</w:t>
            </w:r>
          </w:p>
          <w:p w14:paraId="31DC0255" w14:textId="1BDC7412" w:rsidR="00842C4D" w:rsidRPr="00E8629B" w:rsidRDefault="00084C6B"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São</w:t>
            </w:r>
            <w:r w:rsidR="00842C4D" w:rsidRPr="00E8629B">
              <w:rPr>
                <w:rFonts w:ascii="Cambria" w:hAnsi="Cambria"/>
                <w:sz w:val="20"/>
                <w:szCs w:val="20"/>
                <w:lang w:val="pt-BR"/>
              </w:rPr>
              <w:t xml:space="preserve"> calculada</w:t>
            </w:r>
            <w:r w:rsidRPr="00E8629B">
              <w:rPr>
                <w:rFonts w:ascii="Cambria" w:hAnsi="Cambria"/>
                <w:sz w:val="20"/>
                <w:szCs w:val="20"/>
                <w:lang w:val="pt-BR"/>
              </w:rPr>
              <w:t>s</w:t>
            </w:r>
            <w:r w:rsidR="00842C4D" w:rsidRPr="00E8629B">
              <w:rPr>
                <w:rFonts w:ascii="Cambria" w:hAnsi="Cambria"/>
                <w:sz w:val="20"/>
                <w:szCs w:val="20"/>
                <w:lang w:val="pt-BR"/>
              </w:rPr>
              <w:t xml:space="preserve"> a</w:t>
            </w:r>
            <w:r w:rsidRPr="00E8629B">
              <w:rPr>
                <w:rFonts w:ascii="Cambria" w:hAnsi="Cambria"/>
                <w:sz w:val="20"/>
                <w:szCs w:val="20"/>
                <w:lang w:val="pt-BR"/>
              </w:rPr>
              <w:t xml:space="preserve">s vazões de </w:t>
            </w:r>
            <w:r w:rsidRPr="00E8629B">
              <w:rPr>
                <w:rFonts w:ascii="Cambria" w:hAnsi="Cambria"/>
                <w:i/>
                <w:sz w:val="20"/>
                <w:szCs w:val="20"/>
                <w:lang w:val="pt-BR"/>
              </w:rPr>
              <w:t>vent</w:t>
            </w:r>
            <w:r w:rsidR="00842C4D" w:rsidRPr="00E8629B">
              <w:rPr>
                <w:rFonts w:ascii="Cambria" w:hAnsi="Cambria"/>
                <w:sz w:val="20"/>
                <w:szCs w:val="20"/>
                <w:lang w:val="pt-BR"/>
              </w:rPr>
              <w:t xml:space="preserve"> requerida</w:t>
            </w:r>
            <w:r w:rsidRPr="00E8629B">
              <w:rPr>
                <w:rFonts w:ascii="Cambria" w:hAnsi="Cambria"/>
                <w:sz w:val="20"/>
                <w:szCs w:val="20"/>
                <w:lang w:val="pt-BR"/>
              </w:rPr>
              <w:t>s</w:t>
            </w:r>
            <w:r w:rsidR="00842C4D" w:rsidRPr="00E8629B">
              <w:rPr>
                <w:rFonts w:ascii="Cambria" w:hAnsi="Cambria"/>
                <w:sz w:val="20"/>
                <w:szCs w:val="20"/>
                <w:lang w:val="pt-BR"/>
              </w:rPr>
              <w:t xml:space="preserve"> </w:t>
            </w:r>
            <w:r w:rsidRPr="00E8629B">
              <w:rPr>
                <w:rFonts w:ascii="Cambria" w:hAnsi="Cambria"/>
                <w:sz w:val="20"/>
                <w:szCs w:val="20"/>
                <w:lang w:val="pt-BR"/>
              </w:rPr>
              <w:t>para duas condições: condição normal (somatório das vazões de vent calculadas devido a deslocamento de volume causado pelo enchimento ou esvaziamento do tanque ou devido a expansão/contração de vapores devido a diferenças da temperatura ambiente) e condição de fogo (aumento excessivo de pressão interna do tanque devido à alta evaporação do líquido exposto à chama)</w:t>
            </w:r>
            <w:r w:rsidR="00842C4D" w:rsidRPr="00E8629B">
              <w:rPr>
                <w:rFonts w:ascii="Cambria" w:hAnsi="Cambria"/>
                <w:sz w:val="20"/>
                <w:szCs w:val="20"/>
                <w:lang w:val="pt-BR"/>
              </w:rPr>
              <w:t>.</w:t>
            </w:r>
          </w:p>
          <w:p w14:paraId="60523E6F" w14:textId="5700355A" w:rsidR="00842C4D" w:rsidRPr="00E8629B" w:rsidRDefault="00842C4D"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No entanto, a Memória de Cálculo afirma que a exposição ao fogo não seria a situação dimensionante para o cálculo de linhas de vent, alegando que o dimensionamento do sistema de dilúvio verifica se a vazão calculada de água para proteger determinado equipamento seria suficiente para que o fluido não atingisse a temperatura de ebulição.</w:t>
            </w:r>
          </w:p>
          <w:p w14:paraId="1946E6A7" w14:textId="1944D3F1" w:rsidR="004C64EC" w:rsidRDefault="00084C6B" w:rsidP="00084C6B">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Foi comprovado</w:t>
            </w:r>
            <w:r w:rsidR="00842C4D" w:rsidRPr="00842C4D">
              <w:rPr>
                <w:rFonts w:ascii="Cambria" w:hAnsi="Cambria"/>
                <w:sz w:val="20"/>
                <w:szCs w:val="20"/>
                <w:lang w:val="pt-BR"/>
              </w:rPr>
              <w:t xml:space="preserve"> que as vazões calculadas para o caso de fogo foram efetivamente descartadas,</w:t>
            </w:r>
            <w:r w:rsidR="00842C4D">
              <w:rPr>
                <w:rFonts w:ascii="Cambria" w:hAnsi="Cambria"/>
                <w:sz w:val="20"/>
                <w:szCs w:val="20"/>
                <w:lang w:val="pt-BR"/>
              </w:rPr>
              <w:t xml:space="preserve"> uma vez que </w:t>
            </w:r>
            <w:r w:rsidR="00842C4D" w:rsidRPr="00842C4D">
              <w:rPr>
                <w:rFonts w:ascii="Cambria" w:hAnsi="Cambria"/>
                <w:sz w:val="20"/>
                <w:szCs w:val="20"/>
                <w:lang w:val="pt-BR"/>
              </w:rPr>
              <w:t>as vazões utilizadas para o cálculo da perda de carga se tratam das máximas vazões obtidas em condição normal</w:t>
            </w:r>
            <w:r>
              <w:rPr>
                <w:rFonts w:ascii="Cambria" w:hAnsi="Cambria"/>
                <w:sz w:val="20"/>
                <w:szCs w:val="20"/>
                <w:lang w:val="pt-BR"/>
              </w:rPr>
              <w:t xml:space="preserve">. As conclusões da Memória de Cálculo ratificam </w:t>
            </w:r>
            <w:r w:rsidR="00E8629B" w:rsidRPr="00E8629B">
              <w:rPr>
                <w:rFonts w:ascii="Cambria" w:hAnsi="Cambria"/>
                <w:sz w:val="20"/>
                <w:szCs w:val="20"/>
                <w:lang w:val="pt-BR"/>
              </w:rPr>
              <w:t>que o caso de fogo foi descartado no dimensionamento</w:t>
            </w:r>
            <w:r w:rsidR="00E8629B">
              <w:rPr>
                <w:rFonts w:ascii="Cambria" w:hAnsi="Cambria"/>
                <w:sz w:val="20"/>
                <w:szCs w:val="20"/>
                <w:lang w:val="pt-BR"/>
              </w:rPr>
              <w:t xml:space="preserve"> e </w:t>
            </w:r>
            <w:r w:rsidR="00E8629B" w:rsidRPr="00E8629B">
              <w:rPr>
                <w:rFonts w:ascii="Cambria" w:hAnsi="Cambria"/>
                <w:sz w:val="20"/>
                <w:szCs w:val="20"/>
                <w:lang w:val="pt-BR"/>
              </w:rPr>
              <w:t>que a Memória de Cálculo considera que, em caso de exposição do tanque ao fogo, o sistema de dilúvio protegeria o equipamento de forma que o fluido não atingiria a temperatura de ebulição. Esta premissa, no entanto, está em desacordo com a Norma API STD 2000.</w:t>
            </w:r>
          </w:p>
          <w:p w14:paraId="50605D20" w14:textId="396EE0B9" w:rsidR="00E8629B" w:rsidRPr="00E8629B" w:rsidRDefault="00E8629B"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 xml:space="preserve">Como consequência da adoção desta premissa equivocada, a Memória de Cálculo concluiu que não seriam necessárias modificações nos diâmetros das tubulações de vent dos tanques da Unidade Química, tendo sido mantidos os vents pré-existentes de diâmetro 2”. Todavia, esses vents não seriam suficientes para realizar o alívio da pressão em condição de fogo no tanque, condição que para o tanque </w:t>
            </w:r>
            <w:r>
              <w:rPr>
                <w:rFonts w:ascii="Cambria" w:hAnsi="Cambria"/>
                <w:sz w:val="20"/>
                <w:szCs w:val="20"/>
                <w:lang w:val="pt-BR"/>
              </w:rPr>
              <w:t>em questão</w:t>
            </w:r>
            <w:r w:rsidRPr="00E8629B">
              <w:rPr>
                <w:rFonts w:ascii="Cambria" w:hAnsi="Cambria"/>
                <w:sz w:val="20"/>
                <w:szCs w:val="20"/>
                <w:lang w:val="pt-BR"/>
              </w:rPr>
              <w:t xml:space="preserve"> demandava uma vazão de alívio mais de cem vezes superior à requerida para a condição normal.</w:t>
            </w:r>
          </w:p>
          <w:p w14:paraId="5D5F777E" w14:textId="53DB4D08" w:rsidR="00E8629B" w:rsidRPr="0024585B" w:rsidRDefault="00E8629B" w:rsidP="00E8629B">
            <w:pPr>
              <w:pStyle w:val="PargrafodaLista"/>
              <w:spacing w:before="120" w:after="120" w:line="240" w:lineRule="auto"/>
              <w:ind w:left="0"/>
              <w:contextualSpacing w:val="0"/>
              <w:jc w:val="both"/>
              <w:rPr>
                <w:rFonts w:ascii="Cambria" w:hAnsi="Cambria"/>
                <w:sz w:val="20"/>
                <w:szCs w:val="20"/>
                <w:lang w:val="pt-BR"/>
              </w:rPr>
            </w:pPr>
            <w:r w:rsidRPr="00E8629B">
              <w:rPr>
                <w:rFonts w:ascii="Cambria" w:hAnsi="Cambria"/>
                <w:sz w:val="20"/>
                <w:szCs w:val="20"/>
                <w:lang w:val="pt-BR"/>
              </w:rPr>
              <w:t>Dessa maneira, quando ocorreu o incêndio em poç</w:t>
            </w:r>
            <w:r>
              <w:rPr>
                <w:rFonts w:ascii="Cambria" w:hAnsi="Cambria"/>
                <w:sz w:val="20"/>
                <w:szCs w:val="20"/>
                <w:lang w:val="pt-BR"/>
              </w:rPr>
              <w:t>a em torno do tanque de etanol, a</w:t>
            </w:r>
            <w:r w:rsidRPr="00E8629B">
              <w:rPr>
                <w:rFonts w:ascii="Cambria" w:hAnsi="Cambria"/>
                <w:sz w:val="20"/>
                <w:szCs w:val="20"/>
                <w:lang w:val="pt-BR"/>
              </w:rPr>
              <w:t xml:space="preserve"> taxa de evaporação do etanol aumentou significativamente devido à incidência de calor e o vent não foi capaz de aliviar a vazão de vapor gerada nessa situação, causando sobrepressão no interior do tanque, levando-o ao rompimento.</w:t>
            </w:r>
          </w:p>
        </w:tc>
      </w:tr>
      <w:tr w:rsidR="00F71330" w:rsidRPr="00443AA3" w14:paraId="3D0885CC" w14:textId="77777777" w:rsidTr="00D66FA4">
        <w:trPr>
          <w:trHeight w:val="278"/>
        </w:trPr>
        <w:tc>
          <w:tcPr>
            <w:tcW w:w="2693" w:type="dxa"/>
            <w:gridSpan w:val="5"/>
            <w:shd w:val="clear" w:color="auto" w:fill="BFBFBF" w:themeFill="background1" w:themeFillShade="BF"/>
            <w:vAlign w:val="center"/>
          </w:tcPr>
          <w:p w14:paraId="5FEB4B67" w14:textId="77777777" w:rsidR="00F71330" w:rsidRPr="00BA7412" w:rsidRDefault="00F71330" w:rsidP="00F713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254F0D15" w14:textId="77777777" w:rsidR="00F71330" w:rsidRPr="00D31E71" w:rsidRDefault="00F71330" w:rsidP="00F71330">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szCs w:val="20"/>
                <w:lang w:val="pt-BR"/>
              </w:rPr>
              <w:t>P-20_</w:t>
            </w:r>
            <w:r w:rsidRPr="00D31E71">
              <w:rPr>
                <w:rFonts w:ascii="Cambria" w:hAnsi="Cambria"/>
                <w:sz w:val="20"/>
                <w:szCs w:val="20"/>
                <w:lang w:val="pt-BR"/>
              </w:rPr>
              <w:t>R</w:t>
            </w:r>
            <w:r>
              <w:rPr>
                <w:rFonts w:ascii="Cambria" w:hAnsi="Cambria"/>
                <w:sz w:val="20"/>
                <w:szCs w:val="20"/>
                <w:lang w:val="pt-BR"/>
              </w:rPr>
              <w:t>03</w:t>
            </w:r>
          </w:p>
        </w:tc>
        <w:tc>
          <w:tcPr>
            <w:tcW w:w="1878" w:type="dxa"/>
            <w:gridSpan w:val="4"/>
            <w:shd w:val="clear" w:color="auto" w:fill="BFBFBF" w:themeFill="background1" w:themeFillShade="BF"/>
            <w:vAlign w:val="center"/>
          </w:tcPr>
          <w:p w14:paraId="64B5ABF4" w14:textId="617E3A16" w:rsidR="00F71330" w:rsidRPr="00D31E71" w:rsidRDefault="00F71330" w:rsidP="00F7133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28929ADD" w14:textId="4287470B" w:rsidR="00F71330" w:rsidRPr="00D31E71" w:rsidRDefault="00F71330" w:rsidP="00F7133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5A5D0152" w14:textId="5ABD3DCC" w:rsidR="00F71330" w:rsidRPr="00D31E71" w:rsidRDefault="00F71330" w:rsidP="00F71330">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BA7412" w:rsidRPr="00443AA3" w14:paraId="5E91F2BD" w14:textId="77777777" w:rsidTr="00EE21BA">
        <w:trPr>
          <w:trHeight w:val="278"/>
        </w:trPr>
        <w:tc>
          <w:tcPr>
            <w:tcW w:w="10206" w:type="dxa"/>
            <w:gridSpan w:val="16"/>
            <w:shd w:val="clear" w:color="auto" w:fill="FFFFFF" w:themeFill="background1"/>
            <w:vAlign w:val="center"/>
          </w:tcPr>
          <w:p w14:paraId="0B01C93D" w14:textId="0D17ACCB" w:rsidR="00BA7412" w:rsidRPr="0024585B" w:rsidRDefault="00842C4D" w:rsidP="00EB58DC">
            <w:pPr>
              <w:pStyle w:val="PargrafodaLista"/>
              <w:spacing w:before="120" w:after="120" w:line="240" w:lineRule="auto"/>
              <w:ind w:left="0"/>
              <w:contextualSpacing w:val="0"/>
              <w:jc w:val="both"/>
              <w:rPr>
                <w:rFonts w:ascii="Cambria" w:hAnsi="Cambria"/>
                <w:sz w:val="20"/>
                <w:szCs w:val="20"/>
                <w:lang w:val="pt-BR"/>
              </w:rPr>
            </w:pPr>
            <w:r w:rsidRPr="00842C4D">
              <w:rPr>
                <w:rFonts w:ascii="Cambria" w:hAnsi="Cambria"/>
                <w:sz w:val="20"/>
                <w:szCs w:val="20"/>
                <w:lang w:val="pt-BR"/>
              </w:rPr>
              <w:t>O operador deve verificar o projeto dos dispositivos de alívio dos tanques que contenham produtos químicos</w:t>
            </w:r>
            <w:r w:rsidR="00EB410A">
              <w:rPr>
                <w:rFonts w:ascii="Cambria" w:hAnsi="Cambria"/>
                <w:sz w:val="20"/>
                <w:szCs w:val="20"/>
                <w:lang w:val="pt-BR"/>
              </w:rPr>
              <w:t xml:space="preserve"> inflamáveis, tomando as providê</w:t>
            </w:r>
            <w:r w:rsidRPr="00842C4D">
              <w:rPr>
                <w:rFonts w:ascii="Cambria" w:hAnsi="Cambria"/>
                <w:sz w:val="20"/>
                <w:szCs w:val="20"/>
                <w:lang w:val="pt-BR"/>
              </w:rPr>
              <w:t>ncias necessárias de acordo com as normas e boas práticas, caso sejam identificadas não conformidades. O resultado dessa verificação deve ser registrado em relatório.</w:t>
            </w:r>
          </w:p>
        </w:tc>
      </w:tr>
      <w:tr w:rsidR="00413E97" w:rsidRPr="00443AA3" w14:paraId="08A3D34F" w14:textId="77777777" w:rsidTr="00AC42C4">
        <w:trPr>
          <w:trHeight w:val="278"/>
        </w:trPr>
        <w:tc>
          <w:tcPr>
            <w:tcW w:w="3686" w:type="dxa"/>
            <w:gridSpan w:val="6"/>
            <w:shd w:val="clear" w:color="auto" w:fill="FFFFFF" w:themeFill="background1"/>
            <w:vAlign w:val="center"/>
          </w:tcPr>
          <w:p w14:paraId="40B1B9DE" w14:textId="37AEA9BD"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7D3442A0" w14:textId="55C36853" w:rsidR="00413E97" w:rsidRPr="00BA7412" w:rsidRDefault="008701D4" w:rsidP="00EB58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12</w:t>
            </w:r>
            <w:r w:rsidR="00413E97" w:rsidRPr="00413E97">
              <w:rPr>
                <w:rFonts w:ascii="Cambria" w:hAnsi="Cambria"/>
                <w:sz w:val="20"/>
                <w:szCs w:val="20"/>
                <w:lang w:val="pt-BR"/>
              </w:rPr>
              <w:t xml:space="preserve"> meses</w:t>
            </w:r>
          </w:p>
        </w:tc>
        <w:tc>
          <w:tcPr>
            <w:tcW w:w="3828" w:type="dxa"/>
            <w:gridSpan w:val="5"/>
            <w:shd w:val="clear" w:color="auto" w:fill="FFFFFF" w:themeFill="background1"/>
            <w:vAlign w:val="center"/>
          </w:tcPr>
          <w:p w14:paraId="58ECF12E" w14:textId="4DF910F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1E6E4D9A" w14:textId="40A7ED0F" w:rsidR="00413E97" w:rsidRPr="00C86DB3" w:rsidRDefault="00C86DB3" w:rsidP="005028FB">
            <w:pPr>
              <w:pStyle w:val="PargrafodaLista"/>
              <w:spacing w:before="120" w:after="120" w:line="240" w:lineRule="auto"/>
              <w:ind w:left="0"/>
              <w:contextualSpacing w:val="0"/>
              <w:rPr>
                <w:rFonts w:ascii="Cambria" w:hAnsi="Cambria"/>
                <w:sz w:val="20"/>
                <w:szCs w:val="20"/>
                <w:lang w:val="pt-BR"/>
              </w:rPr>
            </w:pPr>
            <w:r w:rsidRPr="00C86DB3">
              <w:rPr>
                <w:rFonts w:ascii="Cambria" w:hAnsi="Cambria"/>
                <w:sz w:val="20"/>
                <w:szCs w:val="20"/>
                <w:lang w:val="pt-BR"/>
              </w:rPr>
              <w:t>17/08/2019</w:t>
            </w:r>
          </w:p>
        </w:tc>
      </w:tr>
      <w:tr w:rsidR="00D31E71" w:rsidRPr="00443AA3" w14:paraId="3212B901" w14:textId="77777777" w:rsidTr="001134DA">
        <w:trPr>
          <w:trHeight w:val="278"/>
        </w:trPr>
        <w:tc>
          <w:tcPr>
            <w:tcW w:w="10206" w:type="dxa"/>
            <w:gridSpan w:val="16"/>
            <w:shd w:val="clear" w:color="auto" w:fill="FFFFFF" w:themeFill="background1"/>
            <w:vAlign w:val="center"/>
          </w:tcPr>
          <w:p w14:paraId="74245D0D" w14:textId="1EFD1DEB" w:rsidR="00D31E71" w:rsidRPr="002E4B99" w:rsidRDefault="00D31E7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sidR="00CD09A9">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D31E71" w:rsidRPr="005B3959" w14:paraId="4D4BD7A4" w14:textId="77777777" w:rsidTr="001134DA">
        <w:trPr>
          <w:trHeight w:val="278"/>
        </w:trPr>
        <w:tc>
          <w:tcPr>
            <w:tcW w:w="10206" w:type="dxa"/>
            <w:gridSpan w:val="16"/>
            <w:shd w:val="clear" w:color="auto" w:fill="FFFFFF" w:themeFill="background1"/>
            <w:vAlign w:val="center"/>
          </w:tcPr>
          <w:p w14:paraId="1A81D0AC" w14:textId="0D4CC2F0" w:rsidR="00CD09A9" w:rsidRDefault="0024088D"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O Operador deve:</w:t>
            </w:r>
          </w:p>
          <w:p w14:paraId="094057E7" w14:textId="5E88FD59" w:rsidR="0024088D" w:rsidRDefault="0024088D"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 Realizar um levantamento dos dispositivos de alívio </w:t>
            </w:r>
            <w:r w:rsidR="0076444E">
              <w:rPr>
                <w:rFonts w:ascii="Cambria" w:hAnsi="Cambria"/>
                <w:sz w:val="20"/>
                <w:szCs w:val="20"/>
                <w:lang w:val="pt-BR"/>
              </w:rPr>
              <w:t xml:space="preserve">de pressão </w:t>
            </w:r>
            <w:r>
              <w:rPr>
                <w:rFonts w:ascii="Cambria" w:hAnsi="Cambria"/>
                <w:sz w:val="20"/>
                <w:szCs w:val="20"/>
                <w:lang w:val="pt-BR"/>
              </w:rPr>
              <w:t>existentes nos tanques de produtos químicos inflamáveis;</w:t>
            </w:r>
          </w:p>
          <w:p w14:paraId="262B2F54" w14:textId="202C07B9" w:rsidR="0024088D" w:rsidRDefault="0024088D"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Identificar as normas e boas práticas utilizadas no projeto de dimensionamento destes dispositivos;</w:t>
            </w:r>
          </w:p>
          <w:p w14:paraId="20713B53" w14:textId="6F6D802A" w:rsidR="0024088D" w:rsidRDefault="0024088D"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lastRenderedPageBreak/>
              <w:t>- Determinar se o dimensionamento dos dispositivos atendeu aos requisitos d</w:t>
            </w:r>
            <w:r w:rsidRPr="0024088D">
              <w:rPr>
                <w:rFonts w:ascii="Cambria" w:hAnsi="Cambria"/>
                <w:sz w:val="20"/>
                <w:szCs w:val="20"/>
                <w:lang w:val="pt-BR"/>
              </w:rPr>
              <w:t>as normas e boas práticas</w:t>
            </w:r>
            <w:r>
              <w:rPr>
                <w:rFonts w:ascii="Cambria" w:hAnsi="Cambria"/>
                <w:sz w:val="20"/>
                <w:szCs w:val="20"/>
                <w:lang w:val="pt-BR"/>
              </w:rPr>
              <w:t>;</w:t>
            </w:r>
          </w:p>
          <w:p w14:paraId="56DAC34B" w14:textId="774E8792" w:rsidR="0024088D" w:rsidRDefault="0024088D"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 Identificar se os dispositivos instalados em campo atendem às especificações de projeto resultante do dimensionamento; </w:t>
            </w:r>
          </w:p>
          <w:p w14:paraId="6797D9C3" w14:textId="2936D994" w:rsidR="0024088D" w:rsidRPr="0024088D" w:rsidRDefault="0024088D" w:rsidP="0024088D">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 Tomar as providências necessárias (substituição do dispositivo ou abertura </w:t>
            </w:r>
            <w:r w:rsidRPr="0024088D">
              <w:rPr>
                <w:rFonts w:ascii="Cambria" w:hAnsi="Cambria"/>
                <w:sz w:val="20"/>
                <w:szCs w:val="20"/>
                <w:lang w:val="pt-BR"/>
              </w:rPr>
              <w:t>de Gestão de Mudança</w:t>
            </w:r>
            <w:r w:rsidR="004C5B65">
              <w:rPr>
                <w:rFonts w:ascii="Cambria" w:hAnsi="Cambria"/>
                <w:sz w:val="20"/>
                <w:szCs w:val="20"/>
                <w:lang w:val="pt-BR"/>
              </w:rPr>
              <w:t xml:space="preserve">) para </w:t>
            </w:r>
            <w:r w:rsidRPr="0024088D">
              <w:rPr>
                <w:rFonts w:ascii="Cambria" w:hAnsi="Cambria"/>
                <w:sz w:val="20"/>
                <w:szCs w:val="20"/>
                <w:lang w:val="pt-BR"/>
              </w:rPr>
              <w:t>os casos em que o dispositivo não atender às especificações;</w:t>
            </w:r>
          </w:p>
          <w:p w14:paraId="5EFF9039" w14:textId="5BBDFC58" w:rsidR="0024088D" w:rsidRDefault="004C5B65" w:rsidP="00E422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Registrar a realização de todas as etapas da verificação realizada em relatório rastreável, que deve ser apresentado à ANP.</w:t>
            </w:r>
          </w:p>
          <w:p w14:paraId="676CA03B" w14:textId="3D872CAD" w:rsidR="00072AF3" w:rsidRPr="00840011" w:rsidRDefault="00072AF3" w:rsidP="00D66274">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A recomendação se aplica </w:t>
            </w:r>
            <w:r w:rsidR="0024088D">
              <w:rPr>
                <w:rFonts w:ascii="Cambria" w:hAnsi="Cambria"/>
                <w:sz w:val="20"/>
                <w:szCs w:val="20"/>
                <w:lang w:val="pt-BR"/>
              </w:rPr>
              <w:t xml:space="preserve">somente </w:t>
            </w:r>
            <w:r>
              <w:rPr>
                <w:rFonts w:ascii="Cambria" w:hAnsi="Cambria"/>
                <w:sz w:val="20"/>
                <w:szCs w:val="20"/>
                <w:lang w:val="pt-BR"/>
              </w:rPr>
              <w:t xml:space="preserve">a Unidades de Produtos Químicos, </w:t>
            </w:r>
            <w:r w:rsidR="001F7F7B">
              <w:rPr>
                <w:rFonts w:ascii="Cambria" w:hAnsi="Cambria"/>
                <w:sz w:val="20"/>
                <w:szCs w:val="20"/>
                <w:lang w:val="pt-BR"/>
              </w:rPr>
              <w:t>uma vez que</w:t>
            </w:r>
            <w:r>
              <w:rPr>
                <w:rFonts w:ascii="Cambria" w:hAnsi="Cambria"/>
                <w:sz w:val="20"/>
                <w:szCs w:val="20"/>
                <w:lang w:val="pt-BR"/>
              </w:rPr>
              <w:t xml:space="preserve"> </w:t>
            </w:r>
            <w:r w:rsidR="004C5B65">
              <w:rPr>
                <w:rFonts w:ascii="Cambria" w:hAnsi="Cambria"/>
                <w:sz w:val="20"/>
                <w:szCs w:val="20"/>
                <w:lang w:val="pt-BR"/>
              </w:rPr>
              <w:t xml:space="preserve">a investigação identificou que, apesar de </w:t>
            </w:r>
            <w:r w:rsidR="00D66274">
              <w:rPr>
                <w:rFonts w:ascii="Cambria" w:hAnsi="Cambria"/>
                <w:sz w:val="20"/>
                <w:szCs w:val="20"/>
                <w:lang w:val="pt-BR"/>
              </w:rPr>
              <w:t>geralmente armazenarem</w:t>
            </w:r>
            <w:r w:rsidR="004C5B65">
              <w:rPr>
                <w:rFonts w:ascii="Cambria" w:hAnsi="Cambria"/>
                <w:sz w:val="20"/>
                <w:szCs w:val="20"/>
                <w:lang w:val="pt-BR"/>
              </w:rPr>
              <w:t xml:space="preserve"> produto inflamável</w:t>
            </w:r>
            <w:r w:rsidR="00D66274">
              <w:rPr>
                <w:rFonts w:ascii="Cambria" w:hAnsi="Cambria"/>
                <w:sz w:val="20"/>
                <w:szCs w:val="20"/>
                <w:lang w:val="pt-BR"/>
              </w:rPr>
              <w:t>, em muitos casos</w:t>
            </w:r>
            <w:r w:rsidR="004C5B65">
              <w:rPr>
                <w:rFonts w:ascii="Cambria" w:hAnsi="Cambria"/>
                <w:sz w:val="20"/>
                <w:szCs w:val="20"/>
                <w:lang w:val="pt-BR"/>
              </w:rPr>
              <w:t xml:space="preserve"> a percepção de risco associado a tais unidades é minimizada.</w:t>
            </w:r>
            <w:r>
              <w:rPr>
                <w:rFonts w:ascii="Cambria" w:hAnsi="Cambria"/>
                <w:sz w:val="20"/>
                <w:szCs w:val="20"/>
                <w:lang w:val="pt-BR"/>
              </w:rPr>
              <w:t xml:space="preserve"> </w:t>
            </w:r>
          </w:p>
        </w:tc>
      </w:tr>
      <w:tr w:rsidR="003A7D61" w:rsidRPr="00443AA3" w14:paraId="080F5D26" w14:textId="77777777" w:rsidTr="00AC42C4">
        <w:trPr>
          <w:trHeight w:val="278"/>
        </w:trPr>
        <w:tc>
          <w:tcPr>
            <w:tcW w:w="3686" w:type="dxa"/>
            <w:gridSpan w:val="6"/>
            <w:shd w:val="clear" w:color="auto" w:fill="FFFFFF" w:themeFill="background1"/>
            <w:vAlign w:val="center"/>
          </w:tcPr>
          <w:p w14:paraId="20CA7253" w14:textId="77777777" w:rsidR="003A7D61" w:rsidRPr="003A7D61" w:rsidRDefault="003A7D6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lastRenderedPageBreak/>
              <w:t>Abrangência da recomendação</w:t>
            </w:r>
          </w:p>
        </w:tc>
        <w:tc>
          <w:tcPr>
            <w:tcW w:w="6520" w:type="dxa"/>
            <w:gridSpan w:val="10"/>
            <w:shd w:val="clear" w:color="auto" w:fill="FFFFFF" w:themeFill="background1"/>
            <w:vAlign w:val="center"/>
          </w:tcPr>
          <w:p w14:paraId="1AE2C0E9" w14:textId="60CB2E84" w:rsidR="003A7D61" w:rsidRDefault="00CB4057" w:rsidP="005028FB">
            <w:pPr>
              <w:pStyle w:val="PargrafodaLista"/>
              <w:spacing w:before="120" w:after="120" w:line="240" w:lineRule="auto"/>
              <w:ind w:left="0"/>
              <w:contextualSpacing w:val="0"/>
              <w:rPr>
                <w:rFonts w:ascii="Cambria" w:hAnsi="Cambria"/>
                <w:sz w:val="20"/>
                <w:szCs w:val="20"/>
                <w:lang w:val="pt-BR"/>
              </w:rPr>
            </w:pPr>
            <w:r w:rsidRPr="003A7D61">
              <w:rPr>
                <w:rFonts w:ascii="Cambria" w:hAnsi="Cambria"/>
                <w:sz w:val="20"/>
                <w:szCs w:val="20"/>
                <w:lang w:val="pt-BR"/>
              </w:rPr>
              <w:t>Plataforma</w:t>
            </w:r>
            <w:r>
              <w:rPr>
                <w:rFonts w:ascii="Cambria" w:hAnsi="Cambria"/>
                <w:sz w:val="20"/>
                <w:szCs w:val="20"/>
                <w:lang w:val="pt-BR"/>
              </w:rPr>
              <w:t>s de produção</w:t>
            </w:r>
          </w:p>
        </w:tc>
      </w:tr>
      <w:tr w:rsidR="00EB44A8" w:rsidRPr="00443AA3" w14:paraId="65CE3A06" w14:textId="77777777" w:rsidTr="00F705F8">
        <w:trPr>
          <w:trHeight w:val="278"/>
        </w:trPr>
        <w:tc>
          <w:tcPr>
            <w:tcW w:w="2693" w:type="dxa"/>
            <w:gridSpan w:val="5"/>
            <w:shd w:val="clear" w:color="auto" w:fill="FFFFFF" w:themeFill="background1"/>
            <w:vAlign w:val="center"/>
          </w:tcPr>
          <w:p w14:paraId="45177DB5" w14:textId="71F98F07" w:rsidR="00EB44A8" w:rsidRPr="00F705F8" w:rsidRDefault="00EB44A8" w:rsidP="00F705F8">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0FF5DA8E" w14:textId="247F1D75" w:rsidR="00EB44A8" w:rsidRPr="00EB410A" w:rsidRDefault="00072AF3" w:rsidP="005028FB">
            <w:pPr>
              <w:pStyle w:val="PargrafodaLista"/>
              <w:spacing w:before="120" w:after="120" w:line="240" w:lineRule="auto"/>
              <w:ind w:left="0"/>
              <w:contextualSpacing w:val="0"/>
              <w:rPr>
                <w:rFonts w:ascii="Cambria" w:hAnsi="Cambria"/>
                <w:sz w:val="20"/>
                <w:szCs w:val="20"/>
                <w:lang w:val="pt-BR"/>
              </w:rPr>
            </w:pPr>
            <w:r w:rsidRPr="00EB410A">
              <w:rPr>
                <w:rFonts w:ascii="Cambria" w:hAnsi="Cambria"/>
                <w:sz w:val="20"/>
                <w:szCs w:val="20"/>
                <w:lang w:val="pt-BR"/>
              </w:rPr>
              <w:t>Escritório</w:t>
            </w:r>
          </w:p>
        </w:tc>
      </w:tr>
      <w:tr w:rsidR="002E4B99" w:rsidRPr="00443AA3" w14:paraId="644D274F" w14:textId="77777777" w:rsidTr="002E4B99">
        <w:trPr>
          <w:trHeight w:val="278"/>
        </w:trPr>
        <w:tc>
          <w:tcPr>
            <w:tcW w:w="10206" w:type="dxa"/>
            <w:gridSpan w:val="16"/>
            <w:shd w:val="clear" w:color="auto" w:fill="BFBFBF" w:themeFill="background1" w:themeFillShade="BF"/>
            <w:vAlign w:val="center"/>
          </w:tcPr>
          <w:p w14:paraId="6CDFE47B" w14:textId="5822A3F5" w:rsidR="002E4B99" w:rsidRPr="002E4B99" w:rsidRDefault="002E4B99" w:rsidP="002E4B9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w:t>
            </w:r>
            <w:r w:rsidR="00CD09A9">
              <w:rPr>
                <w:rFonts w:ascii="Cambria" w:hAnsi="Cambria"/>
                <w:b/>
                <w:sz w:val="20"/>
                <w:szCs w:val="20"/>
                <w:lang w:val="pt-BR"/>
              </w:rPr>
              <w:t xml:space="preserve"> / Evidências</w:t>
            </w:r>
          </w:p>
        </w:tc>
      </w:tr>
      <w:tr w:rsidR="002E4B99" w:rsidRPr="00443AA3" w14:paraId="57F32CA5" w14:textId="77777777" w:rsidTr="001134DA">
        <w:trPr>
          <w:trHeight w:val="278"/>
        </w:trPr>
        <w:tc>
          <w:tcPr>
            <w:tcW w:w="10206" w:type="dxa"/>
            <w:gridSpan w:val="16"/>
            <w:shd w:val="clear" w:color="auto" w:fill="FFFFFF" w:themeFill="background1"/>
            <w:vAlign w:val="center"/>
          </w:tcPr>
          <w:p w14:paraId="7C29501C" w14:textId="78D4C183" w:rsidR="002E4B99" w:rsidRPr="00AC42C4" w:rsidRDefault="003748DF" w:rsidP="003748DF">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highlight w:val="yellow"/>
                <w:lang w:val="pt-BR"/>
              </w:rPr>
              <w:t>A ser preenchido pelo auditado</w:t>
            </w:r>
          </w:p>
        </w:tc>
      </w:tr>
      <w:tr w:rsidR="00EE4B30" w:rsidRPr="00443AA3" w14:paraId="3E77C4BC" w14:textId="77777777" w:rsidTr="00EE4B30">
        <w:trPr>
          <w:trHeight w:val="278"/>
        </w:trPr>
        <w:tc>
          <w:tcPr>
            <w:tcW w:w="10206" w:type="dxa"/>
            <w:gridSpan w:val="16"/>
            <w:shd w:val="clear" w:color="auto" w:fill="BFBFBF" w:themeFill="background1" w:themeFillShade="BF"/>
            <w:vAlign w:val="center"/>
          </w:tcPr>
          <w:p w14:paraId="0D2423A2" w14:textId="0CF724A8" w:rsidR="00EE4B30" w:rsidRPr="002E4B99"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EE4B30" w:rsidRPr="00443AA3" w14:paraId="7F7E76C1" w14:textId="77777777" w:rsidTr="001134DA">
        <w:trPr>
          <w:trHeight w:val="278"/>
        </w:trPr>
        <w:tc>
          <w:tcPr>
            <w:tcW w:w="10206" w:type="dxa"/>
            <w:gridSpan w:val="16"/>
            <w:shd w:val="clear" w:color="auto" w:fill="FFFFFF" w:themeFill="background1"/>
            <w:vAlign w:val="center"/>
          </w:tcPr>
          <w:p w14:paraId="42A2ED82" w14:textId="3E4C054E" w:rsidR="00EE4B30" w:rsidRPr="002E4B99" w:rsidRDefault="00AC42C4" w:rsidP="003748DF">
            <w:pPr>
              <w:pStyle w:val="PargrafodaLista"/>
              <w:tabs>
                <w:tab w:val="left" w:pos="343"/>
              </w:tabs>
              <w:spacing w:before="120" w:after="120" w:line="240" w:lineRule="auto"/>
              <w:ind w:left="33"/>
              <w:contextualSpacing w:val="0"/>
              <w:rPr>
                <w:rFonts w:ascii="Cambria" w:hAnsi="Cambria"/>
                <w:b/>
                <w:sz w:val="20"/>
                <w:szCs w:val="20"/>
                <w:lang w:val="pt-BR"/>
              </w:rPr>
            </w:pPr>
            <w:r w:rsidRPr="006B78F2">
              <w:rPr>
                <w:rFonts w:ascii="Cambria" w:hAnsi="Cambria"/>
                <w:sz w:val="20"/>
                <w:szCs w:val="20"/>
                <w:highlight w:val="yellow"/>
                <w:lang w:val="pt-BR"/>
              </w:rPr>
              <w:t>A ser preenchido pelo auditor</w:t>
            </w:r>
            <w:r w:rsidR="006B78F2" w:rsidRPr="006B78F2">
              <w:rPr>
                <w:rFonts w:ascii="Cambria" w:hAnsi="Cambria"/>
                <w:sz w:val="20"/>
                <w:szCs w:val="20"/>
                <w:highlight w:val="yellow"/>
                <w:lang w:val="pt-BR"/>
              </w:rPr>
              <w:t xml:space="preserve"> (</w:t>
            </w:r>
            <w:r w:rsidR="003748DF">
              <w:rPr>
                <w:rFonts w:ascii="Cambria" w:hAnsi="Cambria"/>
                <w:sz w:val="20"/>
                <w:szCs w:val="20"/>
                <w:highlight w:val="yellow"/>
                <w:lang w:val="pt-BR"/>
              </w:rPr>
              <w:t>opcional</w:t>
            </w:r>
            <w:r w:rsidR="006B78F2" w:rsidRPr="006B78F2">
              <w:rPr>
                <w:rFonts w:ascii="Cambria" w:hAnsi="Cambria"/>
                <w:sz w:val="20"/>
                <w:szCs w:val="20"/>
                <w:highlight w:val="yellow"/>
                <w:lang w:val="pt-BR"/>
              </w:rPr>
              <w:t>)</w:t>
            </w:r>
          </w:p>
        </w:tc>
      </w:tr>
      <w:tr w:rsidR="00C00195" w:rsidRPr="00443AA3" w14:paraId="6659217B" w14:textId="77777777" w:rsidTr="00C00195">
        <w:trPr>
          <w:trHeight w:val="278"/>
        </w:trPr>
        <w:tc>
          <w:tcPr>
            <w:tcW w:w="10206" w:type="dxa"/>
            <w:gridSpan w:val="16"/>
            <w:shd w:val="clear" w:color="auto" w:fill="BFBFBF" w:themeFill="background1" w:themeFillShade="BF"/>
            <w:vAlign w:val="center"/>
          </w:tcPr>
          <w:p w14:paraId="39A41226" w14:textId="77951D01" w:rsidR="00C00195" w:rsidRPr="002E4B99" w:rsidRDefault="00E32E57" w:rsidP="00C00195">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7E6C12" w:rsidRPr="00443AA3" w14:paraId="2550AA6C" w14:textId="77777777" w:rsidTr="00A31F96">
        <w:trPr>
          <w:trHeight w:val="278"/>
        </w:trPr>
        <w:tc>
          <w:tcPr>
            <w:tcW w:w="2268" w:type="dxa"/>
            <w:gridSpan w:val="3"/>
            <w:shd w:val="clear" w:color="auto" w:fill="FFFFFF" w:themeFill="background1"/>
            <w:vAlign w:val="center"/>
          </w:tcPr>
          <w:p w14:paraId="67D889A4" w14:textId="77777777" w:rsidR="007E6C12" w:rsidRPr="00AC42C4" w:rsidRDefault="007E6C12" w:rsidP="00A31F96">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F71330">
              <w:rPr>
                <w:rFonts w:ascii="Cambria" w:hAnsi="Cambria" w:cs="Arial"/>
                <w:sz w:val="20"/>
                <w:szCs w:val="20"/>
                <w:highlight w:val="yellow"/>
                <w:lang w:val="pt-BR"/>
              </w:rPr>
            </w:r>
            <w:r w:rsidR="00F71330">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Implementada    </w:t>
            </w:r>
          </w:p>
        </w:tc>
        <w:tc>
          <w:tcPr>
            <w:tcW w:w="7938" w:type="dxa"/>
            <w:gridSpan w:val="13"/>
            <w:shd w:val="clear" w:color="auto" w:fill="FFFFFF" w:themeFill="background1"/>
            <w:vAlign w:val="center"/>
          </w:tcPr>
          <w:p w14:paraId="7925418D" w14:textId="77777777" w:rsidR="007E6C12" w:rsidRPr="00A31F96" w:rsidRDefault="007E6C12" w:rsidP="00A31F96">
            <w:pPr>
              <w:pStyle w:val="PargrafodaLista"/>
              <w:tabs>
                <w:tab w:val="left" w:pos="343"/>
              </w:tabs>
              <w:spacing w:before="120" w:after="120" w:line="240" w:lineRule="auto"/>
              <w:ind w:left="33"/>
              <w:contextualSpacing w:val="0"/>
              <w:rPr>
                <w:rFonts w:ascii="Cambria" w:hAnsi="Cambria"/>
                <w:sz w:val="20"/>
                <w:szCs w:val="20"/>
                <w:highlight w:val="yellow"/>
                <w:lang w:val="pt-BR"/>
              </w:rPr>
            </w:pPr>
            <w:r w:rsidRPr="00A31F96">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A31F96">
              <w:rPr>
                <w:rFonts w:ascii="Cambria" w:hAnsi="Cambria"/>
                <w:sz w:val="20"/>
                <w:szCs w:val="20"/>
                <w:highlight w:val="yellow"/>
                <w:lang w:val="pt-BR"/>
              </w:rPr>
              <w:t>perador</w:t>
            </w:r>
          </w:p>
        </w:tc>
      </w:tr>
      <w:tr w:rsidR="00FA6D57" w:rsidRPr="00443AA3" w14:paraId="34A81BA9" w14:textId="77777777" w:rsidTr="00FA6D57">
        <w:trPr>
          <w:trHeight w:val="278"/>
        </w:trPr>
        <w:tc>
          <w:tcPr>
            <w:tcW w:w="2410" w:type="dxa"/>
            <w:gridSpan w:val="4"/>
            <w:shd w:val="clear" w:color="auto" w:fill="FFFFFF" w:themeFill="background1"/>
            <w:vAlign w:val="center"/>
          </w:tcPr>
          <w:p w14:paraId="38DE6D68" w14:textId="59CDF2F0" w:rsidR="00FA6D57" w:rsidRPr="00AC42C4" w:rsidRDefault="00FA6D57"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F71330">
              <w:rPr>
                <w:rFonts w:ascii="Cambria" w:hAnsi="Cambria" w:cs="Arial"/>
                <w:sz w:val="20"/>
                <w:szCs w:val="20"/>
                <w:highlight w:val="yellow"/>
                <w:lang w:val="pt-BR"/>
              </w:rPr>
            </w:r>
            <w:r w:rsidR="00F71330">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317A1C9A" w14:textId="188C6329" w:rsidR="00FA6D57" w:rsidRPr="00AC42C4" w:rsidRDefault="00747A38"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D04D7F" w:rsidRPr="00443AA3" w14:paraId="3131A83D" w14:textId="77777777" w:rsidTr="0071565E">
        <w:trPr>
          <w:trHeight w:val="278"/>
        </w:trPr>
        <w:tc>
          <w:tcPr>
            <w:tcW w:w="10206" w:type="dxa"/>
            <w:gridSpan w:val="16"/>
            <w:shd w:val="clear" w:color="auto" w:fill="FFFFFF" w:themeFill="background1"/>
            <w:vAlign w:val="center"/>
          </w:tcPr>
          <w:p w14:paraId="471CA6A3" w14:textId="6FCC1E27" w:rsidR="00D04D7F" w:rsidRDefault="00D04D7F"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 xml:space="preserve">Análise: </w:t>
            </w:r>
          </w:p>
        </w:tc>
      </w:tr>
      <w:tr w:rsidR="00EE4B30" w:rsidRPr="00443AA3" w14:paraId="2C9D034B" w14:textId="77777777" w:rsidTr="00EE4B30">
        <w:trPr>
          <w:trHeight w:val="278"/>
        </w:trPr>
        <w:tc>
          <w:tcPr>
            <w:tcW w:w="10206" w:type="dxa"/>
            <w:gridSpan w:val="16"/>
            <w:shd w:val="clear" w:color="auto" w:fill="BFBFBF" w:themeFill="background1" w:themeFillShade="BF"/>
            <w:vAlign w:val="center"/>
          </w:tcPr>
          <w:p w14:paraId="70F61BFF" w14:textId="4DC875C0" w:rsidR="00EE4B30"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EE4B30" w:rsidRPr="00443AA3" w14:paraId="551EC9CF" w14:textId="77777777" w:rsidTr="00EE4B30">
        <w:trPr>
          <w:trHeight w:val="278"/>
        </w:trPr>
        <w:tc>
          <w:tcPr>
            <w:tcW w:w="992" w:type="dxa"/>
            <w:shd w:val="clear" w:color="auto" w:fill="FFFFFF" w:themeFill="background1"/>
            <w:vAlign w:val="center"/>
          </w:tcPr>
          <w:p w14:paraId="06A126D4" w14:textId="320992F4"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1"/>
            <w:shd w:val="clear" w:color="auto" w:fill="FFFFFF" w:themeFill="background1"/>
            <w:vAlign w:val="center"/>
          </w:tcPr>
          <w:p w14:paraId="0B5D94FC" w14:textId="534B905D" w:rsidR="00EE4B30" w:rsidRPr="00AC42C4" w:rsidRDefault="00AC42C4"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61592C4" w14:textId="1CA72C13"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683F07E5" w14:textId="2C1DAFE2" w:rsidR="00EE4B30" w:rsidRPr="00EE4B30" w:rsidRDefault="00EE4B30"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398616C7" w14:textId="77777777" w:rsidR="008707EC" w:rsidRDefault="008707EC" w:rsidP="00531335"/>
    <w:p w14:paraId="020063B5" w14:textId="77777777" w:rsidR="008A53E0" w:rsidRDefault="008A53E0" w:rsidP="00531335"/>
    <w:sectPr w:rsidR="008A53E0"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A4B6B" w14:textId="77777777" w:rsidR="0085280C" w:rsidRDefault="0085280C" w:rsidP="00DA4E40">
      <w:r>
        <w:separator/>
      </w:r>
    </w:p>
  </w:endnote>
  <w:endnote w:type="continuationSeparator" w:id="0">
    <w:p w14:paraId="6E351C07" w14:textId="77777777" w:rsidR="0085280C" w:rsidRDefault="0085280C"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E44B1" w14:textId="77777777" w:rsidR="00297D4B" w:rsidRDefault="00297D4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E43B"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826"/>
      <w:gridCol w:w="1609"/>
      <w:gridCol w:w="955"/>
      <w:gridCol w:w="1408"/>
    </w:tblGrid>
    <w:tr w:rsidR="0083563A" w:rsidRPr="009F2F74" w14:paraId="34594783" w14:textId="77777777" w:rsidTr="00A31F96">
      <w:trPr>
        <w:jc w:val="center"/>
      </w:trPr>
      <w:tc>
        <w:tcPr>
          <w:tcW w:w="1555" w:type="dxa"/>
        </w:tcPr>
        <w:p w14:paraId="427F089F" w14:textId="77777777" w:rsidR="0083563A" w:rsidRPr="00CF4E05" w:rsidRDefault="0083563A" w:rsidP="0083563A">
          <w:pPr>
            <w:pStyle w:val="Rodap"/>
            <w:jc w:val="center"/>
            <w:rPr>
              <w:rFonts w:ascii="Cambria" w:hAnsi="Cambria"/>
              <w:b/>
              <w:sz w:val="20"/>
            </w:rPr>
          </w:pPr>
          <w:r>
            <w:rPr>
              <w:rFonts w:ascii="Cambria" w:hAnsi="Cambria"/>
              <w:b/>
              <w:sz w:val="20"/>
            </w:rPr>
            <w:t>Auditoria</w:t>
          </w:r>
        </w:p>
      </w:tc>
      <w:tc>
        <w:tcPr>
          <w:tcW w:w="4837" w:type="dxa"/>
        </w:tcPr>
        <w:p w14:paraId="1E7AA0FE" w14:textId="77777777" w:rsidR="0083563A" w:rsidRDefault="0083563A" w:rsidP="0083563A">
          <w:pPr>
            <w:pStyle w:val="Rodap"/>
            <w:jc w:val="center"/>
            <w:rPr>
              <w:rFonts w:ascii="Cambria" w:hAnsi="Cambria"/>
              <w:b/>
              <w:sz w:val="20"/>
            </w:rPr>
          </w:pPr>
          <w:r>
            <w:rPr>
              <w:rFonts w:ascii="Cambria" w:hAnsi="Cambria"/>
              <w:b/>
              <w:sz w:val="20"/>
            </w:rPr>
            <w:t>Instalação</w:t>
          </w:r>
        </w:p>
      </w:tc>
      <w:tc>
        <w:tcPr>
          <w:tcW w:w="1609" w:type="dxa"/>
        </w:tcPr>
        <w:p w14:paraId="617EF2F5" w14:textId="77777777" w:rsidR="0083563A" w:rsidRPr="00CF4E05" w:rsidRDefault="0083563A" w:rsidP="0083563A">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55" w:type="dxa"/>
        </w:tcPr>
        <w:p w14:paraId="5E3B942B" w14:textId="77777777" w:rsidR="0083563A" w:rsidRPr="00CF4E05" w:rsidRDefault="0083563A" w:rsidP="0083563A">
          <w:pPr>
            <w:pStyle w:val="Rodap"/>
            <w:jc w:val="center"/>
            <w:rPr>
              <w:rFonts w:ascii="Cambria" w:hAnsi="Cambria"/>
              <w:b/>
              <w:sz w:val="20"/>
            </w:rPr>
          </w:pPr>
          <w:r w:rsidRPr="00CF4E05">
            <w:rPr>
              <w:rFonts w:ascii="Cambria" w:hAnsi="Cambria"/>
              <w:b/>
              <w:sz w:val="20"/>
            </w:rPr>
            <w:t>Página</w:t>
          </w:r>
        </w:p>
      </w:tc>
      <w:tc>
        <w:tcPr>
          <w:tcW w:w="1409" w:type="dxa"/>
        </w:tcPr>
        <w:p w14:paraId="2EB0166E" w14:textId="77777777" w:rsidR="0083563A" w:rsidRPr="00CF4E05" w:rsidRDefault="0083563A" w:rsidP="0083563A">
          <w:pPr>
            <w:pStyle w:val="Rodap"/>
            <w:jc w:val="center"/>
            <w:rPr>
              <w:rFonts w:ascii="Cambria" w:hAnsi="Cambria"/>
              <w:b/>
              <w:sz w:val="20"/>
            </w:rPr>
          </w:pPr>
          <w:r w:rsidRPr="00CF4E05">
            <w:rPr>
              <w:rFonts w:ascii="Cambria" w:hAnsi="Cambria"/>
              <w:b/>
              <w:sz w:val="20"/>
            </w:rPr>
            <w:t>Rubrica</w:t>
          </w:r>
        </w:p>
      </w:tc>
    </w:tr>
    <w:tr w:rsidR="0083563A" w:rsidRPr="009F2F74" w14:paraId="12AF3982" w14:textId="77777777" w:rsidTr="00A31F96">
      <w:trPr>
        <w:trHeight w:val="457"/>
        <w:jc w:val="center"/>
      </w:trPr>
      <w:tc>
        <w:tcPr>
          <w:tcW w:w="1555" w:type="dxa"/>
          <w:vAlign w:val="center"/>
        </w:tcPr>
        <w:p w14:paraId="6019465A" w14:textId="79A3B230" w:rsidR="0083563A" w:rsidRPr="00CF4E05" w:rsidRDefault="00297D4B" w:rsidP="0083563A">
          <w:pPr>
            <w:pStyle w:val="Rodap"/>
            <w:jc w:val="center"/>
            <w:rPr>
              <w:rFonts w:ascii="Cambria" w:hAnsi="Cambria"/>
              <w:sz w:val="20"/>
            </w:rPr>
          </w:pPr>
          <w:r>
            <w:rPr>
              <w:rFonts w:ascii="Cambria" w:hAnsi="Cambria"/>
              <w:sz w:val="20"/>
            </w:rPr>
            <w:t>AAAA</w:t>
          </w:r>
          <w:r w:rsidR="0083563A">
            <w:rPr>
              <w:rFonts w:ascii="Cambria" w:hAnsi="Cambria"/>
              <w:sz w:val="20"/>
            </w:rPr>
            <w:t>_SSM_XXX</w:t>
          </w:r>
        </w:p>
      </w:tc>
      <w:tc>
        <w:tcPr>
          <w:tcW w:w="4837" w:type="dxa"/>
        </w:tcPr>
        <w:p w14:paraId="44ACDBC3" w14:textId="77777777" w:rsidR="0083563A" w:rsidRDefault="0083563A" w:rsidP="0083563A">
          <w:pPr>
            <w:pStyle w:val="Rodap"/>
            <w:jc w:val="center"/>
            <w:rPr>
              <w:rFonts w:ascii="Cambria" w:hAnsi="Cambria"/>
              <w:sz w:val="20"/>
            </w:rPr>
          </w:pPr>
        </w:p>
      </w:tc>
      <w:tc>
        <w:tcPr>
          <w:tcW w:w="1609" w:type="dxa"/>
          <w:vAlign w:val="center"/>
        </w:tcPr>
        <w:p w14:paraId="3677A55A" w14:textId="77777777" w:rsidR="0083563A" w:rsidRPr="00CF4E05" w:rsidRDefault="0083563A" w:rsidP="0083563A">
          <w:pPr>
            <w:pStyle w:val="Rodap"/>
            <w:jc w:val="center"/>
            <w:rPr>
              <w:rFonts w:ascii="Cambria" w:hAnsi="Cambria"/>
              <w:sz w:val="20"/>
            </w:rPr>
          </w:pPr>
          <w:r w:rsidRPr="00CF4E05">
            <w:rPr>
              <w:rFonts w:ascii="Cambria" w:hAnsi="Cambria"/>
              <w:sz w:val="20"/>
            </w:rPr>
            <w:fldChar w:fldCharType="begin"/>
          </w:r>
          <w:r w:rsidRPr="00CF4E05">
            <w:rPr>
              <w:rFonts w:ascii="Cambria" w:hAnsi="Cambria"/>
              <w:sz w:val="20"/>
            </w:rPr>
            <w:instrText xml:space="preserve"> REF Recomendaçao \h  \* MERGEFORMAT </w:instrText>
          </w:r>
          <w:r w:rsidRPr="00CF4E05">
            <w:rPr>
              <w:rFonts w:ascii="Cambria" w:hAnsi="Cambria"/>
              <w:sz w:val="20"/>
            </w:rPr>
          </w:r>
          <w:r w:rsidRPr="00CF4E05">
            <w:rPr>
              <w:rFonts w:ascii="Cambria" w:hAnsi="Cambria"/>
              <w:sz w:val="20"/>
            </w:rPr>
            <w:fldChar w:fldCharType="separate"/>
          </w:r>
          <w:r w:rsidR="00DC29A7">
            <w:rPr>
              <w:rFonts w:ascii="Cambria" w:hAnsi="Cambria"/>
              <w:sz w:val="20"/>
            </w:rPr>
            <w:t>P-20_</w:t>
          </w:r>
          <w:r w:rsidR="00DC29A7" w:rsidRPr="00D31E71">
            <w:rPr>
              <w:rFonts w:ascii="Cambria" w:hAnsi="Cambria"/>
              <w:sz w:val="20"/>
            </w:rPr>
            <w:t>R</w:t>
          </w:r>
          <w:r w:rsidR="00DC29A7">
            <w:rPr>
              <w:rFonts w:ascii="Cambria" w:hAnsi="Cambria"/>
              <w:sz w:val="20"/>
            </w:rPr>
            <w:t>03</w:t>
          </w:r>
          <w:r w:rsidRPr="00CF4E05">
            <w:rPr>
              <w:rFonts w:ascii="Cambria" w:hAnsi="Cambria"/>
              <w:sz w:val="20"/>
            </w:rPr>
            <w:fldChar w:fldCharType="end"/>
          </w:r>
        </w:p>
      </w:tc>
      <w:tc>
        <w:tcPr>
          <w:tcW w:w="955" w:type="dxa"/>
          <w:vAlign w:val="center"/>
        </w:tcPr>
        <w:p w14:paraId="270F3B8C" w14:textId="77777777" w:rsidR="0083563A" w:rsidRPr="00CF4E05" w:rsidRDefault="0083563A" w:rsidP="0083563A">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297D4B">
            <w:rPr>
              <w:rFonts w:ascii="Cambria" w:hAnsi="Cambria"/>
              <w:bCs/>
              <w:noProof/>
              <w:sz w:val="20"/>
            </w:rPr>
            <w:t>1</w:t>
          </w:r>
          <w:r w:rsidRPr="00CF4E05">
            <w:rPr>
              <w:rFonts w:ascii="Cambria" w:hAnsi="Cambria"/>
              <w:bCs/>
              <w:sz w:val="20"/>
            </w:rPr>
            <w:fldChar w:fldCharType="end"/>
          </w:r>
          <w:r w:rsidRPr="00CF4E05">
            <w:rPr>
              <w:rFonts w:ascii="Cambria" w:hAnsi="Cambria"/>
              <w:sz w:val="20"/>
            </w:rPr>
            <w:t xml:space="preserve"> de </w:t>
          </w:r>
          <w:r w:rsidRPr="00CF4E05">
            <w:rPr>
              <w:rFonts w:ascii="Cambria" w:hAnsi="Cambria"/>
              <w:bCs/>
              <w:sz w:val="20"/>
            </w:rPr>
            <w:fldChar w:fldCharType="begin"/>
          </w:r>
          <w:r w:rsidRPr="00CF4E05">
            <w:rPr>
              <w:rFonts w:ascii="Cambria" w:hAnsi="Cambria"/>
              <w:bCs/>
              <w:sz w:val="20"/>
            </w:rPr>
            <w:instrText>NUMPAGES  \* Arabic  \* MERGEFORMAT</w:instrText>
          </w:r>
          <w:r w:rsidRPr="00CF4E05">
            <w:rPr>
              <w:rFonts w:ascii="Cambria" w:hAnsi="Cambria"/>
              <w:bCs/>
              <w:sz w:val="20"/>
            </w:rPr>
            <w:fldChar w:fldCharType="separate"/>
          </w:r>
          <w:r w:rsidR="00297D4B">
            <w:rPr>
              <w:rFonts w:ascii="Cambria" w:hAnsi="Cambria"/>
              <w:bCs/>
              <w:noProof/>
              <w:sz w:val="20"/>
            </w:rPr>
            <w:t>2</w:t>
          </w:r>
          <w:r w:rsidRPr="00CF4E05">
            <w:rPr>
              <w:rFonts w:ascii="Cambria" w:hAnsi="Cambria"/>
              <w:bCs/>
              <w:sz w:val="20"/>
            </w:rPr>
            <w:fldChar w:fldCharType="end"/>
          </w:r>
        </w:p>
      </w:tc>
      <w:tc>
        <w:tcPr>
          <w:tcW w:w="1409" w:type="dxa"/>
          <w:vAlign w:val="center"/>
        </w:tcPr>
        <w:p w14:paraId="0E6C3923" w14:textId="77777777" w:rsidR="0083563A" w:rsidRPr="00CF4E05" w:rsidRDefault="0083563A" w:rsidP="0083563A">
          <w:pPr>
            <w:pStyle w:val="Rodap"/>
            <w:jc w:val="center"/>
            <w:rPr>
              <w:rFonts w:ascii="Cambria" w:hAnsi="Cambria"/>
              <w:sz w:val="16"/>
              <w:szCs w:val="16"/>
            </w:rPr>
          </w:pPr>
        </w:p>
        <w:p w14:paraId="68D8ADEF" w14:textId="77777777" w:rsidR="0083563A" w:rsidRPr="00CF4E05" w:rsidRDefault="0083563A" w:rsidP="0083563A">
          <w:pPr>
            <w:pStyle w:val="Rodap"/>
            <w:jc w:val="center"/>
            <w:rPr>
              <w:rFonts w:ascii="Cambria" w:hAnsi="Cambria"/>
              <w:sz w:val="16"/>
              <w:szCs w:val="16"/>
            </w:rPr>
          </w:pPr>
        </w:p>
        <w:p w14:paraId="5B9588D5" w14:textId="77777777" w:rsidR="0083563A" w:rsidRPr="00CF4E05" w:rsidRDefault="0083563A" w:rsidP="0083563A">
          <w:pPr>
            <w:pStyle w:val="Rodap"/>
            <w:jc w:val="center"/>
            <w:rPr>
              <w:rFonts w:ascii="Cambria" w:hAnsi="Cambria"/>
              <w:sz w:val="16"/>
              <w:szCs w:val="16"/>
            </w:rPr>
          </w:pPr>
        </w:p>
      </w:tc>
    </w:tr>
  </w:tbl>
  <w:p w14:paraId="0CE5A65C"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13F5C" w14:textId="77777777" w:rsidR="00297D4B" w:rsidRDefault="00297D4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DB79C" w14:textId="77777777" w:rsidR="0085280C" w:rsidRDefault="0085280C" w:rsidP="00DA4E40">
      <w:r>
        <w:separator/>
      </w:r>
    </w:p>
  </w:footnote>
  <w:footnote w:type="continuationSeparator" w:id="0">
    <w:p w14:paraId="5715CD7F" w14:textId="77777777" w:rsidR="0085280C" w:rsidRDefault="0085280C"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DB6E1" w14:textId="77777777" w:rsidR="00297D4B" w:rsidRDefault="00297D4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35756EA5" w14:textId="77777777" w:rsidTr="00A4237E">
      <w:trPr>
        <w:trHeight w:val="552"/>
      </w:trPr>
      <w:tc>
        <w:tcPr>
          <w:tcW w:w="1069" w:type="dxa"/>
        </w:tcPr>
        <w:p w14:paraId="5FA05494"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63A7948C" wp14:editId="2EFAA61D">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4AA4F5C5" w14:textId="19F5B030"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75226EE1"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62C8" w14:textId="77777777" w:rsidR="00297D4B" w:rsidRDefault="00297D4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076F"/>
    <w:rsid w:val="00035427"/>
    <w:rsid w:val="0007224E"/>
    <w:rsid w:val="00072AF3"/>
    <w:rsid w:val="00084C6B"/>
    <w:rsid w:val="0009333F"/>
    <w:rsid w:val="000A12EA"/>
    <w:rsid w:val="000D1D64"/>
    <w:rsid w:val="000D4B8B"/>
    <w:rsid w:val="000E5D1B"/>
    <w:rsid w:val="000E7793"/>
    <w:rsid w:val="000F58E7"/>
    <w:rsid w:val="00134A6D"/>
    <w:rsid w:val="001370CB"/>
    <w:rsid w:val="00154BA2"/>
    <w:rsid w:val="001A3BAF"/>
    <w:rsid w:val="001F773D"/>
    <w:rsid w:val="001F7F7B"/>
    <w:rsid w:val="00211D2B"/>
    <w:rsid w:val="002171EA"/>
    <w:rsid w:val="00233D1C"/>
    <w:rsid w:val="0024088D"/>
    <w:rsid w:val="0024585B"/>
    <w:rsid w:val="00247D85"/>
    <w:rsid w:val="00285C13"/>
    <w:rsid w:val="002875EA"/>
    <w:rsid w:val="00297D4B"/>
    <w:rsid w:val="002D2549"/>
    <w:rsid w:val="002D42F6"/>
    <w:rsid w:val="002E4B99"/>
    <w:rsid w:val="0035028A"/>
    <w:rsid w:val="00350C38"/>
    <w:rsid w:val="0035240F"/>
    <w:rsid w:val="003748DF"/>
    <w:rsid w:val="0037720B"/>
    <w:rsid w:val="00393064"/>
    <w:rsid w:val="003A7D61"/>
    <w:rsid w:val="003C599B"/>
    <w:rsid w:val="003E5317"/>
    <w:rsid w:val="004014FB"/>
    <w:rsid w:val="00413E97"/>
    <w:rsid w:val="00424436"/>
    <w:rsid w:val="00443AA3"/>
    <w:rsid w:val="00473BCA"/>
    <w:rsid w:val="004C5B65"/>
    <w:rsid w:val="004C64EC"/>
    <w:rsid w:val="005028FB"/>
    <w:rsid w:val="00531335"/>
    <w:rsid w:val="00543D74"/>
    <w:rsid w:val="0054449E"/>
    <w:rsid w:val="00563932"/>
    <w:rsid w:val="00586585"/>
    <w:rsid w:val="005B0D44"/>
    <w:rsid w:val="005B3959"/>
    <w:rsid w:val="005E7DC7"/>
    <w:rsid w:val="005F516E"/>
    <w:rsid w:val="006438A5"/>
    <w:rsid w:val="00651B01"/>
    <w:rsid w:val="00665AA4"/>
    <w:rsid w:val="00672EA9"/>
    <w:rsid w:val="00677E06"/>
    <w:rsid w:val="00685C3A"/>
    <w:rsid w:val="00692681"/>
    <w:rsid w:val="00694853"/>
    <w:rsid w:val="006B78F2"/>
    <w:rsid w:val="006E3163"/>
    <w:rsid w:val="006E7F38"/>
    <w:rsid w:val="0071608C"/>
    <w:rsid w:val="0073371D"/>
    <w:rsid w:val="00747A38"/>
    <w:rsid w:val="0075016E"/>
    <w:rsid w:val="00754867"/>
    <w:rsid w:val="0076444E"/>
    <w:rsid w:val="00766033"/>
    <w:rsid w:val="007767AA"/>
    <w:rsid w:val="00786617"/>
    <w:rsid w:val="007D2310"/>
    <w:rsid w:val="007E6C12"/>
    <w:rsid w:val="007F6C97"/>
    <w:rsid w:val="0083563A"/>
    <w:rsid w:val="00840011"/>
    <w:rsid w:val="00842C4D"/>
    <w:rsid w:val="0085280C"/>
    <w:rsid w:val="008534D3"/>
    <w:rsid w:val="008553C8"/>
    <w:rsid w:val="00856647"/>
    <w:rsid w:val="008701D4"/>
    <w:rsid w:val="008707EC"/>
    <w:rsid w:val="008A53E0"/>
    <w:rsid w:val="008C3BE5"/>
    <w:rsid w:val="008D28B6"/>
    <w:rsid w:val="008E31D9"/>
    <w:rsid w:val="00976EC0"/>
    <w:rsid w:val="009B3896"/>
    <w:rsid w:val="009B7C18"/>
    <w:rsid w:val="00A4237E"/>
    <w:rsid w:val="00A4522D"/>
    <w:rsid w:val="00A51F57"/>
    <w:rsid w:val="00A535A6"/>
    <w:rsid w:val="00A70018"/>
    <w:rsid w:val="00A91961"/>
    <w:rsid w:val="00AC42C4"/>
    <w:rsid w:val="00B00F67"/>
    <w:rsid w:val="00B076C3"/>
    <w:rsid w:val="00B103E0"/>
    <w:rsid w:val="00B40A79"/>
    <w:rsid w:val="00B44350"/>
    <w:rsid w:val="00B5559E"/>
    <w:rsid w:val="00B84C7D"/>
    <w:rsid w:val="00B92673"/>
    <w:rsid w:val="00B92EE4"/>
    <w:rsid w:val="00BA588E"/>
    <w:rsid w:val="00BA6C53"/>
    <w:rsid w:val="00BA7412"/>
    <w:rsid w:val="00BD7427"/>
    <w:rsid w:val="00BE535C"/>
    <w:rsid w:val="00C00195"/>
    <w:rsid w:val="00C01B13"/>
    <w:rsid w:val="00C06337"/>
    <w:rsid w:val="00C37710"/>
    <w:rsid w:val="00C8093D"/>
    <w:rsid w:val="00C86DB3"/>
    <w:rsid w:val="00C91242"/>
    <w:rsid w:val="00CB4057"/>
    <w:rsid w:val="00CD09A9"/>
    <w:rsid w:val="00CD70A7"/>
    <w:rsid w:val="00CF19A9"/>
    <w:rsid w:val="00CF4E05"/>
    <w:rsid w:val="00D04D7F"/>
    <w:rsid w:val="00D31E71"/>
    <w:rsid w:val="00D37830"/>
    <w:rsid w:val="00D536AF"/>
    <w:rsid w:val="00D5397A"/>
    <w:rsid w:val="00D66274"/>
    <w:rsid w:val="00D967F3"/>
    <w:rsid w:val="00DA4E40"/>
    <w:rsid w:val="00DA5DCD"/>
    <w:rsid w:val="00DC28B2"/>
    <w:rsid w:val="00DC29A7"/>
    <w:rsid w:val="00DF1B1B"/>
    <w:rsid w:val="00DF3196"/>
    <w:rsid w:val="00E32E57"/>
    <w:rsid w:val="00E40610"/>
    <w:rsid w:val="00E422DC"/>
    <w:rsid w:val="00E7649F"/>
    <w:rsid w:val="00E77404"/>
    <w:rsid w:val="00E832AC"/>
    <w:rsid w:val="00E8629B"/>
    <w:rsid w:val="00EB0006"/>
    <w:rsid w:val="00EB2053"/>
    <w:rsid w:val="00EB410A"/>
    <w:rsid w:val="00EB44A8"/>
    <w:rsid w:val="00EB58DC"/>
    <w:rsid w:val="00EC5D0D"/>
    <w:rsid w:val="00ED37B7"/>
    <w:rsid w:val="00EE1F99"/>
    <w:rsid w:val="00EE21BA"/>
    <w:rsid w:val="00EE4B30"/>
    <w:rsid w:val="00EF1417"/>
    <w:rsid w:val="00F13FE7"/>
    <w:rsid w:val="00F207BA"/>
    <w:rsid w:val="00F25877"/>
    <w:rsid w:val="00F44973"/>
    <w:rsid w:val="00F60077"/>
    <w:rsid w:val="00F705F8"/>
    <w:rsid w:val="00F71330"/>
    <w:rsid w:val="00F809DC"/>
    <w:rsid w:val="00FA6D57"/>
    <w:rsid w:val="00FE068F"/>
    <w:rsid w:val="00FF0D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1BA2D8"/>
  <w15:chartTrackingRefBased/>
  <w15:docId w15:val="{77D04231-37E0-4847-81D8-0F90B0EC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98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8E1C2-8B80-4491-BDEC-1BBD0269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795</Words>
  <Characters>4293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8</cp:revision>
  <dcterms:created xsi:type="dcterms:W3CDTF">2018-07-10T13:04:00Z</dcterms:created>
  <dcterms:modified xsi:type="dcterms:W3CDTF">2019-08-27T19:18:00Z</dcterms:modified>
</cp:coreProperties>
</file>