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2956B2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01DCEDB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B9665F" w14:textId="77777777" w:rsidTr="00F705F8">
        <w:tc>
          <w:tcPr>
            <w:tcW w:w="2693" w:type="dxa"/>
            <w:gridSpan w:val="4"/>
            <w:vAlign w:val="center"/>
          </w:tcPr>
          <w:p w14:paraId="293C3E2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07289A70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75EE9B9D" w14:textId="77777777" w:rsidTr="00EE21BA">
        <w:tc>
          <w:tcPr>
            <w:tcW w:w="4820" w:type="dxa"/>
            <w:gridSpan w:val="7"/>
            <w:vAlign w:val="center"/>
          </w:tcPr>
          <w:p w14:paraId="52992061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577C0938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4C7A9D55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16F2A69D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6F66EBAA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DD4DA4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9C6ECEC" w14:textId="77777777" w:rsidR="00233D1C" w:rsidRDefault="007215B0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i/>
                <w:sz w:val="20"/>
                <w:szCs w:val="20"/>
                <w:lang w:val="pt-BR"/>
              </w:rPr>
            </w:pPr>
            <w:r w:rsidRPr="007215B0">
              <w:rPr>
                <w:rFonts w:ascii="Cambria" w:hAnsi="Cambria"/>
                <w:sz w:val="20"/>
                <w:szCs w:val="20"/>
                <w:lang w:val="pt-BR"/>
              </w:rPr>
              <w:t xml:space="preserve">CR16: Falta de plano para inspeções, calibração e testes para a válvula de segurança da bomba de </w:t>
            </w:r>
            <w:proofErr w:type="spellStart"/>
            <w:r w:rsidRPr="00A56F87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  <w:p w14:paraId="6F7C01BB" w14:textId="77777777" w:rsidR="004A00B4" w:rsidRDefault="004A00B4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A00B4">
              <w:rPr>
                <w:rFonts w:ascii="Cambria" w:hAnsi="Cambria"/>
                <w:sz w:val="20"/>
                <w:szCs w:val="20"/>
                <w:lang w:val="pt-BR"/>
              </w:rPr>
              <w:t xml:space="preserve">CR17: Falta de intertravamentos na bomba de </w:t>
            </w:r>
            <w:proofErr w:type="spellStart"/>
            <w:r w:rsidRPr="004A00B4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  <w:p w14:paraId="035B67A3" w14:textId="77777777" w:rsidR="004A00B4" w:rsidRDefault="004A00B4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i/>
                <w:sz w:val="20"/>
                <w:szCs w:val="20"/>
                <w:lang w:val="pt-BR"/>
              </w:rPr>
            </w:pPr>
            <w:r w:rsidRPr="004A00B4">
              <w:rPr>
                <w:rFonts w:ascii="Cambria" w:hAnsi="Cambria"/>
                <w:sz w:val="20"/>
                <w:szCs w:val="20"/>
                <w:lang w:val="pt-BR"/>
              </w:rPr>
              <w:t xml:space="preserve">CR18: Falta de alarme de pressão alta na descarga da bomba de </w:t>
            </w:r>
            <w:proofErr w:type="spellStart"/>
            <w:r w:rsidRPr="004A00B4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  <w:p w14:paraId="64A37FB3" w14:textId="77777777" w:rsidR="00C86219" w:rsidRPr="00677E06" w:rsidRDefault="00C86219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C86219">
              <w:rPr>
                <w:rFonts w:ascii="Cambria" w:hAnsi="Cambria"/>
                <w:sz w:val="20"/>
                <w:szCs w:val="20"/>
                <w:lang w:val="pt-BR"/>
              </w:rPr>
              <w:t>CR20: Sistema sem folga para a instalação de raquetes</w:t>
            </w:r>
          </w:p>
        </w:tc>
      </w:tr>
      <w:tr w:rsidR="00EB0006" w:rsidRPr="00443AA3" w14:paraId="71B21DB0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A6BB957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529948A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929D608" w14:textId="77777777" w:rsidR="00596375" w:rsidRPr="00F912D6" w:rsidRDefault="004A00B4" w:rsidP="0059637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Causa raiz nº 16: </w:t>
            </w:r>
            <w:r w:rsidR="00596375"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A pressão de projeto do sistema do sistema de transferência de carga era inferior à pressão de abertura da válvula de alívio existente no conjunto de bomba de </w:t>
            </w:r>
            <w:proofErr w:type="spellStart"/>
            <w:r w:rsidR="00596375" w:rsidRPr="00F912D6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="00596375"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</w:p>
          <w:p w14:paraId="3504DCBB" w14:textId="77777777" w:rsidR="00596375" w:rsidRPr="00F912D6" w:rsidRDefault="00596375" w:rsidP="0059637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O último certificado de calibração apresentado mostrava uma pressão de abertura ajustada de valor igual à da pressão de projeto da linha. Neste documento, o campo “Próxima inspeção” constante deste documento não foi preenchido.</w:t>
            </w:r>
          </w:p>
          <w:p w14:paraId="1694B406" w14:textId="77777777" w:rsidR="00596375" w:rsidRPr="00F912D6" w:rsidRDefault="00596375" w:rsidP="0059637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Foi evidenciado que não existia um plano e procedimentos definidos para inspeção, teste e manutenção para a válvula de segurança.</w:t>
            </w:r>
          </w:p>
          <w:p w14:paraId="61CB0599" w14:textId="77777777" w:rsidR="00596375" w:rsidRPr="00F912D6" w:rsidRDefault="00596375" w:rsidP="00596375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912D6">
              <w:rPr>
                <w:rFonts w:ascii="Cambria" w:hAnsi="Cambria"/>
                <w:sz w:val="20"/>
              </w:rPr>
              <w:t>Por não haver sistema de intertravamento e alarme na descarga dessa bomba, a única salvaguarda existente para o caso de descarga bloqueada era a válvula de alívio, que tampouco estava adequada.</w:t>
            </w:r>
          </w:p>
          <w:p w14:paraId="44A299FF" w14:textId="77777777" w:rsidR="009D0C4C" w:rsidRPr="00F912D6" w:rsidRDefault="004A00B4" w:rsidP="009D0C4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912D6">
              <w:rPr>
                <w:rFonts w:ascii="Cambria" w:hAnsi="Cambria"/>
                <w:sz w:val="20"/>
              </w:rPr>
              <w:t>Causa raiz nº 17:</w:t>
            </w:r>
            <w:r w:rsidR="002E24E0" w:rsidRPr="00F912D6">
              <w:t xml:space="preserve"> </w:t>
            </w:r>
            <w:r w:rsidR="009D0C4C" w:rsidRPr="00F912D6">
              <w:rPr>
                <w:rFonts w:ascii="Cambria" w:hAnsi="Cambria"/>
                <w:sz w:val="20"/>
              </w:rPr>
              <w:t xml:space="preserve">A bomba de </w:t>
            </w:r>
            <w:proofErr w:type="spellStart"/>
            <w:r w:rsidR="009D0C4C" w:rsidRPr="00F912D6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9D0C4C" w:rsidRPr="00F912D6">
              <w:rPr>
                <w:rFonts w:ascii="Cambria" w:hAnsi="Cambria"/>
                <w:sz w:val="20"/>
              </w:rPr>
              <w:t xml:space="preserve"> não era dotada de intertravamento para efetuar seu desligamento como medida preventiva ou mitigadora a cenários de perda de contenção.</w:t>
            </w:r>
          </w:p>
          <w:p w14:paraId="2CFA9631" w14:textId="77777777" w:rsidR="004A00B4" w:rsidRPr="00F912D6" w:rsidRDefault="009D0C4C" w:rsidP="009D0C4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Normas e boas práticas recomendam a adoção de intertravamento em equipamentos que lidam com hidrocarbonetos.</w:t>
            </w:r>
          </w:p>
          <w:p w14:paraId="2460A560" w14:textId="77777777" w:rsidR="00592527" w:rsidRPr="00F912D6" w:rsidRDefault="00592527" w:rsidP="0059252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Causa raiz nº 18: A bomba de </w:t>
            </w:r>
            <w:proofErr w:type="spellStart"/>
            <w:r w:rsidRPr="00F912D6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 era capaz de fornecer na saída uma pressão superior à pressão máxima admissível do sistema na saída e não era dotada de nenhum intertravamento que interrompesse sua operação em caso de pressão alta na descarga. Dessa maneira, a prevenção de uma perda de contenção causada por ruptura em caso de </w:t>
            </w:r>
            <w:proofErr w:type="spellStart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sobrepressão</w:t>
            </w:r>
            <w:proofErr w:type="spell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 na descarga da bomba dependia totalmente da identificação pelo operador da ocorrência de pressão acima do limite seguro e atuação </w:t>
            </w:r>
            <w:proofErr w:type="gramStart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do mesmo</w:t>
            </w:r>
            <w:proofErr w:type="gram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2AB529F8" w14:textId="77777777" w:rsidR="00592527" w:rsidRPr="00F912D6" w:rsidRDefault="00592527" w:rsidP="0059252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A IHM exibia a pressão de descarga da bomba de </w:t>
            </w:r>
            <w:proofErr w:type="spellStart"/>
            <w:r w:rsidRPr="00F912D6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 em uma janela pop </w:t>
            </w:r>
            <w:proofErr w:type="spellStart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up</w:t>
            </w:r>
            <w:proofErr w:type="spell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 e a escala de indicação de pressão era inadequada e não explicitava o valor da pressão máxima de operação do sistema. Adicionalmente, não havia documento que estabelecesse o valor de pressão máxima de operação do sistema de cargas que devia ser observado pelo operador. Tal informação não constava no procedimento operacional no sistema de cargas.</w:t>
            </w:r>
          </w:p>
          <w:p w14:paraId="0317DD9F" w14:textId="77777777" w:rsidR="007D70EB" w:rsidRPr="00F912D6" w:rsidRDefault="00592527" w:rsidP="0059252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A identificação do desvio no parâmetro de processo </w:t>
            </w:r>
            <w:proofErr w:type="gramStart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dependia portanto</w:t>
            </w:r>
            <w:proofErr w:type="gramEnd"/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 xml:space="preserve"> do acompanhamento constante da pressão de descarga e de uma avaliação do operador de marinha.</w:t>
            </w:r>
          </w:p>
          <w:p w14:paraId="459DDE06" w14:textId="77777777" w:rsidR="006A4A4C" w:rsidRPr="00F912D6" w:rsidRDefault="006A4A4C" w:rsidP="006A4A4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912D6">
              <w:rPr>
                <w:rFonts w:ascii="Cambria" w:hAnsi="Cambria"/>
                <w:sz w:val="20"/>
              </w:rPr>
              <w:t>Causa raiz nº 20: As linhas do sistema de transferência de carga não atendiam a requisitos mandatórios para as linhas da planta de processo, embora todas essas tubulações trabalhem com hidrocarbonetos.</w:t>
            </w:r>
          </w:p>
          <w:p w14:paraId="545B6E0A" w14:textId="77777777" w:rsidR="006A4A4C" w:rsidRPr="00F912D6" w:rsidRDefault="006A4A4C" w:rsidP="006A4A4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2D6">
              <w:rPr>
                <w:rFonts w:ascii="Cambria" w:hAnsi="Cambria"/>
                <w:sz w:val="20"/>
                <w:szCs w:val="20"/>
                <w:lang w:val="pt-BR"/>
              </w:rPr>
              <w:t>A falha em identificar para a casa de bombas os mesmos padrões de engenharia utilizados para a planta de processo durante o projeto de conversão impediu a instalação da raquete adequada, contribuindo com a inserção na linha de um elemento com pressão admissível provavelmente abaixo da PMTA do sistema.</w:t>
            </w:r>
          </w:p>
        </w:tc>
      </w:tr>
      <w:tr w:rsidR="005C0780" w:rsidRPr="00443AA3" w14:paraId="39DCCE83" w14:textId="77777777" w:rsidTr="00640D53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D851265" w14:textId="77777777" w:rsidR="005C0780" w:rsidRPr="00BA7412" w:rsidRDefault="005C0780" w:rsidP="005C078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5D7A88C" w14:textId="77777777" w:rsidR="005C0780" w:rsidRPr="00D31E71" w:rsidRDefault="005C0780" w:rsidP="005C078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30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D69CED6" w14:textId="75F51E6C" w:rsidR="005C0780" w:rsidRPr="00D31E71" w:rsidRDefault="005C0780" w:rsidP="005C078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F30C8A0" w14:textId="579D0002" w:rsidR="005C0780" w:rsidRPr="00D31E71" w:rsidRDefault="005C0780" w:rsidP="005C078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51FA3D4" w14:textId="3D16206C" w:rsidR="005C0780" w:rsidRPr="00D31E71" w:rsidRDefault="005C0780" w:rsidP="005C078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A216FA" w:rsidRPr="00443AA3" w14:paraId="6C8B9B89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6EB50E7" w14:textId="77777777" w:rsidR="00A216FA" w:rsidRPr="0024585B" w:rsidRDefault="00A216F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A00B4">
              <w:rPr>
                <w:rFonts w:ascii="Cambria" w:hAnsi="Cambria"/>
                <w:sz w:val="20"/>
                <w:szCs w:val="20"/>
                <w:lang w:val="pt-BR"/>
              </w:rPr>
              <w:t>Atualizar os sistemas previamente existentes em navios convertidos para plataformas, por ocasião da conversão, considerando os mesmos critérios de projeto e filosofia de segurança da planta de processamento.</w:t>
            </w:r>
          </w:p>
        </w:tc>
      </w:tr>
      <w:tr w:rsidR="00A216FA" w:rsidRPr="00443AA3" w14:paraId="0A24BB51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2DACD02" w14:textId="77777777" w:rsidR="00A216FA" w:rsidRPr="00413E97" w:rsidRDefault="00A216FA" w:rsidP="00A216F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EF7917A" w14:textId="77777777" w:rsidR="00A216FA" w:rsidRPr="00BA7412" w:rsidRDefault="00A216F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A94E7A9" w14:textId="77777777" w:rsidR="00A216FA" w:rsidRPr="00413E97" w:rsidRDefault="00A216FA" w:rsidP="00A216F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881F47" w14:textId="77777777" w:rsidR="00A216FA" w:rsidRPr="00BA7412" w:rsidRDefault="00A216F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A216FA" w:rsidRPr="00443AA3" w14:paraId="3C3E07D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E32C1B5" w14:textId="77777777" w:rsidR="00A216FA" w:rsidRPr="002E4B99" w:rsidRDefault="00A216FA" w:rsidP="00A216F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A216FA" w:rsidRPr="00443AA3" w14:paraId="707B05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2BF505E" w14:textId="77777777" w:rsidR="00A216FA" w:rsidRDefault="00A216F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A00B4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Filosofia de Segurança vigente à época da conversão deve ser avaliada para os sistemas navais.</w:t>
            </w:r>
          </w:p>
        </w:tc>
      </w:tr>
      <w:tr w:rsidR="00A216FA" w:rsidRPr="00443AA3" w14:paraId="780FE30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3A98B4A0" w14:textId="77777777" w:rsidR="00A216FA" w:rsidRPr="003A7D61" w:rsidRDefault="00A216FA" w:rsidP="00A216F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0F562D2D" w14:textId="77777777" w:rsidR="00A216FA" w:rsidRDefault="00A216F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A216FA" w:rsidRPr="00443AA3" w14:paraId="3E261B1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1485488E" w14:textId="77777777" w:rsidR="00A216FA" w:rsidRPr="00F705F8" w:rsidRDefault="00A216FA" w:rsidP="00A216F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583D2E4D" w14:textId="77777777" w:rsidR="00A216FA" w:rsidRPr="003A7D61" w:rsidRDefault="006F11EA" w:rsidP="00A216F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Primeira auditoria</w:t>
            </w:r>
          </w:p>
        </w:tc>
      </w:tr>
      <w:tr w:rsidR="00A216FA" w:rsidRPr="00443AA3" w14:paraId="67AA6953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6E9F009" w14:textId="77777777" w:rsidR="00A216FA" w:rsidRPr="002E4B99" w:rsidRDefault="00A216FA" w:rsidP="00A216F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A216FA" w:rsidRPr="00443AA3" w14:paraId="44805EC9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F97901D" w14:textId="77777777" w:rsidR="00A216FA" w:rsidRPr="00AC42C4" w:rsidRDefault="00B568A2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A216FA" w:rsidRPr="00443AA3" w14:paraId="07F55030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BC10BFB" w14:textId="77777777" w:rsidR="00A216FA" w:rsidRPr="002E4B99" w:rsidRDefault="00A216FA" w:rsidP="00A216F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A216FA" w:rsidRPr="00443AA3" w14:paraId="7143C2CC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911F729" w14:textId="77777777" w:rsidR="00A216FA" w:rsidRPr="002E4B99" w:rsidRDefault="00A216FA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B568A2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A216FA" w:rsidRPr="00443AA3" w14:paraId="22AD3A55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F950352" w14:textId="77777777" w:rsidR="00A216FA" w:rsidRPr="002E4B99" w:rsidRDefault="00A216FA" w:rsidP="00A216F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93172F" w:rsidRPr="00443AA3" w14:paraId="2ADEE7EF" w14:textId="77777777" w:rsidTr="0093172F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6AA384AD" w14:textId="77777777" w:rsidR="0093172F" w:rsidRPr="00AC42C4" w:rsidRDefault="0093172F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C078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C078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1E25CAB9" w14:textId="77777777" w:rsidR="0093172F" w:rsidRPr="00AC42C4" w:rsidRDefault="0093172F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A216FA" w:rsidRPr="00443AA3" w14:paraId="23B2915A" w14:textId="77777777" w:rsidTr="0093172F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447495AA" w14:textId="77777777" w:rsidR="00A216FA" w:rsidRPr="00AC42C4" w:rsidRDefault="00C8122F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6FA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C078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C078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A216FA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479E6C6E" w14:textId="77777777" w:rsidR="00A216FA" w:rsidRPr="00AC42C4" w:rsidRDefault="00E07372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93172F" w:rsidRPr="00443AA3" w14:paraId="65F9E47C" w14:textId="77777777" w:rsidTr="00F55C09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47EF7EC" w14:textId="77777777" w:rsidR="0093172F" w:rsidRDefault="0093172F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A216FA" w:rsidRPr="00443AA3" w14:paraId="4E21C5D9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EBF5B63" w14:textId="77777777" w:rsidR="00A216FA" w:rsidRDefault="00A216FA" w:rsidP="00A216F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A216FA" w:rsidRPr="00443AA3" w14:paraId="10041F02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0AFEA5B" w14:textId="77777777" w:rsidR="00A216FA" w:rsidRDefault="00A216FA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77BE5456" w14:textId="77777777" w:rsidR="00A216FA" w:rsidRPr="00AC42C4" w:rsidRDefault="00A216FA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5BB658AF" w14:textId="77777777" w:rsidR="00A216FA" w:rsidRDefault="00A216FA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751719" w14:textId="77777777" w:rsidR="00A216FA" w:rsidRPr="00EE4B30" w:rsidRDefault="00A216FA" w:rsidP="00A216F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09264C33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9B8EB" w14:textId="77777777" w:rsidR="00976EC0" w:rsidRDefault="00976EC0" w:rsidP="00DA4E40">
      <w:r>
        <w:separator/>
      </w:r>
    </w:p>
  </w:endnote>
  <w:endnote w:type="continuationSeparator" w:id="0">
    <w:p w14:paraId="062F8B30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3ADF" w14:textId="77777777" w:rsidR="00B33536" w:rsidRDefault="00B335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E769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967"/>
      <w:gridCol w:w="1609"/>
      <w:gridCol w:w="972"/>
      <w:gridCol w:w="1476"/>
    </w:tblGrid>
    <w:tr w:rsidR="0093172F" w:rsidRPr="009F2F74" w14:paraId="22A3EDB2" w14:textId="77777777" w:rsidTr="0093172F">
      <w:trPr>
        <w:jc w:val="center"/>
      </w:trPr>
      <w:tc>
        <w:tcPr>
          <w:tcW w:w="480" w:type="dxa"/>
        </w:tcPr>
        <w:p w14:paraId="169090A5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5561" w:type="dxa"/>
        </w:tcPr>
        <w:p w14:paraId="4309DA31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6C0451E1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CC61AE6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702D4A0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93172F" w:rsidRPr="009F2F74" w14:paraId="0C695023" w14:textId="77777777" w:rsidTr="0093172F">
      <w:trPr>
        <w:trHeight w:val="457"/>
        <w:jc w:val="center"/>
      </w:trPr>
      <w:tc>
        <w:tcPr>
          <w:tcW w:w="480" w:type="dxa"/>
          <w:vAlign w:val="center"/>
        </w:tcPr>
        <w:p w14:paraId="05E28AE7" w14:textId="77777777" w:rsidR="0093172F" w:rsidRPr="00CF4E05" w:rsidRDefault="009266B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93172F">
            <w:rPr>
              <w:rFonts w:ascii="Cambria" w:hAnsi="Cambria"/>
              <w:sz w:val="20"/>
            </w:rPr>
            <w:t>_SSM_XXX</w:t>
          </w:r>
        </w:p>
      </w:tc>
      <w:tc>
        <w:tcPr>
          <w:tcW w:w="5561" w:type="dxa"/>
          <w:vAlign w:val="center"/>
        </w:tcPr>
        <w:p w14:paraId="5EF76D19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5521463A" w14:textId="77777777" w:rsidR="0093172F" w:rsidRPr="00CF4E05" w:rsidRDefault="0093172F" w:rsidP="00B33536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B33536">
            <w:rPr>
              <w:rFonts w:ascii="Cambria" w:hAnsi="Cambria"/>
              <w:sz w:val="20"/>
            </w:rPr>
            <w:t>CDSM_</w:t>
          </w:r>
          <w:r w:rsidR="00B33536" w:rsidRPr="00D31E71">
            <w:rPr>
              <w:rFonts w:ascii="Cambria" w:hAnsi="Cambria"/>
              <w:sz w:val="20"/>
            </w:rPr>
            <w:t>R</w:t>
          </w:r>
          <w:r w:rsidR="00B33536">
            <w:rPr>
              <w:rFonts w:ascii="Cambria" w:hAnsi="Cambria"/>
              <w:sz w:val="20"/>
            </w:rPr>
            <w:t>30</w:t>
          </w:r>
          <w:r>
            <w:rPr>
              <w:rFonts w:ascii="Cambria" w:hAnsi="Cambria"/>
              <w:sz w:val="20"/>
            </w:rPr>
            <w:fldChar w:fldCharType="end"/>
          </w:r>
          <w:r w:rsidR="00B33536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788FF95B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266BC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fldSimple w:instr="NUMPAGES  \* Arabic  \* MERGEFORMAT">
            <w:r w:rsidR="009266BC" w:rsidRPr="009266BC">
              <w:rPr>
                <w:rFonts w:ascii="Cambria" w:hAnsi="Cambria"/>
                <w:bCs/>
                <w:noProof/>
                <w:sz w:val="20"/>
              </w:rPr>
              <w:t>2</w:t>
            </w:r>
          </w:fldSimple>
        </w:p>
      </w:tc>
      <w:tc>
        <w:tcPr>
          <w:tcW w:w="1559" w:type="dxa"/>
          <w:vAlign w:val="center"/>
        </w:tcPr>
        <w:p w14:paraId="465E138A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22207C29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348015E" w14:textId="77777777" w:rsidR="0093172F" w:rsidRPr="00CF4E05" w:rsidRDefault="009317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3F341227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014D" w14:textId="77777777" w:rsidR="00B33536" w:rsidRDefault="00B335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5E40C" w14:textId="77777777" w:rsidR="00976EC0" w:rsidRDefault="00976EC0" w:rsidP="00DA4E40">
      <w:r>
        <w:separator/>
      </w:r>
    </w:p>
  </w:footnote>
  <w:footnote w:type="continuationSeparator" w:id="0">
    <w:p w14:paraId="480EC3F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7E86" w14:textId="77777777" w:rsidR="00B33536" w:rsidRDefault="00B335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626BEEBB" w14:textId="77777777" w:rsidTr="00A4237E">
      <w:trPr>
        <w:trHeight w:val="552"/>
      </w:trPr>
      <w:tc>
        <w:tcPr>
          <w:tcW w:w="1069" w:type="dxa"/>
        </w:tcPr>
        <w:p w14:paraId="4F9CC9C0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7B6C5B0B" wp14:editId="06EDB02F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CF4B260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61B25E50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8D0F" w14:textId="77777777" w:rsidR="00B33536" w:rsidRDefault="00B335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0738F"/>
    <w:rsid w:val="00013398"/>
    <w:rsid w:val="00035427"/>
    <w:rsid w:val="00041D1D"/>
    <w:rsid w:val="0009333F"/>
    <w:rsid w:val="000D1D64"/>
    <w:rsid w:val="000D4B8B"/>
    <w:rsid w:val="000E5D1B"/>
    <w:rsid w:val="000E7793"/>
    <w:rsid w:val="00134A6D"/>
    <w:rsid w:val="001370CB"/>
    <w:rsid w:val="00154BA2"/>
    <w:rsid w:val="00165996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E24E0"/>
    <w:rsid w:val="002E4B99"/>
    <w:rsid w:val="002F7E8B"/>
    <w:rsid w:val="00300D26"/>
    <w:rsid w:val="00322CB0"/>
    <w:rsid w:val="0035028A"/>
    <w:rsid w:val="00350C38"/>
    <w:rsid w:val="0035240F"/>
    <w:rsid w:val="0037720B"/>
    <w:rsid w:val="003A7D61"/>
    <w:rsid w:val="003E5317"/>
    <w:rsid w:val="00413E97"/>
    <w:rsid w:val="00415D57"/>
    <w:rsid w:val="00424436"/>
    <w:rsid w:val="00443AA3"/>
    <w:rsid w:val="004A00B4"/>
    <w:rsid w:val="004E447D"/>
    <w:rsid w:val="00531335"/>
    <w:rsid w:val="00543058"/>
    <w:rsid w:val="00543D74"/>
    <w:rsid w:val="0054449E"/>
    <w:rsid w:val="00592527"/>
    <w:rsid w:val="00596375"/>
    <w:rsid w:val="005B0D44"/>
    <w:rsid w:val="005C0780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A4A4C"/>
    <w:rsid w:val="006B6773"/>
    <w:rsid w:val="006E7F38"/>
    <w:rsid w:val="006F11EA"/>
    <w:rsid w:val="0071608C"/>
    <w:rsid w:val="007215B0"/>
    <w:rsid w:val="00730141"/>
    <w:rsid w:val="0073371D"/>
    <w:rsid w:val="0075016E"/>
    <w:rsid w:val="00754867"/>
    <w:rsid w:val="00766033"/>
    <w:rsid w:val="00777186"/>
    <w:rsid w:val="007823DC"/>
    <w:rsid w:val="007A32DB"/>
    <w:rsid w:val="007A6D75"/>
    <w:rsid w:val="007D2310"/>
    <w:rsid w:val="007D70EB"/>
    <w:rsid w:val="007F6C97"/>
    <w:rsid w:val="008534D3"/>
    <w:rsid w:val="008707EC"/>
    <w:rsid w:val="008D28B6"/>
    <w:rsid w:val="008F46E6"/>
    <w:rsid w:val="009243C9"/>
    <w:rsid w:val="009266BC"/>
    <w:rsid w:val="0093172F"/>
    <w:rsid w:val="00965711"/>
    <w:rsid w:val="00967102"/>
    <w:rsid w:val="009727A8"/>
    <w:rsid w:val="00976EC0"/>
    <w:rsid w:val="009B3896"/>
    <w:rsid w:val="009B7C18"/>
    <w:rsid w:val="009D0C4C"/>
    <w:rsid w:val="00A216FA"/>
    <w:rsid w:val="00A329B5"/>
    <w:rsid w:val="00A4237E"/>
    <w:rsid w:val="00A51F57"/>
    <w:rsid w:val="00A535A6"/>
    <w:rsid w:val="00A56F87"/>
    <w:rsid w:val="00A651B7"/>
    <w:rsid w:val="00A91961"/>
    <w:rsid w:val="00A91C21"/>
    <w:rsid w:val="00AC42C4"/>
    <w:rsid w:val="00B076C3"/>
    <w:rsid w:val="00B103E0"/>
    <w:rsid w:val="00B33536"/>
    <w:rsid w:val="00B5559E"/>
    <w:rsid w:val="00B568A2"/>
    <w:rsid w:val="00B84C7D"/>
    <w:rsid w:val="00B92673"/>
    <w:rsid w:val="00B970D1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8122F"/>
    <w:rsid w:val="00C86219"/>
    <w:rsid w:val="00CD09A9"/>
    <w:rsid w:val="00CF19A9"/>
    <w:rsid w:val="00CF4E05"/>
    <w:rsid w:val="00D31E71"/>
    <w:rsid w:val="00D37830"/>
    <w:rsid w:val="00D536AF"/>
    <w:rsid w:val="00D74887"/>
    <w:rsid w:val="00D967F3"/>
    <w:rsid w:val="00DA4E40"/>
    <w:rsid w:val="00DA5DCD"/>
    <w:rsid w:val="00DC28B2"/>
    <w:rsid w:val="00E07372"/>
    <w:rsid w:val="00E21D2A"/>
    <w:rsid w:val="00E32E57"/>
    <w:rsid w:val="00E32E97"/>
    <w:rsid w:val="00E33BE1"/>
    <w:rsid w:val="00E40610"/>
    <w:rsid w:val="00E5497C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EF4C1E"/>
    <w:rsid w:val="00F1143C"/>
    <w:rsid w:val="00F13FE7"/>
    <w:rsid w:val="00F207BA"/>
    <w:rsid w:val="00F25877"/>
    <w:rsid w:val="00F44973"/>
    <w:rsid w:val="00F60077"/>
    <w:rsid w:val="00F705F8"/>
    <w:rsid w:val="00F809DC"/>
    <w:rsid w:val="00F87BF5"/>
    <w:rsid w:val="00F912D6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8DDC23F"/>
  <w15:docId w15:val="{9FDE7E45-34F8-46B0-8F45-814DF6D1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0F3E-8588-47E0-9014-F80CA577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679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30</cp:revision>
  <dcterms:created xsi:type="dcterms:W3CDTF">2017-09-01T14:37:00Z</dcterms:created>
  <dcterms:modified xsi:type="dcterms:W3CDTF">2019-08-27T17:56:00Z</dcterms:modified>
</cp:coreProperties>
</file>