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68A8D663" w14:textId="77777777" w:rsidR="00233D1C" w:rsidRDefault="00233D1C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Documentos desatualizados</w:t>
            </w:r>
          </w:p>
          <w:p w14:paraId="22BA1746" w14:textId="46B10C5A" w:rsidR="009D7461" w:rsidRPr="00677E06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CR21: Improvisação de raquetes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133BF33" w14:textId="429435A6" w:rsidR="00EB58DC" w:rsidRDefault="009D74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Causa raiz nº 5: </w:t>
            </w:r>
            <w:r w:rsidR="00831A30">
              <w:rPr>
                <w:rFonts w:ascii="Cambria" w:hAnsi="Cambria"/>
                <w:sz w:val="20"/>
                <w:szCs w:val="20"/>
                <w:lang w:val="pt-BR"/>
              </w:rPr>
              <w:t xml:space="preserve">Havia diferentes </w:t>
            </w:r>
            <w:r w:rsidR="00831A30" w:rsidRPr="00831A30">
              <w:rPr>
                <w:rFonts w:ascii="Cambria" w:hAnsi="Cambria"/>
                <w:sz w:val="20"/>
                <w:szCs w:val="20"/>
                <w:lang w:val="pt-BR"/>
              </w:rPr>
              <w:t>diagramas</w:t>
            </w:r>
            <w:r w:rsidR="00831A30">
              <w:rPr>
                <w:rFonts w:ascii="Cambria" w:hAnsi="Cambria"/>
                <w:sz w:val="20"/>
                <w:szCs w:val="20"/>
                <w:lang w:val="pt-BR"/>
              </w:rPr>
              <w:t xml:space="preserve"> contendo</w:t>
            </w:r>
            <w:r w:rsidR="00831A30" w:rsidRPr="00831A30">
              <w:rPr>
                <w:rFonts w:ascii="Cambria" w:hAnsi="Cambria"/>
                <w:sz w:val="20"/>
                <w:szCs w:val="20"/>
                <w:lang w:val="pt-BR"/>
              </w:rPr>
              <w:t xml:space="preserve"> marcações </w:t>
            </w:r>
            <w:r w:rsidR="00831A30">
              <w:rPr>
                <w:rFonts w:ascii="Cambria" w:hAnsi="Cambria"/>
                <w:sz w:val="20"/>
                <w:szCs w:val="20"/>
                <w:lang w:val="pt-BR"/>
              </w:rPr>
              <w:t xml:space="preserve">que </w:t>
            </w:r>
            <w:r w:rsidR="00831A30" w:rsidRPr="00831A30">
              <w:rPr>
                <w:rFonts w:ascii="Cambria" w:hAnsi="Cambria"/>
                <w:sz w:val="20"/>
                <w:szCs w:val="20"/>
                <w:lang w:val="pt-BR"/>
              </w:rPr>
              <w:t>informa</w:t>
            </w:r>
            <w:r w:rsidR="00831A30">
              <w:rPr>
                <w:rFonts w:ascii="Cambria" w:hAnsi="Cambria"/>
                <w:sz w:val="20"/>
                <w:szCs w:val="20"/>
                <w:lang w:val="pt-BR"/>
              </w:rPr>
              <w:t>vam</w:t>
            </w:r>
            <w:r w:rsidR="00831A30" w:rsidRPr="00831A30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831A30">
              <w:rPr>
                <w:rFonts w:ascii="Cambria" w:hAnsi="Cambria"/>
                <w:sz w:val="20"/>
                <w:szCs w:val="20"/>
                <w:lang w:val="pt-BR"/>
              </w:rPr>
              <w:t>os pontos de conexões temporária</w:t>
            </w:r>
            <w:r w:rsidR="00831A30" w:rsidRPr="00831A30">
              <w:rPr>
                <w:rFonts w:ascii="Cambria" w:hAnsi="Cambria"/>
                <w:sz w:val="20"/>
                <w:szCs w:val="20"/>
                <w:lang w:val="pt-BR"/>
              </w:rPr>
              <w:t xml:space="preserve">s e pontos de instalação de isolamento. </w:t>
            </w:r>
            <w:r w:rsidR="00831A30">
              <w:rPr>
                <w:rFonts w:ascii="Cambria" w:hAnsi="Cambria"/>
                <w:sz w:val="20"/>
                <w:szCs w:val="20"/>
                <w:lang w:val="pt-BR"/>
              </w:rPr>
              <w:t>O</w:t>
            </w:r>
            <w:r w:rsidR="00831A30" w:rsidRPr="00831A30">
              <w:rPr>
                <w:rFonts w:ascii="Cambria" w:hAnsi="Cambria"/>
                <w:sz w:val="20"/>
                <w:szCs w:val="20"/>
                <w:lang w:val="pt-BR"/>
              </w:rPr>
              <w:t xml:space="preserve"> desenho disponibilizado ao pessoal em geral através do sistema informatizado de gerenciamento</w:t>
            </w:r>
            <w:r w:rsidR="00831A30">
              <w:rPr>
                <w:rFonts w:ascii="Cambria" w:hAnsi="Cambria"/>
                <w:sz w:val="20"/>
                <w:szCs w:val="20"/>
                <w:lang w:val="pt-BR"/>
              </w:rPr>
              <w:t xml:space="preserve"> era o desenho original, sem</w:t>
            </w:r>
            <w:r w:rsidR="00E90773">
              <w:rPr>
                <w:rFonts w:ascii="Cambria" w:hAnsi="Cambria"/>
                <w:sz w:val="20"/>
                <w:szCs w:val="20"/>
                <w:lang w:val="pt-BR"/>
              </w:rPr>
              <w:t xml:space="preserve"> marcações relacionadas à</w:t>
            </w:r>
            <w:r w:rsidR="00831A30">
              <w:rPr>
                <w:rFonts w:ascii="Cambria" w:hAnsi="Cambria"/>
                <w:sz w:val="20"/>
                <w:szCs w:val="20"/>
                <w:lang w:val="pt-BR"/>
              </w:rPr>
              <w:t>s mudanças temporárias</w:t>
            </w:r>
            <w:r w:rsidR="00E90773">
              <w:rPr>
                <w:rFonts w:ascii="Cambria" w:hAnsi="Cambria"/>
                <w:sz w:val="20"/>
                <w:szCs w:val="20"/>
                <w:lang w:val="pt-BR"/>
              </w:rPr>
              <w:t>, que constavam apenas em desenhos e diagramas anexos às Gestões de Mudanças</w:t>
            </w:r>
            <w:r w:rsidR="00831A30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31D3873B" w14:textId="05528BEC" w:rsidR="00831A30" w:rsidRDefault="00831A3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Os procedimentos de isolamento do operador não estavam sendo corretamente seguidos: não foram inseridos no procedimento a permissão de trabalho e o certificado de isolamento mecânico referentes à raquete; </w:t>
            </w:r>
            <w:r w:rsidR="00556E8E">
              <w:rPr>
                <w:rFonts w:ascii="Cambria" w:hAnsi="Cambria"/>
                <w:sz w:val="20"/>
                <w:szCs w:val="20"/>
                <w:lang w:val="pt-BR"/>
              </w:rPr>
              <w:t>a raquete não foi considerada como isolamento mecânico no certificado de isolamento.</w:t>
            </w:r>
          </w:p>
          <w:p w14:paraId="494BDC1B" w14:textId="0CC980FC" w:rsidR="00556E8E" w:rsidRDefault="00556E8E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D</w:t>
            </w:r>
            <w:r w:rsidRPr="00556E8E">
              <w:rPr>
                <w:rFonts w:ascii="Cambria" w:hAnsi="Cambria"/>
                <w:sz w:val="20"/>
                <w:szCs w:val="20"/>
                <w:lang w:val="pt-BR"/>
              </w:rPr>
              <w:t>urante a emergência foi utilizado pelo OIM o diagrama P&amp;ID que contém as válvulas da casa de bombas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sem </w:t>
            </w:r>
            <w:r w:rsidRPr="00556E8E">
              <w:rPr>
                <w:rFonts w:ascii="Cambria" w:hAnsi="Cambria"/>
                <w:sz w:val="20"/>
                <w:szCs w:val="20"/>
                <w:lang w:val="pt-BR"/>
              </w:rPr>
              <w:t xml:space="preserve">as marcações, tampouco a indicação da existência do flange ou raquete nele instalada. </w:t>
            </w:r>
          </w:p>
          <w:p w14:paraId="4D4400DF" w14:textId="3DBEDF15" w:rsidR="00831A30" w:rsidRDefault="00831A3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831A30">
              <w:rPr>
                <w:rFonts w:ascii="Cambria" w:hAnsi="Cambria"/>
                <w:sz w:val="20"/>
                <w:szCs w:val="20"/>
                <w:lang w:val="pt-BR"/>
              </w:rPr>
              <w:t>O entendimento da situação no momento da emergência foi prejudicado pela falha no registro e documentação de mudanças.</w:t>
            </w:r>
          </w:p>
          <w:p w14:paraId="1D2825ED" w14:textId="1D1EDBA0" w:rsidR="009D7461" w:rsidRDefault="009D74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Causa raiz nº 21:</w:t>
            </w:r>
            <w:r w:rsidR="00C479A0">
              <w:rPr>
                <w:rFonts w:ascii="Cambria" w:hAnsi="Cambria"/>
                <w:sz w:val="20"/>
                <w:szCs w:val="20"/>
                <w:lang w:val="pt-BR"/>
              </w:rPr>
              <w:t xml:space="preserve"> Foi evidenciado que as raquetes eram fabricadas a bordo, sem seguir padronização e especificação, estando possivelmente inadequadas à classe de pressão da linha, sem avaliação dos perigos e do impacto global nas atividades. Adicionalmente, existiam alternativas mais seguras, descritas no procedimento de Isolamento Mecânico, para garantir o isolamento na tubulação.</w:t>
            </w:r>
          </w:p>
          <w:p w14:paraId="5D5F777E" w14:textId="77ED397D" w:rsidR="00C479A0" w:rsidRPr="0024585B" w:rsidRDefault="00C479A0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C479A0">
              <w:rPr>
                <w:rFonts w:ascii="Cambria" w:hAnsi="Cambria"/>
                <w:sz w:val="20"/>
                <w:szCs w:val="20"/>
                <w:lang w:val="pt-BR"/>
              </w:rPr>
              <w:t>O operador da instalação não garantiu que o uso de isolamento com característica distinta da especificação de projeto fosse abordado através dos requisitos de prática de Gerenciamento de Mudanças.</w:t>
            </w:r>
          </w:p>
        </w:tc>
      </w:tr>
      <w:tr w:rsidR="00297A70" w:rsidRPr="00443AA3" w14:paraId="3D0885CC" w14:textId="77777777" w:rsidTr="004A21B1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297A70" w:rsidRPr="00BA7412" w:rsidRDefault="00297A70" w:rsidP="00297A7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0FE7014" w14:textId="77777777" w:rsidR="00297A70" w:rsidRPr="00D31E71" w:rsidRDefault="00297A70" w:rsidP="00297A7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9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7C1E9756" w14:textId="3017970C" w:rsidR="00297A70" w:rsidRPr="00D31E71" w:rsidRDefault="00297A70" w:rsidP="00297A7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CA0C9E9" w14:textId="140A803A" w:rsidR="00297A70" w:rsidRPr="00D31E71" w:rsidRDefault="00297A70" w:rsidP="00297A7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1E5F4E1" w:rsidR="00297A70" w:rsidRPr="00D31E71" w:rsidRDefault="00297A70" w:rsidP="00297A70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410BE7D7" w:rsidR="00BA7412" w:rsidRPr="0024585B" w:rsidRDefault="009D74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9D7461">
              <w:rPr>
                <w:rFonts w:ascii="Cambria" w:hAnsi="Cambria"/>
                <w:sz w:val="20"/>
                <w:szCs w:val="20"/>
                <w:lang w:val="pt-BR"/>
              </w:rPr>
              <w:t>Criar mecanismos para a atualização dos sistemas de controle de documentação técnica, incluindo procedimentos, desenhos e fluxogramas dentre outros, de forma que as informações de equipamentos e processos sejam fidedignas à condição atual em campo, mesmo durante mudanças.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595D0FDE" w:rsidR="00413E97" w:rsidRPr="00BA7412" w:rsidRDefault="00413E97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227BDB4" w:rsidR="00413E97" w:rsidRPr="00BA7412" w:rsidRDefault="000E5D1B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3A869DF" w14:textId="77777777" w:rsidR="00CD09A9" w:rsidRDefault="00764821" w:rsidP="00764821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Esta recomendação foi motivada devido a existência de f</w:t>
            </w:r>
            <w:r w:rsidR="009D7461" w:rsidRPr="009D7461">
              <w:rPr>
                <w:rFonts w:ascii="Cambria" w:hAnsi="Cambria"/>
                <w:sz w:val="20"/>
              </w:rPr>
              <w:t xml:space="preserve">luxogramas que só estavam atualizados como anexos a </w:t>
            </w:r>
            <w:r>
              <w:rPr>
                <w:rFonts w:ascii="Cambria" w:hAnsi="Cambria"/>
                <w:sz w:val="20"/>
              </w:rPr>
              <w:t xml:space="preserve">uma </w:t>
            </w:r>
            <w:r w:rsidR="009D7461" w:rsidRPr="009D7461">
              <w:rPr>
                <w:rFonts w:ascii="Cambria" w:hAnsi="Cambria"/>
                <w:sz w:val="20"/>
              </w:rPr>
              <w:t>G</w:t>
            </w:r>
            <w:r w:rsidR="009D7461">
              <w:rPr>
                <w:rFonts w:ascii="Cambria" w:hAnsi="Cambria"/>
                <w:sz w:val="20"/>
              </w:rPr>
              <w:t xml:space="preserve">estão de </w:t>
            </w:r>
            <w:r w:rsidR="009D7461" w:rsidRPr="009D7461">
              <w:rPr>
                <w:rFonts w:ascii="Cambria" w:hAnsi="Cambria"/>
                <w:sz w:val="20"/>
              </w:rPr>
              <w:t>M</w:t>
            </w:r>
            <w:r w:rsidR="009D7461">
              <w:rPr>
                <w:rFonts w:ascii="Cambria" w:hAnsi="Cambria"/>
                <w:sz w:val="20"/>
              </w:rPr>
              <w:t>udanças</w:t>
            </w:r>
            <w:r>
              <w:rPr>
                <w:rFonts w:ascii="Cambria" w:hAnsi="Cambria"/>
                <w:sz w:val="20"/>
              </w:rPr>
              <w:t xml:space="preserve">, a qual não continha </w:t>
            </w:r>
            <w:r w:rsidR="009D7461" w:rsidRPr="009D7461">
              <w:rPr>
                <w:rFonts w:ascii="Cambria" w:hAnsi="Cambria"/>
                <w:sz w:val="20"/>
              </w:rPr>
              <w:t xml:space="preserve">previsão de revisão </w:t>
            </w:r>
            <w:r>
              <w:rPr>
                <w:rFonts w:ascii="Cambria" w:hAnsi="Cambria"/>
                <w:sz w:val="20"/>
              </w:rPr>
              <w:t>dos documentos impactados</w:t>
            </w:r>
            <w:r w:rsidR="009D7461" w:rsidRPr="009D7461">
              <w:rPr>
                <w:rFonts w:ascii="Cambria" w:hAnsi="Cambria"/>
                <w:sz w:val="20"/>
              </w:rPr>
              <w:t xml:space="preserve"> ao final da mudança.</w:t>
            </w:r>
          </w:p>
          <w:p w14:paraId="676CA03B" w14:textId="6015602C" w:rsidR="00764821" w:rsidRDefault="00764821" w:rsidP="00764821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Tipicamente, esta recomendação é atendida caso fique evidenciado que o operador mantém registro dos documentos impactados pela mudança e garante que os mesmos sejam revisados refletindo as mudanças realizadas e disponibilizados para consulta no sistema de controle de documentação, não apenas como anexo à Gestão de Mudanças.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E062F08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9D7461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1332804D" w:rsidR="00EB44A8" w:rsidRPr="003A7D61" w:rsidRDefault="009D7461" w:rsidP="009D746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4E50358E" w:rsidR="002E4B99" w:rsidRPr="00AC42C4" w:rsidRDefault="008D56DF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lastRenderedPageBreak/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76236305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8D56DF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2D5377" w:rsidRPr="00443AA3" w14:paraId="6551B726" w14:textId="77777777" w:rsidTr="002D537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698EBF73" w14:textId="77777777" w:rsidR="002D5377" w:rsidRPr="00AC42C4" w:rsidRDefault="002D537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97A7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97A7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245396F7" w:rsidR="002D5377" w:rsidRPr="00AC42C4" w:rsidRDefault="002D537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297A7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297A70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4CABE3A8" w:rsidR="00FA6D57" w:rsidRPr="00AC42C4" w:rsidRDefault="0071778D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2D5377" w:rsidRPr="00443AA3" w14:paraId="2F5C5E88" w14:textId="77777777" w:rsidTr="002F3586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40FDB49" w14:textId="3DD64CE3" w:rsidR="002D5377" w:rsidRDefault="002D537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AE1B9" w14:textId="77777777" w:rsidR="00C567EC" w:rsidRDefault="00C567E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2D5377" w:rsidRPr="009F2F74" w14:paraId="59E5E735" w14:textId="77777777" w:rsidTr="002D5377">
      <w:trPr>
        <w:jc w:val="center"/>
      </w:trPr>
      <w:tc>
        <w:tcPr>
          <w:tcW w:w="1555" w:type="dxa"/>
        </w:tcPr>
        <w:p w14:paraId="603130A5" w14:textId="77777777" w:rsidR="002D5377" w:rsidRPr="00CF4E05" w:rsidRDefault="002D537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2CD7C255" w:rsidR="002D5377" w:rsidRPr="00CF4E05" w:rsidRDefault="002D537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2D5377" w:rsidRPr="00CF4E05" w:rsidRDefault="002D537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2D5377" w:rsidRPr="00CF4E05" w:rsidRDefault="002D537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2D5377" w:rsidRPr="00CF4E05" w:rsidRDefault="002D5377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2D5377" w:rsidRPr="009F2F74" w14:paraId="44819FE1" w14:textId="77777777" w:rsidTr="002D5377">
      <w:trPr>
        <w:trHeight w:val="457"/>
        <w:jc w:val="center"/>
      </w:trPr>
      <w:tc>
        <w:tcPr>
          <w:tcW w:w="1555" w:type="dxa"/>
          <w:vAlign w:val="center"/>
        </w:tcPr>
        <w:p w14:paraId="2EF2BD90" w14:textId="447BEAC0" w:rsidR="002D5377" w:rsidRPr="00CF4E05" w:rsidRDefault="00C567EC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2D5377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08292EBD" w:rsidR="002D5377" w:rsidRPr="00CF4E05" w:rsidRDefault="002D5377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22D134BF" w:rsidR="002D5377" w:rsidRPr="00CF4E05" w:rsidRDefault="002D5377" w:rsidP="007739CA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sz w:val="20"/>
            </w:rPr>
            <w:fldChar w:fldCharType="begin"/>
          </w:r>
          <w:r w:rsidRPr="00CF4E05">
            <w:rPr>
              <w:rFonts w:ascii="Cambria" w:hAnsi="Cambria"/>
              <w:sz w:val="20"/>
            </w:rPr>
            <w:instrText xml:space="preserve"> REF Recomendaçao \h  \* MERGEFORMAT </w:instrText>
          </w:r>
          <w:r w:rsidRPr="00CF4E05">
            <w:rPr>
              <w:rFonts w:ascii="Cambria" w:hAnsi="Cambria"/>
              <w:sz w:val="20"/>
            </w:rPr>
          </w:r>
          <w:r w:rsidRPr="00CF4E05"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R0</w:t>
          </w:r>
          <w:r>
            <w:rPr>
              <w:rFonts w:ascii="Cambria" w:hAnsi="Cambria"/>
              <w:sz w:val="20"/>
            </w:rPr>
            <w:t>9</w:t>
          </w:r>
          <w:r w:rsidRPr="00CF4E05"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2D5377" w:rsidRPr="00CF4E05" w:rsidRDefault="002D5377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567EC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567EC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2D5377" w:rsidRPr="00CF4E05" w:rsidRDefault="002D5377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2D5377" w:rsidRPr="00CF4E05" w:rsidRDefault="002D5377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2D5377" w:rsidRPr="00CF4E05" w:rsidRDefault="002D5377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3F4C2" w14:textId="77777777" w:rsidR="00C567EC" w:rsidRDefault="00C567E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31D7A" w14:textId="77777777" w:rsidR="00C567EC" w:rsidRDefault="00C567E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42857" w14:textId="77777777" w:rsidR="00C567EC" w:rsidRDefault="00C567E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38B9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211D2B"/>
    <w:rsid w:val="002171EA"/>
    <w:rsid w:val="00233D1C"/>
    <w:rsid w:val="0024585B"/>
    <w:rsid w:val="00247D85"/>
    <w:rsid w:val="002875EA"/>
    <w:rsid w:val="00297A70"/>
    <w:rsid w:val="002D2549"/>
    <w:rsid w:val="002D42F6"/>
    <w:rsid w:val="002D5377"/>
    <w:rsid w:val="002E4B99"/>
    <w:rsid w:val="0035028A"/>
    <w:rsid w:val="00350C38"/>
    <w:rsid w:val="0035240F"/>
    <w:rsid w:val="0037720B"/>
    <w:rsid w:val="00385F91"/>
    <w:rsid w:val="00394D39"/>
    <w:rsid w:val="003A7D61"/>
    <w:rsid w:val="003E5317"/>
    <w:rsid w:val="00413E97"/>
    <w:rsid w:val="00424436"/>
    <w:rsid w:val="00443AA3"/>
    <w:rsid w:val="00531335"/>
    <w:rsid w:val="00543D74"/>
    <w:rsid w:val="0054449E"/>
    <w:rsid w:val="00556E8E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E7F38"/>
    <w:rsid w:val="0071608C"/>
    <w:rsid w:val="0071778D"/>
    <w:rsid w:val="0073371D"/>
    <w:rsid w:val="0075016E"/>
    <w:rsid w:val="00754867"/>
    <w:rsid w:val="00764821"/>
    <w:rsid w:val="00766033"/>
    <w:rsid w:val="007739CA"/>
    <w:rsid w:val="007D2310"/>
    <w:rsid w:val="007F6C97"/>
    <w:rsid w:val="00831A30"/>
    <w:rsid w:val="008534D3"/>
    <w:rsid w:val="008707EC"/>
    <w:rsid w:val="008D28B6"/>
    <w:rsid w:val="008D56DF"/>
    <w:rsid w:val="00976EC0"/>
    <w:rsid w:val="009B3896"/>
    <w:rsid w:val="009B7C18"/>
    <w:rsid w:val="009D7461"/>
    <w:rsid w:val="00A4237E"/>
    <w:rsid w:val="00A51F57"/>
    <w:rsid w:val="00A535A6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9A0"/>
    <w:rsid w:val="00C567EC"/>
    <w:rsid w:val="00C8093D"/>
    <w:rsid w:val="00CD09A9"/>
    <w:rsid w:val="00CF19A9"/>
    <w:rsid w:val="00CF4E05"/>
    <w:rsid w:val="00D31E71"/>
    <w:rsid w:val="00D37830"/>
    <w:rsid w:val="00D536AF"/>
    <w:rsid w:val="00D80A1A"/>
    <w:rsid w:val="00D967F3"/>
    <w:rsid w:val="00DA4E40"/>
    <w:rsid w:val="00DA5DCD"/>
    <w:rsid w:val="00DC28B2"/>
    <w:rsid w:val="00E32E57"/>
    <w:rsid w:val="00E40610"/>
    <w:rsid w:val="00E77404"/>
    <w:rsid w:val="00E90773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07C33-7BC8-4A2C-89F2-5F787593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565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13</cp:revision>
  <dcterms:created xsi:type="dcterms:W3CDTF">2017-08-30T12:34:00Z</dcterms:created>
  <dcterms:modified xsi:type="dcterms:W3CDTF">2019-08-08T20:12:00Z</dcterms:modified>
</cp:coreProperties>
</file>