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BA9634" w14:textId="77777777" w:rsidR="001F74A0" w:rsidRPr="00B24745" w:rsidRDefault="002E24A9" w:rsidP="00073BBE">
      <w:pPr>
        <w:jc w:val="center"/>
        <w:rPr>
          <w:rFonts w:ascii="Arial" w:hAnsi="Arial" w:cs="Arial"/>
          <w:sz w:val="32"/>
          <w:szCs w:val="32"/>
        </w:rPr>
      </w:pPr>
      <w:r>
        <w:rPr>
          <w:rFonts w:ascii="Arial" w:hAnsi="Arial" w:cs="Arial"/>
          <w:noProof/>
          <w:sz w:val="26"/>
          <w:szCs w:val="26"/>
        </w:rPr>
        <w:object w:dxaOrig="1440" w:dyaOrig="1440" w14:anchorId="389BA2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49.7pt;width:73pt;height:107.6pt;z-index:1;mso-position-vertical-relative:page" o:allowincell="f">
            <v:imagedata r:id="rId9" o:title=""/>
            <w10:wrap type="square" anchory="page"/>
          </v:shape>
          <o:OLEObject Type="Embed" ProgID="MSPhotoEd.3" ShapeID="_x0000_s1026" DrawAspect="Content" ObjectID="_1663394750" r:id="rId10"/>
        </w:object>
      </w:r>
      <w:r w:rsidR="00482F43" w:rsidRPr="00B24745">
        <w:rPr>
          <w:rFonts w:ascii="Arial" w:hAnsi="Arial" w:cs="Arial"/>
          <w:sz w:val="32"/>
          <w:szCs w:val="32"/>
        </w:rPr>
        <w:t>FORMULÁRIO DE COMENTÁRIOS E SUGESTÕES</w:t>
      </w:r>
    </w:p>
    <w:p w14:paraId="4E2140B3" w14:textId="622BC6B8" w:rsidR="001F74A0" w:rsidRPr="00B24745" w:rsidRDefault="002808DC" w:rsidP="00BB004F">
      <w:pPr>
        <w:jc w:val="center"/>
        <w:rPr>
          <w:rFonts w:ascii="Arial" w:hAnsi="Arial" w:cs="Arial"/>
          <w:sz w:val="26"/>
          <w:szCs w:val="26"/>
        </w:rPr>
      </w:pPr>
      <w:r w:rsidRPr="00B24745">
        <w:rPr>
          <w:rFonts w:ascii="Arial" w:hAnsi="Arial" w:cs="Arial"/>
          <w:sz w:val="26"/>
          <w:szCs w:val="26"/>
        </w:rPr>
        <w:t xml:space="preserve">CONSULTA </w:t>
      </w:r>
      <w:r w:rsidR="003B5F56" w:rsidRPr="00B24745">
        <w:rPr>
          <w:rFonts w:ascii="Arial" w:hAnsi="Arial" w:cs="Arial"/>
          <w:sz w:val="26"/>
          <w:szCs w:val="26"/>
        </w:rPr>
        <w:t>PRÉVIA</w:t>
      </w:r>
      <w:r w:rsidR="002E24A9">
        <w:rPr>
          <w:rFonts w:ascii="Arial" w:hAnsi="Arial" w:cs="Arial"/>
          <w:sz w:val="26"/>
          <w:szCs w:val="26"/>
        </w:rPr>
        <w:t xml:space="preserve"> nº 1/2020</w:t>
      </w:r>
      <w:r w:rsidR="00EE5CA6" w:rsidRPr="00B24745">
        <w:rPr>
          <w:rFonts w:ascii="Arial" w:hAnsi="Arial" w:cs="Arial"/>
          <w:sz w:val="26"/>
          <w:szCs w:val="26"/>
        </w:rPr>
        <w:t xml:space="preserve"> </w:t>
      </w:r>
      <w:r w:rsidR="00482F43" w:rsidRPr="00B24745">
        <w:rPr>
          <w:rFonts w:ascii="Arial" w:hAnsi="Arial" w:cs="Arial"/>
          <w:sz w:val="26"/>
          <w:szCs w:val="26"/>
        </w:rPr>
        <w:t xml:space="preserve">- </w:t>
      </w:r>
      <w:r w:rsidR="00EA591A" w:rsidRPr="00B24745">
        <w:rPr>
          <w:rFonts w:ascii="Arial" w:hAnsi="Arial" w:cs="Arial"/>
          <w:sz w:val="26"/>
          <w:szCs w:val="26"/>
        </w:rPr>
        <w:t>DE</w:t>
      </w:r>
      <w:r w:rsidR="00BB004F" w:rsidRPr="00B24745">
        <w:rPr>
          <w:rFonts w:ascii="Arial" w:hAnsi="Arial" w:cs="Arial"/>
          <w:sz w:val="26"/>
          <w:szCs w:val="26"/>
        </w:rPr>
        <w:t xml:space="preserve"> </w:t>
      </w:r>
      <w:r w:rsidR="002E24A9">
        <w:rPr>
          <w:rFonts w:ascii="Arial" w:hAnsi="Arial" w:cs="Arial"/>
          <w:sz w:val="26"/>
          <w:szCs w:val="26"/>
        </w:rPr>
        <w:t>05</w:t>
      </w:r>
      <w:r w:rsidR="00EE5CA6" w:rsidRPr="00B24745">
        <w:rPr>
          <w:rFonts w:ascii="Arial" w:hAnsi="Arial" w:cs="Arial"/>
          <w:sz w:val="26"/>
          <w:szCs w:val="26"/>
        </w:rPr>
        <w:t>/</w:t>
      </w:r>
      <w:r w:rsidR="003B5F56" w:rsidRPr="00B24745">
        <w:rPr>
          <w:rFonts w:ascii="Arial" w:hAnsi="Arial" w:cs="Arial"/>
          <w:sz w:val="26"/>
          <w:szCs w:val="26"/>
        </w:rPr>
        <w:t>10</w:t>
      </w:r>
      <w:r w:rsidR="00EE5CA6" w:rsidRPr="00B24745">
        <w:rPr>
          <w:rFonts w:ascii="Arial" w:hAnsi="Arial" w:cs="Arial"/>
          <w:sz w:val="26"/>
          <w:szCs w:val="26"/>
        </w:rPr>
        <w:t>/20</w:t>
      </w:r>
      <w:r w:rsidR="00D144DA" w:rsidRPr="00B24745">
        <w:rPr>
          <w:rFonts w:ascii="Arial" w:hAnsi="Arial" w:cs="Arial"/>
          <w:sz w:val="26"/>
          <w:szCs w:val="26"/>
        </w:rPr>
        <w:t>20</w:t>
      </w:r>
      <w:r w:rsidR="00BB004F" w:rsidRPr="00B24745">
        <w:rPr>
          <w:rFonts w:ascii="Arial" w:hAnsi="Arial" w:cs="Arial"/>
          <w:sz w:val="26"/>
          <w:szCs w:val="26"/>
        </w:rPr>
        <w:t xml:space="preserve"> </w:t>
      </w:r>
      <w:r w:rsidR="00C13A89" w:rsidRPr="00B24745">
        <w:rPr>
          <w:rFonts w:ascii="Arial" w:hAnsi="Arial" w:cs="Arial"/>
          <w:sz w:val="26"/>
          <w:szCs w:val="26"/>
        </w:rPr>
        <w:t>a</w:t>
      </w:r>
      <w:r w:rsidR="00BB004F" w:rsidRPr="00B24745">
        <w:rPr>
          <w:rFonts w:ascii="Arial" w:hAnsi="Arial" w:cs="Arial"/>
          <w:sz w:val="26"/>
          <w:szCs w:val="26"/>
        </w:rPr>
        <w:t xml:space="preserve"> </w:t>
      </w:r>
      <w:r w:rsidR="002E24A9">
        <w:rPr>
          <w:rFonts w:ascii="Arial" w:hAnsi="Arial" w:cs="Arial"/>
          <w:sz w:val="26"/>
          <w:szCs w:val="26"/>
        </w:rPr>
        <w:t>20</w:t>
      </w:r>
      <w:r w:rsidR="00F021F1" w:rsidRPr="00B24745">
        <w:rPr>
          <w:rFonts w:ascii="Arial" w:hAnsi="Arial" w:cs="Arial"/>
          <w:sz w:val="26"/>
          <w:szCs w:val="26"/>
        </w:rPr>
        <w:t>/</w:t>
      </w:r>
      <w:r w:rsidR="003B5F56" w:rsidRPr="00B24745">
        <w:rPr>
          <w:rFonts w:ascii="Arial" w:hAnsi="Arial" w:cs="Arial"/>
          <w:sz w:val="26"/>
          <w:szCs w:val="26"/>
        </w:rPr>
        <w:t>11</w:t>
      </w:r>
      <w:r w:rsidR="00BB004F" w:rsidRPr="00B24745">
        <w:rPr>
          <w:rFonts w:ascii="Arial" w:hAnsi="Arial" w:cs="Arial"/>
          <w:sz w:val="26"/>
          <w:szCs w:val="26"/>
        </w:rPr>
        <w:t>/</w:t>
      </w:r>
      <w:r w:rsidR="00EE5CA6" w:rsidRPr="00B24745">
        <w:rPr>
          <w:rFonts w:ascii="Arial" w:hAnsi="Arial" w:cs="Arial"/>
          <w:sz w:val="26"/>
          <w:szCs w:val="26"/>
        </w:rPr>
        <w:t>20</w:t>
      </w:r>
      <w:r w:rsidR="00C775A3" w:rsidRPr="00B24745">
        <w:rPr>
          <w:rFonts w:ascii="Arial" w:hAnsi="Arial" w:cs="Arial"/>
          <w:sz w:val="26"/>
          <w:szCs w:val="26"/>
        </w:rPr>
        <w:t>20</w:t>
      </w:r>
    </w:p>
    <w:p w14:paraId="6CBBFDDF" w14:textId="77777777" w:rsidR="00F021F1" w:rsidRPr="00B24745" w:rsidRDefault="00F021F1" w:rsidP="000663C5">
      <w:pPr>
        <w:tabs>
          <w:tab w:val="left" w:pos="6379"/>
        </w:tabs>
        <w:rPr>
          <w:rFonts w:ascii="Arial" w:hAnsi="Arial" w:cs="Arial"/>
          <w:sz w:val="26"/>
          <w:szCs w:val="26"/>
        </w:rPr>
      </w:pPr>
    </w:p>
    <w:p w14:paraId="030754F8" w14:textId="77777777" w:rsidR="00F021F1" w:rsidRPr="00B24745" w:rsidRDefault="002E24A9" w:rsidP="00F021F1">
      <w:pPr>
        <w:rPr>
          <w:rFonts w:ascii="Arial" w:hAnsi="Arial" w:cs="Arial"/>
          <w:sz w:val="26"/>
          <w:szCs w:val="26"/>
        </w:rPr>
      </w:pPr>
      <w:r>
        <w:rPr>
          <w:rFonts w:ascii="Arial" w:hAnsi="Arial" w:cs="Arial"/>
          <w:noProof/>
        </w:rPr>
        <w:pict w14:anchorId="45C4DA2C">
          <v:shapetype id="_x0000_t202" coordsize="21600,21600" o:spt="202" path="m,l,21600r21600,l21600,xe">
            <v:stroke joinstyle="miter"/>
            <v:path gradientshapeok="t" o:connecttype="rect"/>
          </v:shapetype>
          <v:shape id="Caixa de Texto 2" o:spid="_x0000_s1027" type="#_x0000_t202" style="position:absolute;margin-left:69.05pt;margin-top:7.75pt;width:473.7pt;height:40.15pt;z-index:2;visibility:visible;mso-height-percent:200;mso-wrap-distance-top:3.6pt;mso-wrap-distance-bottom:3.6pt;mso-height-percent:200;mso-width-relative:margin;mso-height-relative:margin" strokecolor="white">
            <v:textbox style="mso-fit-shape-to-text:t">
              <w:txbxContent>
                <w:p w14:paraId="460960C6" w14:textId="58B09DC6" w:rsidR="00073BBE" w:rsidRDefault="00073BBE" w:rsidP="00073BBE">
                  <w:pPr>
                    <w:jc w:val="center"/>
                  </w:pPr>
                  <w:r w:rsidRPr="002B4238">
                    <w:rPr>
                      <w:rFonts w:ascii="Arial" w:hAnsi="Arial" w:cs="Arial"/>
                      <w:bCs/>
                      <w:sz w:val="28"/>
                      <w:szCs w:val="28"/>
                    </w:rPr>
                    <w:t>Consulta P</w:t>
                  </w:r>
                  <w:r w:rsidR="003B5F56">
                    <w:rPr>
                      <w:rFonts w:ascii="Arial" w:hAnsi="Arial" w:cs="Arial"/>
                      <w:bCs/>
                      <w:sz w:val="28"/>
                      <w:szCs w:val="28"/>
                    </w:rPr>
                    <w:t>révia</w:t>
                  </w:r>
                  <w:r w:rsidRPr="002B4238">
                    <w:rPr>
                      <w:rFonts w:ascii="Arial" w:hAnsi="Arial" w:cs="Arial"/>
                      <w:bCs/>
                      <w:sz w:val="28"/>
                      <w:szCs w:val="28"/>
                    </w:rPr>
                    <w:t xml:space="preserve"> </w:t>
                  </w:r>
                  <w:r w:rsidR="003B5F56" w:rsidRPr="003B5F56">
                    <w:rPr>
                      <w:rFonts w:ascii="Arial" w:hAnsi="Arial" w:cs="Arial"/>
                      <w:bCs/>
                      <w:sz w:val="28"/>
                      <w:szCs w:val="28"/>
                    </w:rPr>
                    <w:t>do Modelo Conceitual do Mercado de Gás na Esfera de Competência da União</w:t>
                  </w:r>
                </w:p>
              </w:txbxContent>
            </v:textbox>
            <w10:wrap type="square"/>
          </v:shape>
        </w:pict>
      </w:r>
    </w:p>
    <w:p w14:paraId="4B53526F" w14:textId="77777777" w:rsidR="00F021F1" w:rsidRPr="00B24745" w:rsidRDefault="00F021F1" w:rsidP="00F021F1">
      <w:pPr>
        <w:rPr>
          <w:rFonts w:ascii="Arial" w:hAnsi="Arial" w:cs="Arial"/>
          <w:b/>
          <w:sz w:val="24"/>
          <w:szCs w:val="24"/>
        </w:rPr>
      </w:pPr>
    </w:p>
    <w:p w14:paraId="2BB37B99" w14:textId="77777777" w:rsidR="00073BBE" w:rsidRPr="00B24745" w:rsidRDefault="00073BBE" w:rsidP="00073BBE">
      <w:pPr>
        <w:rPr>
          <w:rFonts w:ascii="Arial" w:hAnsi="Arial" w:cs="Arial"/>
          <w:b/>
          <w:sz w:val="24"/>
          <w:szCs w:val="24"/>
        </w:rPr>
      </w:pPr>
    </w:p>
    <w:p w14:paraId="6DC34557" w14:textId="77777777" w:rsidR="003E3F27" w:rsidRDefault="003E3F27" w:rsidP="00504858">
      <w:pPr>
        <w:spacing w:before="120" w:after="120"/>
        <w:rPr>
          <w:rFonts w:ascii="Arial" w:hAnsi="Arial" w:cs="Arial"/>
          <w:b/>
          <w:sz w:val="24"/>
          <w:szCs w:val="24"/>
        </w:rPr>
      </w:pPr>
    </w:p>
    <w:p w14:paraId="1F9962CB" w14:textId="4605F636" w:rsidR="00F021F1" w:rsidRPr="00B24745" w:rsidRDefault="00F021F1" w:rsidP="00504858">
      <w:pPr>
        <w:spacing w:before="120" w:after="120"/>
        <w:rPr>
          <w:rFonts w:ascii="Arial" w:hAnsi="Arial" w:cs="Arial"/>
          <w:b/>
          <w:sz w:val="24"/>
          <w:szCs w:val="24"/>
        </w:rPr>
      </w:pPr>
      <w:r w:rsidRPr="00B24745">
        <w:rPr>
          <w:rFonts w:ascii="Arial" w:hAnsi="Arial" w:cs="Arial"/>
          <w:b/>
          <w:sz w:val="24"/>
          <w:szCs w:val="24"/>
        </w:rPr>
        <w:t>Identificação:</w:t>
      </w:r>
    </w:p>
    <w:tbl>
      <w:tblPr>
        <w:tblW w:w="4935" w:type="pct"/>
        <w:tblInd w:w="10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2551"/>
        <w:gridCol w:w="4452"/>
        <w:gridCol w:w="7032"/>
      </w:tblGrid>
      <w:tr w:rsidR="00267B34" w:rsidRPr="00B24745" w14:paraId="239AD696" w14:textId="77777777" w:rsidTr="003B5F56">
        <w:trPr>
          <w:trHeight w:val="510"/>
        </w:trPr>
        <w:tc>
          <w:tcPr>
            <w:tcW w:w="909" w:type="pct"/>
            <w:shd w:val="clear" w:color="auto" w:fill="auto"/>
            <w:vAlign w:val="center"/>
            <w:hideMark/>
          </w:tcPr>
          <w:p w14:paraId="5A6FC0CA" w14:textId="6A091A50" w:rsidR="00F021F1" w:rsidRPr="00B24745" w:rsidRDefault="00F021F1">
            <w:pPr>
              <w:rPr>
                <w:rFonts w:ascii="Arial" w:hAnsi="Arial" w:cs="Arial"/>
                <w:color w:val="000000"/>
                <w:sz w:val="24"/>
                <w:szCs w:val="24"/>
              </w:rPr>
            </w:pPr>
            <w:r w:rsidRPr="00B24745">
              <w:rPr>
                <w:rFonts w:ascii="Arial" w:hAnsi="Arial" w:cs="Arial"/>
                <w:color w:val="000000"/>
                <w:sz w:val="24"/>
                <w:szCs w:val="24"/>
              </w:rPr>
              <w:t>Nome</w:t>
            </w:r>
            <w:r w:rsidR="003B5F56" w:rsidRPr="00B24745">
              <w:rPr>
                <w:rFonts w:ascii="Arial" w:hAnsi="Arial" w:cs="Arial"/>
                <w:color w:val="000000"/>
                <w:sz w:val="24"/>
                <w:szCs w:val="24"/>
              </w:rPr>
              <w:t xml:space="preserve"> Completo</w:t>
            </w:r>
          </w:p>
        </w:tc>
        <w:tc>
          <w:tcPr>
            <w:tcW w:w="4091" w:type="pct"/>
            <w:gridSpan w:val="2"/>
            <w:shd w:val="clear" w:color="auto" w:fill="auto"/>
            <w:vAlign w:val="center"/>
          </w:tcPr>
          <w:p w14:paraId="0C43E452" w14:textId="77777777" w:rsidR="00F021F1" w:rsidRPr="00B24745" w:rsidRDefault="00F021F1">
            <w:pPr>
              <w:rPr>
                <w:rFonts w:ascii="Arial" w:hAnsi="Arial" w:cs="Arial"/>
                <w:color w:val="000000"/>
              </w:rPr>
            </w:pPr>
          </w:p>
        </w:tc>
      </w:tr>
      <w:tr w:rsidR="00267B34" w:rsidRPr="00B24745" w14:paraId="10E6B054" w14:textId="77777777" w:rsidTr="003B5F56">
        <w:trPr>
          <w:trHeight w:val="510"/>
        </w:trPr>
        <w:tc>
          <w:tcPr>
            <w:tcW w:w="909" w:type="pct"/>
            <w:shd w:val="clear" w:color="auto" w:fill="auto"/>
            <w:vAlign w:val="center"/>
            <w:hideMark/>
          </w:tcPr>
          <w:p w14:paraId="06270632" w14:textId="36F3EE4E" w:rsidR="00F021F1" w:rsidRPr="00B24745" w:rsidRDefault="00F021F1">
            <w:pPr>
              <w:rPr>
                <w:rFonts w:ascii="Arial" w:hAnsi="Arial" w:cs="Arial"/>
                <w:color w:val="000000"/>
                <w:sz w:val="24"/>
                <w:szCs w:val="24"/>
              </w:rPr>
            </w:pPr>
            <w:r w:rsidRPr="00B24745">
              <w:rPr>
                <w:rFonts w:ascii="Arial" w:hAnsi="Arial" w:cs="Arial"/>
                <w:color w:val="000000"/>
                <w:sz w:val="24"/>
                <w:szCs w:val="24"/>
              </w:rPr>
              <w:t>Empresa</w:t>
            </w:r>
            <w:r w:rsidR="003B5F56" w:rsidRPr="00B24745">
              <w:rPr>
                <w:rFonts w:ascii="Arial" w:hAnsi="Arial" w:cs="Arial"/>
                <w:color w:val="000000"/>
                <w:sz w:val="24"/>
                <w:szCs w:val="24"/>
              </w:rPr>
              <w:t>/Instituição</w:t>
            </w:r>
          </w:p>
        </w:tc>
        <w:tc>
          <w:tcPr>
            <w:tcW w:w="4091" w:type="pct"/>
            <w:gridSpan w:val="2"/>
            <w:shd w:val="clear" w:color="auto" w:fill="auto"/>
            <w:vAlign w:val="center"/>
          </w:tcPr>
          <w:p w14:paraId="22256D81" w14:textId="77777777" w:rsidR="00F021F1" w:rsidRPr="00B24745" w:rsidRDefault="00F021F1">
            <w:pPr>
              <w:rPr>
                <w:rFonts w:ascii="Arial" w:hAnsi="Arial" w:cs="Arial"/>
                <w:color w:val="000000"/>
              </w:rPr>
            </w:pPr>
          </w:p>
        </w:tc>
      </w:tr>
      <w:tr w:rsidR="00267B34" w:rsidRPr="00B24745" w14:paraId="7B0E02ED" w14:textId="77777777" w:rsidTr="003B5F56">
        <w:trPr>
          <w:trHeight w:val="510"/>
        </w:trPr>
        <w:tc>
          <w:tcPr>
            <w:tcW w:w="909" w:type="pct"/>
            <w:shd w:val="clear" w:color="auto" w:fill="auto"/>
            <w:vAlign w:val="center"/>
            <w:hideMark/>
          </w:tcPr>
          <w:p w14:paraId="7D073E69" w14:textId="77777777" w:rsidR="00F021F1" w:rsidRPr="00B24745" w:rsidRDefault="00F021F1">
            <w:pPr>
              <w:rPr>
                <w:rFonts w:ascii="Arial" w:hAnsi="Arial" w:cs="Arial"/>
                <w:color w:val="000000"/>
                <w:sz w:val="24"/>
                <w:szCs w:val="24"/>
              </w:rPr>
            </w:pPr>
            <w:r w:rsidRPr="00B24745">
              <w:rPr>
                <w:rFonts w:ascii="Arial" w:hAnsi="Arial" w:cs="Arial"/>
                <w:color w:val="000000"/>
                <w:sz w:val="24"/>
                <w:szCs w:val="24"/>
              </w:rPr>
              <w:t>E-mail</w:t>
            </w:r>
          </w:p>
        </w:tc>
        <w:tc>
          <w:tcPr>
            <w:tcW w:w="4091" w:type="pct"/>
            <w:gridSpan w:val="2"/>
            <w:shd w:val="clear" w:color="auto" w:fill="auto"/>
            <w:vAlign w:val="center"/>
          </w:tcPr>
          <w:p w14:paraId="19F22F51" w14:textId="77777777" w:rsidR="00F021F1" w:rsidRPr="00B24745" w:rsidRDefault="00F021F1">
            <w:pPr>
              <w:rPr>
                <w:rFonts w:ascii="Arial" w:hAnsi="Arial" w:cs="Arial"/>
                <w:color w:val="000000"/>
              </w:rPr>
            </w:pPr>
          </w:p>
        </w:tc>
      </w:tr>
      <w:tr w:rsidR="00CB10B6" w:rsidRPr="00B24745" w14:paraId="2C504365" w14:textId="77777777" w:rsidTr="003B5F56">
        <w:trPr>
          <w:trHeight w:val="510"/>
        </w:trPr>
        <w:tc>
          <w:tcPr>
            <w:tcW w:w="2495" w:type="pct"/>
            <w:gridSpan w:val="2"/>
            <w:shd w:val="clear" w:color="auto" w:fill="auto"/>
            <w:vAlign w:val="center"/>
          </w:tcPr>
          <w:p w14:paraId="63932965" w14:textId="460E5586" w:rsidR="00CB10B6" w:rsidRPr="00B24745" w:rsidRDefault="00CB10B6" w:rsidP="009B0C12">
            <w:pPr>
              <w:pStyle w:val="Legenda"/>
              <w:spacing w:before="120" w:after="120"/>
              <w:jc w:val="both"/>
              <w:rPr>
                <w:rFonts w:cs="Arial"/>
                <w:color w:val="000000"/>
                <w:szCs w:val="24"/>
              </w:rPr>
            </w:pPr>
            <w:r w:rsidRPr="00B24745">
              <w:rPr>
                <w:rFonts w:cs="Arial"/>
                <w:color w:val="000000"/>
                <w:szCs w:val="24"/>
              </w:rPr>
              <w:t xml:space="preserve">    </w:t>
            </w:r>
            <w:r w:rsidR="000C6A0B" w:rsidRPr="00B24745">
              <w:rPr>
                <w:rFonts w:cs="Arial"/>
                <w:color w:val="000000"/>
                <w:szCs w:val="24"/>
              </w:rPr>
              <w:sym w:font="Wingdings" w:char="F0A8"/>
            </w:r>
            <w:r w:rsidRPr="00B24745">
              <w:rPr>
                <w:rFonts w:cs="Arial"/>
                <w:color w:val="000000"/>
                <w:szCs w:val="24"/>
              </w:rPr>
              <w:t xml:space="preserve"> </w:t>
            </w:r>
            <w:r w:rsidR="009B0C12" w:rsidRPr="00B24745">
              <w:rPr>
                <w:rFonts w:cs="Arial"/>
                <w:color w:val="000000"/>
                <w:szCs w:val="24"/>
              </w:rPr>
              <w:t>Representante de agente econômico regulado pela ANP</w:t>
            </w:r>
          </w:p>
          <w:p w14:paraId="14E06482" w14:textId="5847EBB0" w:rsidR="00CB10B6" w:rsidRPr="00B24745" w:rsidRDefault="00CB10B6" w:rsidP="009B0C12">
            <w:pPr>
              <w:spacing w:before="120" w:after="120"/>
              <w:rPr>
                <w:rFonts w:ascii="Arial" w:hAnsi="Arial" w:cs="Arial"/>
                <w:color w:val="000000"/>
                <w:sz w:val="24"/>
                <w:szCs w:val="24"/>
              </w:rPr>
            </w:pPr>
            <w:r w:rsidRPr="00B24745">
              <w:rPr>
                <w:rFonts w:ascii="Arial" w:hAnsi="Arial" w:cs="Arial"/>
                <w:color w:val="000000"/>
                <w:sz w:val="24"/>
                <w:szCs w:val="24"/>
              </w:rPr>
              <w:t xml:space="preserve">    </w:t>
            </w:r>
            <w:r w:rsidR="000C6A0B" w:rsidRPr="00B24745">
              <w:rPr>
                <w:rFonts w:ascii="Arial" w:hAnsi="Arial" w:cs="Arial"/>
                <w:color w:val="000000"/>
                <w:sz w:val="24"/>
                <w:szCs w:val="24"/>
              </w:rPr>
              <w:sym w:font="Wingdings" w:char="F0A8"/>
            </w:r>
            <w:r w:rsidRPr="00B24745">
              <w:rPr>
                <w:rFonts w:ascii="Arial" w:hAnsi="Arial" w:cs="Arial"/>
                <w:color w:val="000000"/>
                <w:sz w:val="24"/>
                <w:szCs w:val="24"/>
              </w:rPr>
              <w:t xml:space="preserve"> </w:t>
            </w:r>
            <w:r w:rsidR="009B0C12" w:rsidRPr="00B24745">
              <w:rPr>
                <w:rFonts w:ascii="Arial" w:hAnsi="Arial" w:cs="Arial"/>
                <w:color w:val="000000"/>
                <w:sz w:val="24"/>
                <w:szCs w:val="24"/>
              </w:rPr>
              <w:t xml:space="preserve">Representante individual ou </w:t>
            </w:r>
            <w:r w:rsidRPr="00B24745">
              <w:rPr>
                <w:rFonts w:ascii="Arial" w:hAnsi="Arial" w:cs="Arial"/>
                <w:color w:val="000000"/>
                <w:sz w:val="24"/>
                <w:szCs w:val="24"/>
              </w:rPr>
              <w:t xml:space="preserve">consumidor </w:t>
            </w:r>
            <w:r w:rsidR="009B0C12" w:rsidRPr="00B24745">
              <w:rPr>
                <w:rFonts w:ascii="Arial" w:hAnsi="Arial" w:cs="Arial"/>
                <w:color w:val="000000"/>
                <w:sz w:val="24"/>
                <w:szCs w:val="24"/>
              </w:rPr>
              <w:t>final</w:t>
            </w:r>
          </w:p>
          <w:p w14:paraId="1FA7E5BB" w14:textId="0BBF5A79" w:rsidR="003B5F56" w:rsidRPr="00B24745" w:rsidRDefault="009B0C12" w:rsidP="009B0C12">
            <w:pPr>
              <w:spacing w:before="120" w:after="120"/>
              <w:rPr>
                <w:rFonts w:ascii="Arial" w:hAnsi="Arial" w:cs="Arial"/>
                <w:color w:val="000000"/>
                <w:sz w:val="24"/>
                <w:szCs w:val="24"/>
              </w:rPr>
            </w:pPr>
            <w:r w:rsidRPr="00B24745">
              <w:rPr>
                <w:rFonts w:ascii="Arial" w:hAnsi="Arial" w:cs="Arial"/>
                <w:color w:val="000000"/>
                <w:sz w:val="24"/>
                <w:szCs w:val="24"/>
              </w:rPr>
              <w:t xml:space="preserve">    </w:t>
            </w:r>
            <w:r w:rsidRPr="00B24745">
              <w:rPr>
                <w:rFonts w:ascii="Arial" w:hAnsi="Arial" w:cs="Arial"/>
                <w:color w:val="000000"/>
                <w:sz w:val="24"/>
                <w:szCs w:val="24"/>
              </w:rPr>
              <w:sym w:font="Wingdings" w:char="F0A8"/>
            </w:r>
            <w:r w:rsidRPr="00B24745">
              <w:rPr>
                <w:rFonts w:ascii="Arial" w:hAnsi="Arial" w:cs="Arial"/>
                <w:color w:val="000000"/>
                <w:sz w:val="24"/>
                <w:szCs w:val="24"/>
              </w:rPr>
              <w:t xml:space="preserve"> Representante órgão de sindicato, classe ou associação</w:t>
            </w:r>
          </w:p>
        </w:tc>
        <w:tc>
          <w:tcPr>
            <w:tcW w:w="2505" w:type="pct"/>
            <w:shd w:val="clear" w:color="auto" w:fill="auto"/>
            <w:vAlign w:val="center"/>
          </w:tcPr>
          <w:p w14:paraId="0724E8D7" w14:textId="2E92D401" w:rsidR="00BE0186" w:rsidRPr="00B24745" w:rsidRDefault="000C6A0B" w:rsidP="009B0C12">
            <w:pPr>
              <w:pStyle w:val="Legenda"/>
              <w:spacing w:before="120" w:after="120"/>
              <w:ind w:left="76"/>
              <w:jc w:val="both"/>
              <w:rPr>
                <w:rFonts w:cs="Arial"/>
                <w:color w:val="000000"/>
                <w:szCs w:val="24"/>
              </w:rPr>
            </w:pPr>
            <w:r w:rsidRPr="00B24745">
              <w:rPr>
                <w:rFonts w:cs="Arial"/>
                <w:color w:val="000000"/>
                <w:szCs w:val="24"/>
              </w:rPr>
              <w:sym w:font="Wingdings" w:char="F0A8"/>
            </w:r>
            <w:r w:rsidR="00BE0186" w:rsidRPr="00B24745">
              <w:rPr>
                <w:rFonts w:cs="Arial"/>
                <w:color w:val="000000"/>
                <w:szCs w:val="24"/>
              </w:rPr>
              <w:t xml:space="preserve"> </w:t>
            </w:r>
            <w:r w:rsidR="009B0C12" w:rsidRPr="00B24745">
              <w:rPr>
                <w:rFonts w:cs="Arial"/>
                <w:color w:val="000000"/>
                <w:szCs w:val="24"/>
              </w:rPr>
              <w:t>Representante de instituição governamental</w:t>
            </w:r>
          </w:p>
          <w:p w14:paraId="2E053289" w14:textId="7FC83A00" w:rsidR="00BE0186" w:rsidRPr="00B24745" w:rsidRDefault="000C6A0B" w:rsidP="009B0C12">
            <w:pPr>
              <w:pStyle w:val="Legenda"/>
              <w:spacing w:before="120" w:after="120"/>
              <w:ind w:left="76"/>
              <w:jc w:val="both"/>
              <w:rPr>
                <w:rFonts w:cs="Arial"/>
                <w:color w:val="000000"/>
                <w:szCs w:val="24"/>
              </w:rPr>
            </w:pPr>
            <w:r w:rsidRPr="00B24745">
              <w:rPr>
                <w:rFonts w:cs="Arial"/>
                <w:color w:val="000000"/>
                <w:szCs w:val="24"/>
              </w:rPr>
              <w:sym w:font="Wingdings" w:char="F0A8"/>
            </w:r>
            <w:r w:rsidR="00BE0186" w:rsidRPr="00B24745">
              <w:rPr>
                <w:rFonts w:cs="Arial"/>
                <w:color w:val="000000"/>
                <w:szCs w:val="24"/>
              </w:rPr>
              <w:t xml:space="preserve"> </w:t>
            </w:r>
            <w:r w:rsidR="009B0C12" w:rsidRPr="00B24745">
              <w:rPr>
                <w:rFonts w:cs="Arial"/>
                <w:color w:val="000000"/>
                <w:szCs w:val="24"/>
              </w:rPr>
              <w:t>Representante de órgãos de defesa do consumidor</w:t>
            </w:r>
          </w:p>
          <w:p w14:paraId="18706E9D" w14:textId="0771BB06" w:rsidR="00CB10B6" w:rsidRPr="00B24745" w:rsidRDefault="00BE0186" w:rsidP="009B0C12">
            <w:pPr>
              <w:spacing w:before="120" w:after="120"/>
              <w:rPr>
                <w:rFonts w:ascii="Arial" w:hAnsi="Arial" w:cs="Arial"/>
                <w:color w:val="000000"/>
              </w:rPr>
            </w:pPr>
            <w:r w:rsidRPr="00B24745">
              <w:rPr>
                <w:rFonts w:ascii="Arial" w:hAnsi="Arial" w:cs="Arial"/>
                <w:color w:val="000000"/>
                <w:sz w:val="24"/>
                <w:szCs w:val="24"/>
              </w:rPr>
              <w:t xml:space="preserve"> </w:t>
            </w:r>
            <w:r w:rsidR="000C6A0B" w:rsidRPr="00B24745">
              <w:rPr>
                <w:rFonts w:ascii="Arial" w:hAnsi="Arial" w:cs="Arial"/>
                <w:color w:val="000000"/>
                <w:sz w:val="24"/>
                <w:szCs w:val="24"/>
              </w:rPr>
              <w:sym w:font="Wingdings" w:char="F0A8"/>
            </w:r>
            <w:r w:rsidRPr="00B24745">
              <w:rPr>
                <w:rFonts w:ascii="Arial" w:hAnsi="Arial" w:cs="Arial"/>
                <w:color w:val="000000"/>
                <w:sz w:val="24"/>
                <w:szCs w:val="24"/>
              </w:rPr>
              <w:t xml:space="preserve"> </w:t>
            </w:r>
            <w:r w:rsidR="00E74CCE" w:rsidRPr="00B24745">
              <w:rPr>
                <w:rFonts w:ascii="Arial" w:hAnsi="Arial" w:cs="Arial"/>
                <w:color w:val="000000"/>
                <w:sz w:val="24"/>
                <w:szCs w:val="24"/>
              </w:rPr>
              <w:t>O</w:t>
            </w:r>
            <w:r w:rsidR="009B0C12" w:rsidRPr="00B24745">
              <w:rPr>
                <w:rFonts w:ascii="Arial" w:hAnsi="Arial" w:cs="Arial"/>
                <w:color w:val="000000"/>
                <w:sz w:val="24"/>
                <w:szCs w:val="24"/>
              </w:rPr>
              <w:t>utro: ___________________________________</w:t>
            </w:r>
          </w:p>
        </w:tc>
      </w:tr>
    </w:tbl>
    <w:p w14:paraId="1E3642AD" w14:textId="77777777" w:rsidR="00073BBE" w:rsidRPr="00B24745" w:rsidRDefault="00073BBE" w:rsidP="009B0C12">
      <w:pPr>
        <w:rPr>
          <w:rFonts w:ascii="Arial" w:hAnsi="Arial" w:cs="Arial"/>
          <w:b/>
          <w:sz w:val="24"/>
          <w:szCs w:val="24"/>
        </w:rPr>
      </w:pPr>
    </w:p>
    <w:p w14:paraId="0FC7D92A" w14:textId="5272D25A" w:rsidR="00D6313C" w:rsidRDefault="0098022F" w:rsidP="00504858">
      <w:pPr>
        <w:spacing w:before="120" w:after="120"/>
        <w:rPr>
          <w:rFonts w:ascii="Arial" w:hAnsi="Arial" w:cs="Arial"/>
          <w:b/>
          <w:sz w:val="24"/>
          <w:szCs w:val="24"/>
        </w:rPr>
      </w:pPr>
      <w:r w:rsidRPr="00B24745">
        <w:rPr>
          <w:rFonts w:ascii="Arial" w:hAnsi="Arial" w:cs="Arial"/>
          <w:b/>
          <w:sz w:val="24"/>
          <w:szCs w:val="24"/>
        </w:rPr>
        <w:t>Questões para Discussão</w:t>
      </w:r>
      <w:r w:rsidR="002B4238" w:rsidRPr="00B24745">
        <w:rPr>
          <w:rFonts w:ascii="Arial" w:hAnsi="Arial" w:cs="Arial"/>
          <w:b/>
          <w:sz w:val="24"/>
          <w:szCs w:val="24"/>
        </w:rPr>
        <w:t>:</w:t>
      </w:r>
    </w:p>
    <w:tbl>
      <w:tblPr>
        <w:tblW w:w="14034" w:type="dxa"/>
        <w:tblInd w:w="2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014"/>
        <w:gridCol w:w="6010"/>
        <w:gridCol w:w="6010"/>
      </w:tblGrid>
      <w:tr w:rsidR="00C55832" w:rsidRPr="00BB004F" w14:paraId="18E4E375" w14:textId="77777777" w:rsidTr="00062367">
        <w:trPr>
          <w:trHeight w:val="680"/>
          <w:tblHeader/>
        </w:trPr>
        <w:tc>
          <w:tcPr>
            <w:tcW w:w="2014" w:type="dxa"/>
            <w:tcBorders>
              <w:top w:val="single" w:sz="12" w:space="0" w:color="auto"/>
              <w:bottom w:val="single" w:sz="12" w:space="0" w:color="auto"/>
            </w:tcBorders>
            <w:shd w:val="clear" w:color="auto" w:fill="C2D69B"/>
            <w:tcMar>
              <w:top w:w="20" w:type="dxa"/>
              <w:left w:w="20" w:type="dxa"/>
              <w:bottom w:w="0" w:type="dxa"/>
              <w:right w:w="20" w:type="dxa"/>
            </w:tcMar>
            <w:vAlign w:val="center"/>
          </w:tcPr>
          <w:p w14:paraId="7E56CC5B" w14:textId="77777777" w:rsidR="00C55832" w:rsidRPr="002856AE" w:rsidRDefault="00C55832" w:rsidP="00C55832">
            <w:pPr>
              <w:jc w:val="center"/>
              <w:rPr>
                <w:rFonts w:ascii="Arial" w:hAnsi="Arial" w:cs="Arial"/>
                <w:b/>
                <w:sz w:val="22"/>
                <w:szCs w:val="22"/>
              </w:rPr>
            </w:pPr>
            <w:r w:rsidRPr="002856AE">
              <w:rPr>
                <w:rFonts w:ascii="Arial" w:hAnsi="Arial" w:cs="Arial"/>
                <w:b/>
                <w:sz w:val="22"/>
                <w:szCs w:val="22"/>
              </w:rPr>
              <w:t>SEÇÃO/</w:t>
            </w:r>
          </w:p>
          <w:p w14:paraId="0ED214FA" w14:textId="62EABB96" w:rsidR="00C55832" w:rsidRPr="002856AE" w:rsidRDefault="00C55832" w:rsidP="00C55832">
            <w:pPr>
              <w:jc w:val="center"/>
              <w:rPr>
                <w:rFonts w:ascii="Arial" w:hAnsi="Arial" w:cs="Arial"/>
                <w:b/>
                <w:sz w:val="22"/>
                <w:szCs w:val="22"/>
              </w:rPr>
            </w:pPr>
            <w:r w:rsidRPr="002856AE">
              <w:rPr>
                <w:rFonts w:ascii="Arial" w:hAnsi="Arial" w:cs="Arial"/>
                <w:b/>
                <w:sz w:val="22"/>
                <w:szCs w:val="22"/>
              </w:rPr>
              <w:t>SUBSEÇÃO DO DOCUMENTO</w:t>
            </w:r>
          </w:p>
        </w:tc>
        <w:tc>
          <w:tcPr>
            <w:tcW w:w="6010" w:type="dxa"/>
            <w:tcBorders>
              <w:top w:val="single" w:sz="12" w:space="0" w:color="auto"/>
              <w:bottom w:val="single" w:sz="12" w:space="0" w:color="auto"/>
            </w:tcBorders>
            <w:shd w:val="clear" w:color="auto" w:fill="C2D69B"/>
            <w:tcMar>
              <w:top w:w="20" w:type="dxa"/>
              <w:left w:w="20" w:type="dxa"/>
              <w:bottom w:w="0" w:type="dxa"/>
              <w:right w:w="20" w:type="dxa"/>
            </w:tcMar>
            <w:vAlign w:val="center"/>
          </w:tcPr>
          <w:p w14:paraId="1482BF76" w14:textId="77671544" w:rsidR="00C55832" w:rsidRPr="002856AE" w:rsidRDefault="00C55832" w:rsidP="00C729E0">
            <w:pPr>
              <w:jc w:val="center"/>
              <w:rPr>
                <w:rFonts w:ascii="Arial" w:eastAsia="Arial Unicode MS" w:hAnsi="Arial" w:cs="Arial"/>
                <w:b/>
                <w:sz w:val="22"/>
                <w:szCs w:val="22"/>
              </w:rPr>
            </w:pPr>
            <w:r w:rsidRPr="002856AE">
              <w:rPr>
                <w:rFonts w:ascii="Arial" w:hAnsi="Arial" w:cs="Arial"/>
                <w:b/>
                <w:sz w:val="22"/>
                <w:szCs w:val="22"/>
              </w:rPr>
              <w:t>QUESTÃO PARA DISCUSSÃO</w:t>
            </w:r>
          </w:p>
        </w:tc>
        <w:tc>
          <w:tcPr>
            <w:tcW w:w="6010" w:type="dxa"/>
            <w:tcBorders>
              <w:top w:val="single" w:sz="12" w:space="0" w:color="auto"/>
              <w:bottom w:val="single" w:sz="12" w:space="0" w:color="auto"/>
            </w:tcBorders>
            <w:shd w:val="clear" w:color="auto" w:fill="C2D69B"/>
            <w:tcMar>
              <w:top w:w="20" w:type="dxa"/>
              <w:left w:w="20" w:type="dxa"/>
              <w:bottom w:w="0" w:type="dxa"/>
              <w:right w:w="20" w:type="dxa"/>
            </w:tcMar>
            <w:vAlign w:val="center"/>
          </w:tcPr>
          <w:p w14:paraId="76F7BB99" w14:textId="6388E7BB" w:rsidR="00C55832" w:rsidRPr="002856AE" w:rsidRDefault="00C55832" w:rsidP="00C729E0">
            <w:pPr>
              <w:jc w:val="center"/>
              <w:rPr>
                <w:rFonts w:ascii="Arial" w:eastAsia="Arial Unicode MS" w:hAnsi="Arial" w:cs="Arial"/>
                <w:b/>
                <w:sz w:val="22"/>
                <w:szCs w:val="22"/>
              </w:rPr>
            </w:pPr>
            <w:r w:rsidRPr="002856AE">
              <w:rPr>
                <w:rFonts w:ascii="Arial" w:eastAsia="Arial Unicode MS" w:hAnsi="Arial" w:cs="Arial"/>
                <w:b/>
                <w:sz w:val="22"/>
                <w:szCs w:val="22"/>
              </w:rPr>
              <w:t>RESPOSTA</w:t>
            </w:r>
          </w:p>
        </w:tc>
      </w:tr>
      <w:tr w:rsidR="00C55832" w14:paraId="408B39C3" w14:textId="77777777" w:rsidTr="00062367">
        <w:trPr>
          <w:trHeight w:val="1730"/>
        </w:trPr>
        <w:tc>
          <w:tcPr>
            <w:tcW w:w="2014" w:type="dxa"/>
            <w:tcBorders>
              <w:top w:val="single" w:sz="12" w:space="0" w:color="auto"/>
              <w:bottom w:val="single" w:sz="8" w:space="0" w:color="auto"/>
            </w:tcBorders>
            <w:shd w:val="clear" w:color="auto" w:fill="FFFFFF"/>
            <w:tcMar>
              <w:top w:w="20" w:type="dxa"/>
              <w:left w:w="20" w:type="dxa"/>
              <w:bottom w:w="0" w:type="dxa"/>
              <w:right w:w="20" w:type="dxa"/>
            </w:tcMar>
            <w:vAlign w:val="center"/>
          </w:tcPr>
          <w:p w14:paraId="1FF6B12F" w14:textId="35D2FC97" w:rsidR="00C55832" w:rsidRPr="002856AE" w:rsidRDefault="00C55832" w:rsidP="00C55832">
            <w:pPr>
              <w:spacing w:before="60" w:after="60"/>
              <w:ind w:left="57" w:right="57"/>
              <w:jc w:val="center"/>
              <w:rPr>
                <w:rFonts w:ascii="Arial" w:eastAsia="Arial Unicode MS" w:hAnsi="Arial" w:cs="Arial"/>
                <w:sz w:val="22"/>
                <w:szCs w:val="22"/>
              </w:rPr>
            </w:pPr>
            <w:r w:rsidRPr="002856AE">
              <w:rPr>
                <w:rFonts w:ascii="Arial" w:eastAsia="Arial Unicode MS" w:hAnsi="Arial" w:cs="Arial"/>
                <w:sz w:val="22"/>
                <w:szCs w:val="22"/>
              </w:rPr>
              <w:t>IV.3 - Contratação Bilateral e Mercado Organizado</w:t>
            </w:r>
          </w:p>
        </w:tc>
        <w:tc>
          <w:tcPr>
            <w:tcW w:w="6010" w:type="dxa"/>
            <w:tcBorders>
              <w:top w:val="single" w:sz="12" w:space="0" w:color="auto"/>
              <w:bottom w:val="single" w:sz="8" w:space="0" w:color="auto"/>
            </w:tcBorders>
            <w:shd w:val="clear" w:color="auto" w:fill="FFFFFF"/>
            <w:tcMar>
              <w:top w:w="20" w:type="dxa"/>
              <w:left w:w="20" w:type="dxa"/>
              <w:bottom w:w="0" w:type="dxa"/>
              <w:right w:w="20" w:type="dxa"/>
            </w:tcMar>
            <w:vAlign w:val="center"/>
          </w:tcPr>
          <w:p w14:paraId="2A557593" w14:textId="24D784CD" w:rsidR="00C55832" w:rsidRPr="002856AE" w:rsidRDefault="00C55832" w:rsidP="00DB7C2F">
            <w:pPr>
              <w:spacing w:before="60" w:after="60"/>
              <w:ind w:left="57" w:right="57"/>
              <w:jc w:val="both"/>
              <w:rPr>
                <w:rFonts w:ascii="Arial" w:eastAsia="Arial Unicode MS" w:hAnsi="Arial" w:cs="Arial"/>
                <w:sz w:val="22"/>
                <w:szCs w:val="22"/>
              </w:rPr>
            </w:pPr>
            <w:r w:rsidRPr="002856AE">
              <w:rPr>
                <w:rFonts w:ascii="Arial" w:hAnsi="Arial" w:cs="Arial"/>
                <w:sz w:val="22"/>
                <w:szCs w:val="22"/>
              </w:rPr>
              <w:t>Qual deve ser o critério de seleção da entidade administradora do mercado de gás natural? A ANP deveria permitir apenas uma entidade administradora ou o processo deve ser aberto aos possíveis interessados que se enquadrem nos requisitos regulatórios e técnicos?</w:t>
            </w:r>
          </w:p>
        </w:tc>
        <w:tc>
          <w:tcPr>
            <w:tcW w:w="6010" w:type="dxa"/>
            <w:tcBorders>
              <w:top w:val="single" w:sz="12" w:space="0" w:color="auto"/>
              <w:bottom w:val="single" w:sz="8" w:space="0" w:color="auto"/>
            </w:tcBorders>
            <w:shd w:val="clear" w:color="auto" w:fill="FFFFFF"/>
            <w:tcMar>
              <w:top w:w="20" w:type="dxa"/>
              <w:left w:w="20" w:type="dxa"/>
              <w:bottom w:w="0" w:type="dxa"/>
              <w:right w:w="20" w:type="dxa"/>
            </w:tcMar>
            <w:vAlign w:val="center"/>
          </w:tcPr>
          <w:p w14:paraId="2B8C4DA3" w14:textId="77777777" w:rsidR="00C55832" w:rsidRPr="002856AE" w:rsidRDefault="00C55832" w:rsidP="00C55832">
            <w:pPr>
              <w:spacing w:before="60" w:after="60"/>
              <w:rPr>
                <w:rFonts w:ascii="Arial" w:eastAsia="Arial Unicode MS" w:hAnsi="Arial" w:cs="Arial"/>
                <w:sz w:val="22"/>
                <w:szCs w:val="22"/>
              </w:rPr>
            </w:pPr>
            <w:r w:rsidRPr="002856AE">
              <w:rPr>
                <w:rFonts w:ascii="Arial" w:hAnsi="Arial" w:cs="Arial"/>
                <w:sz w:val="22"/>
                <w:szCs w:val="22"/>
              </w:rPr>
              <w:t> </w:t>
            </w:r>
          </w:p>
        </w:tc>
      </w:tr>
      <w:tr w:rsidR="00C55832" w14:paraId="374695D3" w14:textId="77777777" w:rsidTr="00062367">
        <w:trPr>
          <w:trHeight w:val="1730"/>
        </w:trPr>
        <w:tc>
          <w:tcPr>
            <w:tcW w:w="2014" w:type="dxa"/>
            <w:tcBorders>
              <w:top w:val="single" w:sz="8" w:space="0" w:color="auto"/>
              <w:bottom w:val="single" w:sz="8" w:space="0" w:color="auto"/>
            </w:tcBorders>
            <w:shd w:val="clear" w:color="auto" w:fill="FFFFFF"/>
            <w:tcMar>
              <w:top w:w="20" w:type="dxa"/>
              <w:left w:w="20" w:type="dxa"/>
              <w:bottom w:w="0" w:type="dxa"/>
              <w:right w:w="20" w:type="dxa"/>
            </w:tcMar>
            <w:vAlign w:val="center"/>
          </w:tcPr>
          <w:p w14:paraId="3833B59F" w14:textId="7A3102F2" w:rsidR="00C55832" w:rsidRPr="002856AE" w:rsidRDefault="00C55832" w:rsidP="00C55832">
            <w:pPr>
              <w:spacing w:before="60" w:after="60"/>
              <w:ind w:left="57" w:right="57"/>
              <w:jc w:val="center"/>
              <w:rPr>
                <w:rFonts w:ascii="Arial" w:eastAsia="Arial Unicode MS" w:hAnsi="Arial" w:cs="Arial"/>
                <w:sz w:val="22"/>
                <w:szCs w:val="22"/>
              </w:rPr>
            </w:pPr>
            <w:r w:rsidRPr="002856AE">
              <w:rPr>
                <w:rFonts w:ascii="Arial" w:eastAsia="Arial Unicode MS" w:hAnsi="Arial" w:cs="Arial"/>
                <w:sz w:val="22"/>
                <w:szCs w:val="22"/>
              </w:rPr>
              <w:lastRenderedPageBreak/>
              <w:t>IV.3 - Contratação Bilateral e Mercado Organizado</w:t>
            </w:r>
          </w:p>
        </w:tc>
        <w:tc>
          <w:tcPr>
            <w:tcW w:w="6010" w:type="dxa"/>
            <w:tcBorders>
              <w:top w:val="single" w:sz="8" w:space="0" w:color="auto"/>
              <w:bottom w:val="single" w:sz="8" w:space="0" w:color="auto"/>
            </w:tcBorders>
            <w:shd w:val="clear" w:color="auto" w:fill="FFFFFF"/>
            <w:tcMar>
              <w:top w:w="20" w:type="dxa"/>
              <w:left w:w="20" w:type="dxa"/>
              <w:bottom w:w="0" w:type="dxa"/>
              <w:right w:w="20" w:type="dxa"/>
            </w:tcMar>
            <w:vAlign w:val="center"/>
          </w:tcPr>
          <w:p w14:paraId="41701AD7" w14:textId="7B0E6A83" w:rsidR="00C55832" w:rsidRPr="002856AE" w:rsidRDefault="00C55832" w:rsidP="00DB7C2F">
            <w:pPr>
              <w:spacing w:before="60" w:after="60"/>
              <w:ind w:left="57" w:right="57"/>
              <w:jc w:val="both"/>
              <w:rPr>
                <w:rFonts w:ascii="Arial" w:hAnsi="Arial" w:cs="Arial"/>
                <w:sz w:val="22"/>
                <w:szCs w:val="22"/>
              </w:rPr>
            </w:pPr>
            <w:r w:rsidRPr="002856AE">
              <w:rPr>
                <w:rFonts w:ascii="Arial" w:eastAsia="Arial Unicode MS" w:hAnsi="Arial" w:cs="Arial"/>
                <w:sz w:val="22"/>
                <w:szCs w:val="22"/>
              </w:rPr>
              <w:t xml:space="preserve">As atividades de </w:t>
            </w:r>
            <w:proofErr w:type="spellStart"/>
            <w:r w:rsidRPr="002856AE">
              <w:rPr>
                <w:rFonts w:ascii="Arial" w:eastAsia="Arial Unicode MS" w:hAnsi="Arial" w:cs="Arial"/>
                <w:i/>
                <w:iCs/>
                <w:sz w:val="22"/>
                <w:szCs w:val="22"/>
              </w:rPr>
              <w:t>clearing</w:t>
            </w:r>
            <w:proofErr w:type="spellEnd"/>
            <w:r w:rsidRPr="002856AE">
              <w:rPr>
                <w:rFonts w:ascii="Arial" w:eastAsia="Arial Unicode MS" w:hAnsi="Arial" w:cs="Arial"/>
                <w:sz w:val="22"/>
                <w:szCs w:val="22"/>
              </w:rPr>
              <w:t xml:space="preserve"> (registro, aceitação, compensação, liquidação e gerenciamento do risco) das ordens de compra e venda na bolsa de gás natural deverá ser realizada por câmara de liquidação independente ou integrada à bolsa?</w:t>
            </w:r>
          </w:p>
        </w:tc>
        <w:tc>
          <w:tcPr>
            <w:tcW w:w="6010" w:type="dxa"/>
            <w:tcBorders>
              <w:top w:val="single" w:sz="8" w:space="0" w:color="auto"/>
              <w:bottom w:val="single" w:sz="8" w:space="0" w:color="auto"/>
            </w:tcBorders>
            <w:shd w:val="clear" w:color="auto" w:fill="FFFFFF"/>
            <w:tcMar>
              <w:top w:w="20" w:type="dxa"/>
              <w:left w:w="20" w:type="dxa"/>
              <w:bottom w:w="0" w:type="dxa"/>
              <w:right w:w="20" w:type="dxa"/>
            </w:tcMar>
            <w:vAlign w:val="center"/>
          </w:tcPr>
          <w:p w14:paraId="04C29123" w14:textId="77777777" w:rsidR="00C55832" w:rsidRPr="002856AE" w:rsidRDefault="00C55832" w:rsidP="00C55832">
            <w:pPr>
              <w:spacing w:before="60" w:after="60"/>
              <w:rPr>
                <w:rFonts w:ascii="Arial" w:hAnsi="Arial" w:cs="Arial"/>
                <w:sz w:val="22"/>
                <w:szCs w:val="22"/>
              </w:rPr>
            </w:pPr>
          </w:p>
        </w:tc>
      </w:tr>
      <w:tr w:rsidR="00C55832" w14:paraId="3104A637" w14:textId="77777777" w:rsidTr="00062367">
        <w:trPr>
          <w:trHeight w:val="1730"/>
        </w:trPr>
        <w:tc>
          <w:tcPr>
            <w:tcW w:w="2014" w:type="dxa"/>
            <w:tcBorders>
              <w:top w:val="single" w:sz="8" w:space="0" w:color="auto"/>
              <w:bottom w:val="single" w:sz="8" w:space="0" w:color="auto"/>
            </w:tcBorders>
            <w:shd w:val="clear" w:color="auto" w:fill="FFFFFF"/>
            <w:tcMar>
              <w:top w:w="20" w:type="dxa"/>
              <w:left w:w="20" w:type="dxa"/>
              <w:bottom w:w="0" w:type="dxa"/>
              <w:right w:w="20" w:type="dxa"/>
            </w:tcMar>
            <w:vAlign w:val="center"/>
          </w:tcPr>
          <w:p w14:paraId="29EE9CA4" w14:textId="454AF2CD" w:rsidR="00C55832" w:rsidRPr="002856AE" w:rsidRDefault="00C55832" w:rsidP="00C55832">
            <w:pPr>
              <w:spacing w:before="60" w:after="60"/>
              <w:ind w:left="57" w:right="57"/>
              <w:jc w:val="center"/>
              <w:rPr>
                <w:rFonts w:ascii="Arial" w:eastAsia="Arial Unicode MS" w:hAnsi="Arial" w:cs="Arial"/>
                <w:sz w:val="22"/>
                <w:szCs w:val="22"/>
              </w:rPr>
            </w:pPr>
            <w:r w:rsidRPr="002856AE">
              <w:rPr>
                <w:rFonts w:ascii="Arial" w:eastAsia="Arial Unicode MS" w:hAnsi="Arial" w:cs="Arial"/>
                <w:sz w:val="22"/>
                <w:szCs w:val="22"/>
              </w:rPr>
              <w:t>IV.3 - Contratação Bilateral e Mercado Organizado</w:t>
            </w:r>
          </w:p>
        </w:tc>
        <w:tc>
          <w:tcPr>
            <w:tcW w:w="6010" w:type="dxa"/>
            <w:tcBorders>
              <w:top w:val="single" w:sz="8" w:space="0" w:color="auto"/>
              <w:bottom w:val="single" w:sz="8" w:space="0" w:color="auto"/>
            </w:tcBorders>
            <w:shd w:val="clear" w:color="auto" w:fill="FFFFFF"/>
            <w:tcMar>
              <w:top w:w="20" w:type="dxa"/>
              <w:left w:w="20" w:type="dxa"/>
              <w:bottom w:w="0" w:type="dxa"/>
              <w:right w:w="20" w:type="dxa"/>
            </w:tcMar>
            <w:vAlign w:val="center"/>
          </w:tcPr>
          <w:p w14:paraId="7C0C7635" w14:textId="73190CB6" w:rsidR="00C55832" w:rsidRPr="002856AE" w:rsidRDefault="00C55832" w:rsidP="00DB7C2F">
            <w:pPr>
              <w:spacing w:before="60" w:after="60"/>
              <w:ind w:left="57" w:right="57"/>
              <w:jc w:val="both"/>
              <w:rPr>
                <w:rFonts w:ascii="Arial" w:hAnsi="Arial" w:cs="Arial"/>
                <w:sz w:val="22"/>
                <w:szCs w:val="22"/>
              </w:rPr>
            </w:pPr>
            <w:r w:rsidRPr="002856AE">
              <w:rPr>
                <w:rFonts w:ascii="Arial" w:eastAsia="Arial Unicode MS" w:hAnsi="Arial" w:cs="Arial"/>
                <w:sz w:val="22"/>
                <w:szCs w:val="22"/>
              </w:rPr>
              <w:t>As transações bilaterais em mercados de balcão devem envolver apenas a venda de gás para entrega no ponto virtual de negociação?</w:t>
            </w:r>
          </w:p>
        </w:tc>
        <w:tc>
          <w:tcPr>
            <w:tcW w:w="6010" w:type="dxa"/>
            <w:tcBorders>
              <w:top w:val="single" w:sz="8" w:space="0" w:color="auto"/>
              <w:bottom w:val="single" w:sz="8" w:space="0" w:color="auto"/>
            </w:tcBorders>
            <w:shd w:val="clear" w:color="auto" w:fill="FFFFFF"/>
            <w:tcMar>
              <w:top w:w="20" w:type="dxa"/>
              <w:left w:w="20" w:type="dxa"/>
              <w:bottom w:w="0" w:type="dxa"/>
              <w:right w:w="20" w:type="dxa"/>
            </w:tcMar>
            <w:vAlign w:val="center"/>
          </w:tcPr>
          <w:p w14:paraId="051FD395" w14:textId="77777777" w:rsidR="00C55832" w:rsidRPr="002856AE" w:rsidRDefault="00C55832" w:rsidP="00C55832">
            <w:pPr>
              <w:spacing w:before="60" w:after="60"/>
              <w:rPr>
                <w:rFonts w:ascii="Arial" w:hAnsi="Arial" w:cs="Arial"/>
                <w:sz w:val="22"/>
                <w:szCs w:val="22"/>
              </w:rPr>
            </w:pPr>
          </w:p>
        </w:tc>
      </w:tr>
      <w:tr w:rsidR="00C55832" w14:paraId="0A8828FC" w14:textId="77777777" w:rsidTr="00062367">
        <w:trPr>
          <w:trHeight w:val="1730"/>
        </w:trPr>
        <w:tc>
          <w:tcPr>
            <w:tcW w:w="2014" w:type="dxa"/>
            <w:tcBorders>
              <w:top w:val="single" w:sz="8" w:space="0" w:color="auto"/>
              <w:bottom w:val="single" w:sz="8" w:space="0" w:color="auto"/>
            </w:tcBorders>
            <w:shd w:val="clear" w:color="auto" w:fill="FFFFFF"/>
            <w:tcMar>
              <w:top w:w="20" w:type="dxa"/>
              <w:left w:w="20" w:type="dxa"/>
              <w:bottom w:w="0" w:type="dxa"/>
              <w:right w:w="20" w:type="dxa"/>
            </w:tcMar>
            <w:vAlign w:val="center"/>
          </w:tcPr>
          <w:p w14:paraId="1A695078" w14:textId="67518A19" w:rsidR="00C55832" w:rsidRPr="002856AE" w:rsidRDefault="00C55832" w:rsidP="00C55832">
            <w:pPr>
              <w:spacing w:before="60" w:after="60"/>
              <w:ind w:left="57" w:right="57"/>
              <w:jc w:val="center"/>
              <w:rPr>
                <w:rFonts w:ascii="Arial" w:eastAsia="Arial Unicode MS" w:hAnsi="Arial" w:cs="Arial"/>
                <w:sz w:val="22"/>
                <w:szCs w:val="22"/>
              </w:rPr>
            </w:pPr>
            <w:r w:rsidRPr="002856AE">
              <w:rPr>
                <w:rFonts w:ascii="Arial" w:eastAsia="Arial Unicode MS" w:hAnsi="Arial" w:cs="Arial"/>
                <w:sz w:val="22"/>
                <w:szCs w:val="22"/>
              </w:rPr>
              <w:t>IV.3 - Contratação Bilateral e Mercado Organizado</w:t>
            </w:r>
          </w:p>
        </w:tc>
        <w:tc>
          <w:tcPr>
            <w:tcW w:w="6010" w:type="dxa"/>
            <w:tcBorders>
              <w:top w:val="single" w:sz="8" w:space="0" w:color="auto"/>
              <w:bottom w:val="single" w:sz="8" w:space="0" w:color="auto"/>
            </w:tcBorders>
            <w:shd w:val="clear" w:color="auto" w:fill="FFFFFF"/>
            <w:tcMar>
              <w:top w:w="20" w:type="dxa"/>
              <w:left w:w="20" w:type="dxa"/>
              <w:bottom w:w="0" w:type="dxa"/>
              <w:right w:w="20" w:type="dxa"/>
            </w:tcMar>
            <w:vAlign w:val="center"/>
          </w:tcPr>
          <w:p w14:paraId="300BA5EB" w14:textId="23099C54" w:rsidR="00C55832" w:rsidRPr="002856AE" w:rsidRDefault="00C55832" w:rsidP="00DB7C2F">
            <w:pPr>
              <w:spacing w:before="60" w:after="60"/>
              <w:ind w:left="57" w:right="57"/>
              <w:jc w:val="both"/>
              <w:rPr>
                <w:rFonts w:ascii="Arial" w:hAnsi="Arial" w:cs="Arial"/>
                <w:sz w:val="22"/>
                <w:szCs w:val="22"/>
              </w:rPr>
            </w:pPr>
            <w:r w:rsidRPr="002856AE">
              <w:rPr>
                <w:rFonts w:ascii="Arial" w:eastAsia="Arial Unicode MS" w:hAnsi="Arial" w:cs="Arial"/>
                <w:sz w:val="22"/>
                <w:szCs w:val="22"/>
              </w:rPr>
              <w:t>O comercializador que desejar transacionar apenas no ponto virtual de negociação (PVN) sem adquirir produtos de capacidade (“</w:t>
            </w:r>
            <w:proofErr w:type="spellStart"/>
            <w:r w:rsidRPr="002856AE">
              <w:rPr>
                <w:rFonts w:ascii="Arial" w:eastAsia="Arial Unicode MS" w:hAnsi="Arial" w:cs="Arial"/>
                <w:i/>
                <w:iCs/>
                <w:sz w:val="22"/>
                <w:szCs w:val="22"/>
              </w:rPr>
              <w:t>traders</w:t>
            </w:r>
            <w:proofErr w:type="spellEnd"/>
            <w:r w:rsidRPr="002856AE">
              <w:rPr>
                <w:rFonts w:ascii="Arial" w:eastAsia="Arial Unicode MS" w:hAnsi="Arial" w:cs="Arial"/>
                <w:sz w:val="22"/>
                <w:szCs w:val="22"/>
              </w:rPr>
              <w:t>”), ou seja, que tenta zerar a sua posição até o prazo da liquidação física, deve possuir uma autorização de carregamento normal ou específica?</w:t>
            </w:r>
          </w:p>
        </w:tc>
        <w:tc>
          <w:tcPr>
            <w:tcW w:w="6010" w:type="dxa"/>
            <w:tcBorders>
              <w:top w:val="single" w:sz="8" w:space="0" w:color="auto"/>
              <w:bottom w:val="single" w:sz="8" w:space="0" w:color="auto"/>
            </w:tcBorders>
            <w:shd w:val="clear" w:color="auto" w:fill="FFFFFF"/>
            <w:tcMar>
              <w:top w:w="20" w:type="dxa"/>
              <w:left w:w="20" w:type="dxa"/>
              <w:bottom w:w="0" w:type="dxa"/>
              <w:right w:w="20" w:type="dxa"/>
            </w:tcMar>
            <w:vAlign w:val="center"/>
          </w:tcPr>
          <w:p w14:paraId="49E8FEEA" w14:textId="77777777" w:rsidR="00C55832" w:rsidRPr="002856AE" w:rsidRDefault="00C55832" w:rsidP="00C55832">
            <w:pPr>
              <w:spacing w:before="60" w:after="60"/>
              <w:rPr>
                <w:rFonts w:ascii="Arial" w:hAnsi="Arial" w:cs="Arial"/>
                <w:sz w:val="22"/>
                <w:szCs w:val="22"/>
              </w:rPr>
            </w:pPr>
          </w:p>
        </w:tc>
      </w:tr>
      <w:tr w:rsidR="00C55832" w14:paraId="3BDD18B9" w14:textId="77777777" w:rsidTr="00062367">
        <w:trPr>
          <w:trHeight w:val="1730"/>
        </w:trPr>
        <w:tc>
          <w:tcPr>
            <w:tcW w:w="2014" w:type="dxa"/>
            <w:tcBorders>
              <w:top w:val="single" w:sz="8" w:space="0" w:color="auto"/>
              <w:bottom w:val="single" w:sz="8" w:space="0" w:color="auto"/>
            </w:tcBorders>
            <w:shd w:val="clear" w:color="auto" w:fill="FFFFFF"/>
            <w:tcMar>
              <w:top w:w="20" w:type="dxa"/>
              <w:left w:w="20" w:type="dxa"/>
              <w:bottom w:w="0" w:type="dxa"/>
              <w:right w:w="20" w:type="dxa"/>
            </w:tcMar>
            <w:vAlign w:val="center"/>
          </w:tcPr>
          <w:p w14:paraId="2498F416" w14:textId="3E2BC2F0" w:rsidR="00C55832" w:rsidRPr="002856AE" w:rsidRDefault="00C55832" w:rsidP="00C55832">
            <w:pPr>
              <w:spacing w:before="60" w:after="60"/>
              <w:ind w:left="57" w:right="57"/>
              <w:jc w:val="center"/>
              <w:rPr>
                <w:rFonts w:ascii="Arial" w:eastAsia="Arial Unicode MS" w:hAnsi="Arial" w:cs="Arial"/>
                <w:sz w:val="22"/>
                <w:szCs w:val="22"/>
              </w:rPr>
            </w:pPr>
            <w:r w:rsidRPr="002856AE">
              <w:rPr>
                <w:rFonts w:ascii="Arial" w:hAnsi="Arial" w:cs="Arial"/>
                <w:sz w:val="22"/>
                <w:szCs w:val="22"/>
              </w:rPr>
              <w:t>IV.5 - Áreas de Mercado de Capacidade</w:t>
            </w:r>
          </w:p>
        </w:tc>
        <w:tc>
          <w:tcPr>
            <w:tcW w:w="6010" w:type="dxa"/>
            <w:tcBorders>
              <w:top w:val="single" w:sz="8" w:space="0" w:color="auto"/>
              <w:bottom w:val="single" w:sz="8" w:space="0" w:color="auto"/>
            </w:tcBorders>
            <w:shd w:val="clear" w:color="auto" w:fill="FFFFFF"/>
            <w:tcMar>
              <w:top w:w="20" w:type="dxa"/>
              <w:left w:w="20" w:type="dxa"/>
              <w:bottom w:w="0" w:type="dxa"/>
              <w:right w:w="20" w:type="dxa"/>
            </w:tcMar>
            <w:vAlign w:val="center"/>
          </w:tcPr>
          <w:p w14:paraId="058DD28D" w14:textId="42BEFFE2" w:rsidR="00C55832" w:rsidRPr="002856AE" w:rsidRDefault="00C55832" w:rsidP="00DB7C2F">
            <w:pPr>
              <w:spacing w:before="60" w:after="60"/>
              <w:ind w:left="57" w:right="57"/>
              <w:jc w:val="both"/>
              <w:rPr>
                <w:rFonts w:ascii="Arial" w:hAnsi="Arial" w:cs="Arial"/>
                <w:sz w:val="22"/>
                <w:szCs w:val="22"/>
              </w:rPr>
            </w:pPr>
            <w:r w:rsidRPr="002856AE">
              <w:rPr>
                <w:rFonts w:ascii="Arial" w:eastAsia="Arial Unicode MS" w:hAnsi="Arial" w:cs="Arial"/>
                <w:sz w:val="22"/>
                <w:szCs w:val="22"/>
              </w:rPr>
              <w:t>A proposta da ANP é que inicialmente cada transportador seja responsável pela designação do gestor da sua(s) área(s) de mercado de capacidade, através da separação administrativa das atividades afetas ao gestor dentro do próprio transportador. A ANP solicita subsídios sobre a proposta em tela.</w:t>
            </w:r>
          </w:p>
        </w:tc>
        <w:tc>
          <w:tcPr>
            <w:tcW w:w="6010" w:type="dxa"/>
            <w:tcBorders>
              <w:top w:val="single" w:sz="8" w:space="0" w:color="auto"/>
              <w:bottom w:val="single" w:sz="8" w:space="0" w:color="auto"/>
            </w:tcBorders>
            <w:shd w:val="clear" w:color="auto" w:fill="FFFFFF"/>
            <w:tcMar>
              <w:top w:w="20" w:type="dxa"/>
              <w:left w:w="20" w:type="dxa"/>
              <w:bottom w:w="0" w:type="dxa"/>
              <w:right w:w="20" w:type="dxa"/>
            </w:tcMar>
            <w:vAlign w:val="center"/>
          </w:tcPr>
          <w:p w14:paraId="2CD3291D" w14:textId="77777777" w:rsidR="00C55832" w:rsidRPr="002856AE" w:rsidRDefault="00C55832" w:rsidP="00C55832">
            <w:pPr>
              <w:spacing w:before="60" w:after="60"/>
              <w:rPr>
                <w:rFonts w:ascii="Arial" w:hAnsi="Arial" w:cs="Arial"/>
                <w:sz w:val="22"/>
                <w:szCs w:val="22"/>
              </w:rPr>
            </w:pPr>
          </w:p>
        </w:tc>
      </w:tr>
      <w:tr w:rsidR="00C55832" w14:paraId="73BDD366" w14:textId="77777777" w:rsidTr="00062367">
        <w:trPr>
          <w:trHeight w:val="1730"/>
        </w:trPr>
        <w:tc>
          <w:tcPr>
            <w:tcW w:w="2014" w:type="dxa"/>
            <w:tcBorders>
              <w:top w:val="single" w:sz="8" w:space="0" w:color="auto"/>
              <w:bottom w:val="single" w:sz="8" w:space="0" w:color="auto"/>
            </w:tcBorders>
            <w:shd w:val="clear" w:color="auto" w:fill="FFFFFF"/>
            <w:tcMar>
              <w:top w:w="20" w:type="dxa"/>
              <w:left w:w="20" w:type="dxa"/>
              <w:bottom w:w="0" w:type="dxa"/>
              <w:right w:w="20" w:type="dxa"/>
            </w:tcMar>
            <w:vAlign w:val="center"/>
          </w:tcPr>
          <w:p w14:paraId="2C0A4D38" w14:textId="2FE25392" w:rsidR="00C55832" w:rsidRPr="002856AE" w:rsidRDefault="00C55832" w:rsidP="00C55832">
            <w:pPr>
              <w:spacing w:before="60" w:after="60"/>
              <w:ind w:left="57" w:right="57"/>
              <w:jc w:val="center"/>
              <w:rPr>
                <w:rFonts w:ascii="Arial" w:eastAsia="Arial Unicode MS" w:hAnsi="Arial" w:cs="Arial"/>
                <w:sz w:val="22"/>
                <w:szCs w:val="22"/>
              </w:rPr>
            </w:pPr>
            <w:r w:rsidRPr="002856AE">
              <w:rPr>
                <w:rFonts w:ascii="Arial" w:hAnsi="Arial" w:cs="Arial"/>
                <w:sz w:val="22"/>
                <w:szCs w:val="22"/>
              </w:rPr>
              <w:lastRenderedPageBreak/>
              <w:t>IV.5 - Áreas de Mercado de Capacidade</w:t>
            </w:r>
          </w:p>
        </w:tc>
        <w:tc>
          <w:tcPr>
            <w:tcW w:w="6010" w:type="dxa"/>
            <w:tcBorders>
              <w:top w:val="single" w:sz="8" w:space="0" w:color="auto"/>
              <w:bottom w:val="single" w:sz="8" w:space="0" w:color="auto"/>
            </w:tcBorders>
            <w:shd w:val="clear" w:color="auto" w:fill="FFFFFF"/>
            <w:tcMar>
              <w:top w:w="20" w:type="dxa"/>
              <w:left w:w="20" w:type="dxa"/>
              <w:bottom w:w="0" w:type="dxa"/>
              <w:right w:w="20" w:type="dxa"/>
            </w:tcMar>
            <w:vAlign w:val="center"/>
          </w:tcPr>
          <w:p w14:paraId="3B3F5420" w14:textId="346B51E0" w:rsidR="00C55832" w:rsidRPr="002856AE" w:rsidRDefault="00C55832" w:rsidP="00DB7C2F">
            <w:pPr>
              <w:spacing w:before="60" w:after="60"/>
              <w:ind w:left="57" w:right="57"/>
              <w:jc w:val="both"/>
              <w:rPr>
                <w:rFonts w:ascii="Arial" w:hAnsi="Arial" w:cs="Arial"/>
                <w:sz w:val="22"/>
                <w:szCs w:val="22"/>
              </w:rPr>
            </w:pPr>
            <w:r w:rsidRPr="002856AE">
              <w:rPr>
                <w:rFonts w:ascii="Arial" w:eastAsia="Arial Unicode MS" w:hAnsi="Arial" w:cs="Arial"/>
                <w:sz w:val="22"/>
                <w:szCs w:val="22"/>
              </w:rPr>
              <w:t>Qual seria a regra a ser aplicada quando não houver concordância entre os transportadores quanto à designação do gestor da área de mercado que envolva 2 (ou mais) transportadores?</w:t>
            </w:r>
          </w:p>
        </w:tc>
        <w:tc>
          <w:tcPr>
            <w:tcW w:w="6010" w:type="dxa"/>
            <w:tcBorders>
              <w:top w:val="single" w:sz="8" w:space="0" w:color="auto"/>
              <w:bottom w:val="single" w:sz="8" w:space="0" w:color="auto"/>
            </w:tcBorders>
            <w:shd w:val="clear" w:color="auto" w:fill="FFFFFF"/>
            <w:tcMar>
              <w:top w:w="20" w:type="dxa"/>
              <w:left w:w="20" w:type="dxa"/>
              <w:bottom w:w="0" w:type="dxa"/>
              <w:right w:w="20" w:type="dxa"/>
            </w:tcMar>
            <w:vAlign w:val="center"/>
          </w:tcPr>
          <w:p w14:paraId="078B28B8" w14:textId="77777777" w:rsidR="00C55832" w:rsidRPr="002856AE" w:rsidRDefault="00C55832" w:rsidP="00C55832">
            <w:pPr>
              <w:spacing w:before="60" w:after="60"/>
              <w:rPr>
                <w:rFonts w:ascii="Arial" w:hAnsi="Arial" w:cs="Arial"/>
                <w:sz w:val="22"/>
                <w:szCs w:val="22"/>
              </w:rPr>
            </w:pPr>
          </w:p>
          <w:p w14:paraId="00A5CD33" w14:textId="77777777" w:rsidR="00C55832" w:rsidRPr="002856AE" w:rsidRDefault="00C55832" w:rsidP="00C55832">
            <w:pPr>
              <w:spacing w:before="60" w:after="60"/>
              <w:rPr>
                <w:rFonts w:ascii="Arial" w:hAnsi="Arial" w:cs="Arial"/>
                <w:sz w:val="22"/>
                <w:szCs w:val="22"/>
              </w:rPr>
            </w:pPr>
          </w:p>
        </w:tc>
      </w:tr>
      <w:tr w:rsidR="00C55832" w14:paraId="41F1CB2A" w14:textId="77777777" w:rsidTr="00062367">
        <w:trPr>
          <w:trHeight w:val="1730"/>
        </w:trPr>
        <w:tc>
          <w:tcPr>
            <w:tcW w:w="2014" w:type="dxa"/>
            <w:tcBorders>
              <w:top w:val="single" w:sz="8" w:space="0" w:color="auto"/>
              <w:bottom w:val="single" w:sz="8" w:space="0" w:color="auto"/>
            </w:tcBorders>
            <w:shd w:val="clear" w:color="auto" w:fill="FFFFFF"/>
            <w:tcMar>
              <w:top w:w="20" w:type="dxa"/>
              <w:left w:w="20" w:type="dxa"/>
              <w:bottom w:w="0" w:type="dxa"/>
              <w:right w:w="20" w:type="dxa"/>
            </w:tcMar>
            <w:vAlign w:val="center"/>
          </w:tcPr>
          <w:p w14:paraId="5463E0E6" w14:textId="18ACCE79" w:rsidR="00C55832" w:rsidRPr="002856AE" w:rsidRDefault="00C55832" w:rsidP="00C55832">
            <w:pPr>
              <w:spacing w:before="60" w:after="60"/>
              <w:ind w:left="57" w:right="57"/>
              <w:jc w:val="center"/>
              <w:rPr>
                <w:rFonts w:ascii="Arial" w:eastAsia="Arial Unicode MS" w:hAnsi="Arial" w:cs="Arial"/>
                <w:sz w:val="22"/>
                <w:szCs w:val="22"/>
              </w:rPr>
            </w:pPr>
            <w:r w:rsidRPr="002856AE">
              <w:rPr>
                <w:rFonts w:ascii="Arial" w:hAnsi="Arial" w:cs="Arial"/>
                <w:sz w:val="22"/>
                <w:szCs w:val="22"/>
              </w:rPr>
              <w:t>IV.5 - Áreas de Mercado de Capacidade</w:t>
            </w:r>
          </w:p>
        </w:tc>
        <w:tc>
          <w:tcPr>
            <w:tcW w:w="6010" w:type="dxa"/>
            <w:tcBorders>
              <w:top w:val="single" w:sz="8" w:space="0" w:color="auto"/>
              <w:bottom w:val="single" w:sz="8" w:space="0" w:color="auto"/>
            </w:tcBorders>
            <w:shd w:val="clear" w:color="auto" w:fill="FFFFFF"/>
            <w:tcMar>
              <w:top w:w="20" w:type="dxa"/>
              <w:left w:w="20" w:type="dxa"/>
              <w:bottom w:w="0" w:type="dxa"/>
              <w:right w:w="20" w:type="dxa"/>
            </w:tcMar>
            <w:vAlign w:val="center"/>
          </w:tcPr>
          <w:p w14:paraId="1F42CB32" w14:textId="1430D0E0" w:rsidR="00C55832" w:rsidRPr="002856AE" w:rsidRDefault="00C55832" w:rsidP="00DB7C2F">
            <w:pPr>
              <w:spacing w:before="60" w:after="60"/>
              <w:ind w:left="57" w:right="57"/>
              <w:jc w:val="both"/>
              <w:rPr>
                <w:rFonts w:ascii="Arial" w:hAnsi="Arial" w:cs="Arial"/>
                <w:sz w:val="22"/>
                <w:szCs w:val="22"/>
              </w:rPr>
            </w:pPr>
            <w:r w:rsidRPr="002856AE">
              <w:rPr>
                <w:rFonts w:ascii="Arial" w:eastAsia="Arial Unicode MS" w:hAnsi="Arial" w:cs="Arial"/>
                <w:sz w:val="22"/>
                <w:szCs w:val="22"/>
              </w:rPr>
              <w:t>É razoável a divisão das responsabilidades entre os transportadores e o gestor da área de mercado proposta na Tabela 1?</w:t>
            </w:r>
          </w:p>
        </w:tc>
        <w:tc>
          <w:tcPr>
            <w:tcW w:w="6010" w:type="dxa"/>
            <w:tcBorders>
              <w:top w:val="single" w:sz="8" w:space="0" w:color="auto"/>
              <w:bottom w:val="single" w:sz="8" w:space="0" w:color="auto"/>
            </w:tcBorders>
            <w:shd w:val="clear" w:color="auto" w:fill="FFFFFF"/>
            <w:tcMar>
              <w:top w:w="20" w:type="dxa"/>
              <w:left w:w="20" w:type="dxa"/>
              <w:bottom w:w="0" w:type="dxa"/>
              <w:right w:w="20" w:type="dxa"/>
            </w:tcMar>
            <w:vAlign w:val="center"/>
          </w:tcPr>
          <w:p w14:paraId="6079F67C" w14:textId="77777777" w:rsidR="00C55832" w:rsidRPr="002856AE" w:rsidRDefault="00C55832" w:rsidP="00C55832">
            <w:pPr>
              <w:spacing w:before="60" w:after="60"/>
              <w:rPr>
                <w:rFonts w:ascii="Arial" w:hAnsi="Arial" w:cs="Arial"/>
                <w:sz w:val="22"/>
                <w:szCs w:val="22"/>
              </w:rPr>
            </w:pPr>
          </w:p>
        </w:tc>
      </w:tr>
      <w:tr w:rsidR="00C55832" w14:paraId="3D542817" w14:textId="77777777" w:rsidTr="00062367">
        <w:trPr>
          <w:trHeight w:val="1730"/>
        </w:trPr>
        <w:tc>
          <w:tcPr>
            <w:tcW w:w="2014" w:type="dxa"/>
            <w:tcBorders>
              <w:top w:val="single" w:sz="8" w:space="0" w:color="auto"/>
              <w:bottom w:val="single" w:sz="8" w:space="0" w:color="auto"/>
            </w:tcBorders>
            <w:shd w:val="clear" w:color="auto" w:fill="FFFFFF"/>
            <w:tcMar>
              <w:top w:w="20" w:type="dxa"/>
              <w:left w:w="20" w:type="dxa"/>
              <w:bottom w:w="0" w:type="dxa"/>
              <w:right w:w="20" w:type="dxa"/>
            </w:tcMar>
            <w:vAlign w:val="center"/>
          </w:tcPr>
          <w:p w14:paraId="740BD51C" w14:textId="3879C7E8" w:rsidR="00C55832" w:rsidRPr="002856AE" w:rsidRDefault="00C55832" w:rsidP="00C55832">
            <w:pPr>
              <w:spacing w:before="60" w:after="60"/>
              <w:ind w:left="57" w:right="57"/>
              <w:jc w:val="center"/>
              <w:rPr>
                <w:rFonts w:ascii="Arial" w:eastAsia="Arial Unicode MS" w:hAnsi="Arial" w:cs="Arial"/>
                <w:sz w:val="22"/>
                <w:szCs w:val="22"/>
              </w:rPr>
            </w:pPr>
            <w:r w:rsidRPr="002856AE">
              <w:rPr>
                <w:rFonts w:ascii="Arial" w:hAnsi="Arial" w:cs="Arial"/>
                <w:sz w:val="22"/>
                <w:szCs w:val="22"/>
              </w:rPr>
              <w:t>IV.5 - Áreas de Mercado de Capacidade</w:t>
            </w:r>
          </w:p>
        </w:tc>
        <w:tc>
          <w:tcPr>
            <w:tcW w:w="6010" w:type="dxa"/>
            <w:tcBorders>
              <w:top w:val="single" w:sz="8" w:space="0" w:color="auto"/>
              <w:bottom w:val="single" w:sz="8" w:space="0" w:color="auto"/>
            </w:tcBorders>
            <w:shd w:val="clear" w:color="auto" w:fill="FFFFFF"/>
            <w:tcMar>
              <w:top w:w="20" w:type="dxa"/>
              <w:left w:w="20" w:type="dxa"/>
              <w:bottom w:w="0" w:type="dxa"/>
              <w:right w:w="20" w:type="dxa"/>
            </w:tcMar>
            <w:vAlign w:val="center"/>
          </w:tcPr>
          <w:p w14:paraId="3F355F85" w14:textId="2FC9D454" w:rsidR="00C55832" w:rsidRPr="002856AE" w:rsidRDefault="00C55832" w:rsidP="00DB7C2F">
            <w:pPr>
              <w:spacing w:before="60" w:after="60"/>
              <w:ind w:left="57" w:right="57"/>
              <w:jc w:val="both"/>
              <w:rPr>
                <w:rFonts w:ascii="Arial" w:hAnsi="Arial" w:cs="Arial"/>
                <w:sz w:val="22"/>
                <w:szCs w:val="22"/>
              </w:rPr>
            </w:pPr>
            <w:r w:rsidRPr="002856AE">
              <w:rPr>
                <w:rFonts w:ascii="Arial" w:eastAsia="Arial Unicode MS" w:hAnsi="Arial" w:cs="Arial"/>
                <w:sz w:val="22"/>
                <w:szCs w:val="22"/>
              </w:rPr>
              <w:t>Haveria um arranjo mais eficiente para promover a coordenação entre transportadores dentro de uma área de mercado de capacidade?</w:t>
            </w:r>
          </w:p>
        </w:tc>
        <w:tc>
          <w:tcPr>
            <w:tcW w:w="6010" w:type="dxa"/>
            <w:tcBorders>
              <w:top w:val="single" w:sz="8" w:space="0" w:color="auto"/>
              <w:bottom w:val="single" w:sz="8" w:space="0" w:color="auto"/>
            </w:tcBorders>
            <w:shd w:val="clear" w:color="auto" w:fill="FFFFFF"/>
            <w:tcMar>
              <w:top w:w="20" w:type="dxa"/>
              <w:left w:w="20" w:type="dxa"/>
              <w:bottom w:w="0" w:type="dxa"/>
              <w:right w:w="20" w:type="dxa"/>
            </w:tcMar>
            <w:vAlign w:val="center"/>
          </w:tcPr>
          <w:p w14:paraId="7D9E4F46" w14:textId="77777777" w:rsidR="00C55832" w:rsidRPr="002856AE" w:rsidRDefault="00C55832" w:rsidP="00C55832">
            <w:pPr>
              <w:spacing w:before="60" w:after="60"/>
              <w:rPr>
                <w:rFonts w:ascii="Arial" w:hAnsi="Arial" w:cs="Arial"/>
                <w:sz w:val="22"/>
                <w:szCs w:val="22"/>
              </w:rPr>
            </w:pPr>
          </w:p>
        </w:tc>
      </w:tr>
      <w:tr w:rsidR="00C55832" w14:paraId="7139DEF5" w14:textId="77777777" w:rsidTr="00062367">
        <w:trPr>
          <w:trHeight w:val="1730"/>
        </w:trPr>
        <w:tc>
          <w:tcPr>
            <w:tcW w:w="2014" w:type="dxa"/>
            <w:tcBorders>
              <w:top w:val="single" w:sz="8" w:space="0" w:color="auto"/>
              <w:bottom w:val="single" w:sz="8" w:space="0" w:color="auto"/>
            </w:tcBorders>
            <w:shd w:val="clear" w:color="auto" w:fill="FFFFFF"/>
            <w:tcMar>
              <w:top w:w="20" w:type="dxa"/>
              <w:left w:w="20" w:type="dxa"/>
              <w:bottom w:w="0" w:type="dxa"/>
              <w:right w:w="20" w:type="dxa"/>
            </w:tcMar>
            <w:vAlign w:val="center"/>
          </w:tcPr>
          <w:p w14:paraId="6092D757" w14:textId="32F6E1DA" w:rsidR="00C55832" w:rsidRPr="002856AE" w:rsidRDefault="00C55832" w:rsidP="00C55832">
            <w:pPr>
              <w:spacing w:before="60" w:after="60"/>
              <w:ind w:left="57" w:right="57"/>
              <w:jc w:val="center"/>
              <w:rPr>
                <w:rFonts w:ascii="Arial" w:eastAsia="Arial Unicode MS" w:hAnsi="Arial" w:cs="Arial"/>
                <w:b/>
                <w:bCs/>
                <w:color w:val="000000"/>
                <w:sz w:val="22"/>
                <w:szCs w:val="22"/>
              </w:rPr>
            </w:pPr>
            <w:r w:rsidRPr="002856AE">
              <w:rPr>
                <w:rFonts w:ascii="Arial" w:hAnsi="Arial" w:cs="Arial"/>
                <w:sz w:val="22"/>
                <w:szCs w:val="22"/>
              </w:rPr>
              <w:t>IV.5 - Áreas de Mercado de Capacidade</w:t>
            </w:r>
          </w:p>
        </w:tc>
        <w:tc>
          <w:tcPr>
            <w:tcW w:w="6010" w:type="dxa"/>
            <w:tcBorders>
              <w:top w:val="single" w:sz="8" w:space="0" w:color="auto"/>
              <w:bottom w:val="single" w:sz="8" w:space="0" w:color="auto"/>
            </w:tcBorders>
            <w:shd w:val="clear" w:color="auto" w:fill="FFFFFF"/>
            <w:tcMar>
              <w:top w:w="20" w:type="dxa"/>
              <w:left w:w="20" w:type="dxa"/>
              <w:bottom w:w="0" w:type="dxa"/>
              <w:right w:w="20" w:type="dxa"/>
            </w:tcMar>
            <w:vAlign w:val="center"/>
          </w:tcPr>
          <w:p w14:paraId="72A17189" w14:textId="6CE361C5" w:rsidR="00C55832" w:rsidRPr="002856AE" w:rsidRDefault="00C55832" w:rsidP="00DB7C2F">
            <w:pPr>
              <w:spacing w:before="60" w:after="60"/>
              <w:ind w:left="57" w:right="57"/>
              <w:jc w:val="both"/>
              <w:rPr>
                <w:rFonts w:ascii="Arial" w:hAnsi="Arial" w:cs="Arial"/>
                <w:color w:val="000000"/>
                <w:sz w:val="22"/>
                <w:szCs w:val="22"/>
              </w:rPr>
            </w:pPr>
            <w:r w:rsidRPr="002856AE">
              <w:rPr>
                <w:rFonts w:ascii="Arial" w:eastAsia="Arial Unicode MS" w:hAnsi="Arial" w:cs="Arial"/>
                <w:sz w:val="22"/>
                <w:szCs w:val="22"/>
              </w:rPr>
              <w:t>Existem outras funções que devam ser exercidas por estes agentes e não estão contempladas na Tabela 1?</w:t>
            </w:r>
          </w:p>
        </w:tc>
        <w:tc>
          <w:tcPr>
            <w:tcW w:w="6010" w:type="dxa"/>
            <w:tcBorders>
              <w:top w:val="single" w:sz="8" w:space="0" w:color="auto"/>
              <w:bottom w:val="single" w:sz="8" w:space="0" w:color="auto"/>
            </w:tcBorders>
            <w:shd w:val="clear" w:color="auto" w:fill="FFFFFF"/>
            <w:tcMar>
              <w:top w:w="20" w:type="dxa"/>
              <w:left w:w="20" w:type="dxa"/>
              <w:bottom w:w="0" w:type="dxa"/>
              <w:right w:w="20" w:type="dxa"/>
            </w:tcMar>
            <w:vAlign w:val="center"/>
          </w:tcPr>
          <w:p w14:paraId="368D992B" w14:textId="77777777" w:rsidR="00C55832" w:rsidRPr="002856AE" w:rsidRDefault="00C55832" w:rsidP="00C55832">
            <w:pPr>
              <w:spacing w:before="60" w:after="60"/>
              <w:rPr>
                <w:rFonts w:ascii="Arial" w:hAnsi="Arial" w:cs="Arial"/>
                <w:sz w:val="22"/>
                <w:szCs w:val="22"/>
              </w:rPr>
            </w:pPr>
          </w:p>
        </w:tc>
      </w:tr>
      <w:tr w:rsidR="00C55832" w14:paraId="1596D087" w14:textId="77777777" w:rsidTr="00062367">
        <w:trPr>
          <w:trHeight w:val="1730"/>
        </w:trPr>
        <w:tc>
          <w:tcPr>
            <w:tcW w:w="2014" w:type="dxa"/>
            <w:tcBorders>
              <w:top w:val="single" w:sz="8" w:space="0" w:color="auto"/>
              <w:bottom w:val="single" w:sz="8" w:space="0" w:color="auto"/>
            </w:tcBorders>
            <w:shd w:val="clear" w:color="auto" w:fill="FFFFFF"/>
            <w:tcMar>
              <w:top w:w="20" w:type="dxa"/>
              <w:left w:w="20" w:type="dxa"/>
              <w:bottom w:w="0" w:type="dxa"/>
              <w:right w:w="20" w:type="dxa"/>
            </w:tcMar>
            <w:vAlign w:val="center"/>
          </w:tcPr>
          <w:p w14:paraId="542B6320" w14:textId="4443487A" w:rsidR="00C55832" w:rsidRPr="002856AE" w:rsidRDefault="00C55832" w:rsidP="00C55832">
            <w:pPr>
              <w:spacing w:before="60" w:after="60"/>
              <w:ind w:left="57" w:right="57"/>
              <w:jc w:val="center"/>
              <w:rPr>
                <w:rFonts w:ascii="Arial" w:eastAsia="Arial Unicode MS" w:hAnsi="Arial" w:cs="Arial"/>
                <w:b/>
                <w:bCs/>
                <w:color w:val="000000"/>
                <w:sz w:val="22"/>
                <w:szCs w:val="22"/>
              </w:rPr>
            </w:pPr>
            <w:r w:rsidRPr="002856AE">
              <w:rPr>
                <w:rFonts w:ascii="Arial" w:hAnsi="Arial" w:cs="Arial"/>
                <w:sz w:val="22"/>
                <w:szCs w:val="22"/>
              </w:rPr>
              <w:lastRenderedPageBreak/>
              <w:t>IV.7 - Ponto Virtual de Negociação</w:t>
            </w:r>
          </w:p>
        </w:tc>
        <w:tc>
          <w:tcPr>
            <w:tcW w:w="6010" w:type="dxa"/>
            <w:tcBorders>
              <w:top w:val="single" w:sz="8" w:space="0" w:color="auto"/>
              <w:bottom w:val="single" w:sz="8" w:space="0" w:color="auto"/>
            </w:tcBorders>
            <w:shd w:val="clear" w:color="auto" w:fill="FFFFFF"/>
            <w:tcMar>
              <w:top w:w="20" w:type="dxa"/>
              <w:left w:w="20" w:type="dxa"/>
              <w:bottom w:w="0" w:type="dxa"/>
              <w:right w:w="20" w:type="dxa"/>
            </w:tcMar>
            <w:vAlign w:val="center"/>
          </w:tcPr>
          <w:p w14:paraId="0AFC4998" w14:textId="6A2AB8CD" w:rsidR="00C55832" w:rsidRPr="002856AE" w:rsidRDefault="00C55832" w:rsidP="00DB7C2F">
            <w:pPr>
              <w:spacing w:before="60" w:after="60"/>
              <w:ind w:left="57" w:right="57"/>
              <w:jc w:val="both"/>
              <w:rPr>
                <w:rFonts w:ascii="Arial" w:hAnsi="Arial" w:cs="Arial"/>
                <w:color w:val="000000"/>
                <w:sz w:val="22"/>
                <w:szCs w:val="22"/>
              </w:rPr>
            </w:pPr>
            <w:r w:rsidRPr="002856AE">
              <w:rPr>
                <w:rFonts w:ascii="Arial" w:eastAsia="Arial Unicode MS" w:hAnsi="Arial" w:cs="Arial"/>
                <w:sz w:val="22"/>
                <w:szCs w:val="22"/>
              </w:rPr>
              <w:t>Quais seriam os critérios para a designação do operador do ponto virtual de negociação?</w:t>
            </w:r>
          </w:p>
        </w:tc>
        <w:tc>
          <w:tcPr>
            <w:tcW w:w="6010" w:type="dxa"/>
            <w:tcBorders>
              <w:top w:val="single" w:sz="8" w:space="0" w:color="auto"/>
              <w:bottom w:val="single" w:sz="8" w:space="0" w:color="auto"/>
            </w:tcBorders>
            <w:shd w:val="clear" w:color="auto" w:fill="FFFFFF"/>
            <w:tcMar>
              <w:top w:w="20" w:type="dxa"/>
              <w:left w:w="20" w:type="dxa"/>
              <w:bottom w:w="0" w:type="dxa"/>
              <w:right w:w="20" w:type="dxa"/>
            </w:tcMar>
            <w:vAlign w:val="center"/>
          </w:tcPr>
          <w:p w14:paraId="0BA00970" w14:textId="77777777" w:rsidR="00C55832" w:rsidRPr="002856AE" w:rsidRDefault="00C55832" w:rsidP="00C55832">
            <w:pPr>
              <w:spacing w:before="60" w:after="60"/>
              <w:rPr>
                <w:rFonts w:ascii="Arial" w:hAnsi="Arial" w:cs="Arial"/>
                <w:sz w:val="22"/>
                <w:szCs w:val="22"/>
              </w:rPr>
            </w:pPr>
          </w:p>
        </w:tc>
      </w:tr>
      <w:tr w:rsidR="00C55832" w14:paraId="4A6B05D9" w14:textId="77777777" w:rsidTr="00062367">
        <w:trPr>
          <w:trHeight w:val="1730"/>
        </w:trPr>
        <w:tc>
          <w:tcPr>
            <w:tcW w:w="2014" w:type="dxa"/>
            <w:tcBorders>
              <w:top w:val="single" w:sz="8" w:space="0" w:color="auto"/>
              <w:bottom w:val="single" w:sz="8" w:space="0" w:color="auto"/>
            </w:tcBorders>
            <w:shd w:val="clear" w:color="auto" w:fill="FFFFFF"/>
            <w:tcMar>
              <w:top w:w="20" w:type="dxa"/>
              <w:left w:w="20" w:type="dxa"/>
              <w:bottom w:w="0" w:type="dxa"/>
              <w:right w:w="20" w:type="dxa"/>
            </w:tcMar>
            <w:vAlign w:val="center"/>
          </w:tcPr>
          <w:p w14:paraId="71972D4A" w14:textId="06CC2243" w:rsidR="00C55832" w:rsidRPr="002856AE" w:rsidRDefault="00C55832" w:rsidP="00C55832">
            <w:pPr>
              <w:spacing w:before="60" w:after="60"/>
              <w:ind w:left="57" w:right="57"/>
              <w:jc w:val="center"/>
              <w:rPr>
                <w:rFonts w:ascii="Arial" w:hAnsi="Arial" w:cs="Arial"/>
                <w:sz w:val="22"/>
                <w:szCs w:val="22"/>
              </w:rPr>
            </w:pPr>
            <w:r w:rsidRPr="002856AE">
              <w:rPr>
                <w:rFonts w:ascii="Arial" w:hAnsi="Arial" w:cs="Arial"/>
                <w:sz w:val="22"/>
                <w:szCs w:val="22"/>
              </w:rPr>
              <w:t>IV.7 - Ponto Virtual de Negociação</w:t>
            </w:r>
          </w:p>
        </w:tc>
        <w:tc>
          <w:tcPr>
            <w:tcW w:w="6010" w:type="dxa"/>
            <w:tcBorders>
              <w:top w:val="single" w:sz="8" w:space="0" w:color="auto"/>
              <w:bottom w:val="single" w:sz="8" w:space="0" w:color="auto"/>
            </w:tcBorders>
            <w:shd w:val="clear" w:color="auto" w:fill="FFFFFF"/>
            <w:tcMar>
              <w:top w:w="20" w:type="dxa"/>
              <w:left w:w="20" w:type="dxa"/>
              <w:bottom w:w="0" w:type="dxa"/>
              <w:right w:w="20" w:type="dxa"/>
            </w:tcMar>
            <w:vAlign w:val="center"/>
          </w:tcPr>
          <w:p w14:paraId="6199769B" w14:textId="04008298" w:rsidR="00C55832" w:rsidRPr="002856AE" w:rsidRDefault="00C55832" w:rsidP="00DB7C2F">
            <w:pPr>
              <w:spacing w:before="60" w:after="60"/>
              <w:ind w:left="57" w:right="57"/>
              <w:jc w:val="both"/>
              <w:rPr>
                <w:rFonts w:ascii="Arial" w:hAnsi="Arial" w:cs="Arial"/>
                <w:color w:val="000000"/>
                <w:sz w:val="22"/>
                <w:szCs w:val="22"/>
              </w:rPr>
            </w:pPr>
            <w:r w:rsidRPr="002856AE">
              <w:rPr>
                <w:rFonts w:ascii="Arial" w:eastAsia="Arial Unicode MS" w:hAnsi="Arial" w:cs="Arial"/>
                <w:sz w:val="22"/>
                <w:szCs w:val="22"/>
              </w:rPr>
              <w:t>O operador do ponto virtual de negociação deve ser pessoa jurídica de direito privada distinta do transportador, do gestor da área de mercado ou da entidade administradora do mercado organizado, mesmo que estes agentes atendam aos critérios de autonomia e independência propostos? Justifique.</w:t>
            </w:r>
          </w:p>
        </w:tc>
        <w:tc>
          <w:tcPr>
            <w:tcW w:w="6010" w:type="dxa"/>
            <w:tcBorders>
              <w:top w:val="single" w:sz="8" w:space="0" w:color="auto"/>
              <w:bottom w:val="single" w:sz="8" w:space="0" w:color="auto"/>
            </w:tcBorders>
            <w:shd w:val="clear" w:color="auto" w:fill="FFFFFF"/>
            <w:tcMar>
              <w:top w:w="20" w:type="dxa"/>
              <w:left w:w="20" w:type="dxa"/>
              <w:bottom w:w="0" w:type="dxa"/>
              <w:right w:w="20" w:type="dxa"/>
            </w:tcMar>
            <w:vAlign w:val="center"/>
          </w:tcPr>
          <w:p w14:paraId="5767F691" w14:textId="77777777" w:rsidR="00C55832" w:rsidRPr="002856AE" w:rsidRDefault="00C55832" w:rsidP="00C55832">
            <w:pPr>
              <w:spacing w:before="60" w:after="60"/>
              <w:rPr>
                <w:rFonts w:ascii="Arial" w:hAnsi="Arial" w:cs="Arial"/>
                <w:sz w:val="22"/>
                <w:szCs w:val="22"/>
              </w:rPr>
            </w:pPr>
          </w:p>
        </w:tc>
      </w:tr>
      <w:tr w:rsidR="00C55832" w14:paraId="42D3CE07" w14:textId="77777777" w:rsidTr="00062367">
        <w:trPr>
          <w:trHeight w:val="1730"/>
        </w:trPr>
        <w:tc>
          <w:tcPr>
            <w:tcW w:w="2014" w:type="dxa"/>
            <w:tcBorders>
              <w:top w:val="single" w:sz="8" w:space="0" w:color="auto"/>
              <w:bottom w:val="single" w:sz="8" w:space="0" w:color="auto"/>
            </w:tcBorders>
            <w:shd w:val="clear" w:color="auto" w:fill="FFFFFF"/>
            <w:tcMar>
              <w:top w:w="20" w:type="dxa"/>
              <w:left w:w="20" w:type="dxa"/>
              <w:bottom w:w="0" w:type="dxa"/>
              <w:right w:w="20" w:type="dxa"/>
            </w:tcMar>
            <w:vAlign w:val="center"/>
          </w:tcPr>
          <w:p w14:paraId="0ECD9EFD" w14:textId="5293AC7F" w:rsidR="00C55832" w:rsidRPr="002856AE" w:rsidRDefault="00C55832" w:rsidP="00C55832">
            <w:pPr>
              <w:spacing w:before="60" w:after="60"/>
              <w:ind w:left="57" w:right="57"/>
              <w:jc w:val="center"/>
              <w:rPr>
                <w:rFonts w:ascii="Arial" w:hAnsi="Arial" w:cs="Arial"/>
                <w:sz w:val="22"/>
                <w:szCs w:val="22"/>
              </w:rPr>
            </w:pPr>
            <w:r w:rsidRPr="002856AE">
              <w:rPr>
                <w:rFonts w:ascii="Arial" w:hAnsi="Arial" w:cs="Arial"/>
                <w:sz w:val="22"/>
                <w:szCs w:val="22"/>
              </w:rPr>
              <w:t>IV.7 - Ponto Virtual de Negociação</w:t>
            </w:r>
          </w:p>
        </w:tc>
        <w:tc>
          <w:tcPr>
            <w:tcW w:w="6010" w:type="dxa"/>
            <w:tcBorders>
              <w:top w:val="single" w:sz="8" w:space="0" w:color="auto"/>
              <w:bottom w:val="single" w:sz="8" w:space="0" w:color="auto"/>
            </w:tcBorders>
            <w:shd w:val="clear" w:color="auto" w:fill="FFFFFF"/>
            <w:tcMar>
              <w:top w:w="20" w:type="dxa"/>
              <w:left w:w="20" w:type="dxa"/>
              <w:bottom w:w="0" w:type="dxa"/>
              <w:right w:w="20" w:type="dxa"/>
            </w:tcMar>
            <w:vAlign w:val="center"/>
          </w:tcPr>
          <w:p w14:paraId="51704147" w14:textId="229EA6D6" w:rsidR="00C55832" w:rsidRPr="002856AE" w:rsidRDefault="00C55832" w:rsidP="00DB7C2F">
            <w:pPr>
              <w:spacing w:before="60" w:after="60"/>
              <w:ind w:left="57" w:right="57"/>
              <w:jc w:val="both"/>
              <w:rPr>
                <w:rFonts w:ascii="Arial" w:hAnsi="Arial" w:cs="Arial"/>
                <w:color w:val="000000"/>
                <w:sz w:val="22"/>
                <w:szCs w:val="22"/>
              </w:rPr>
            </w:pPr>
            <w:r w:rsidRPr="002856AE">
              <w:rPr>
                <w:rFonts w:ascii="Arial" w:eastAsia="Arial Unicode MS" w:hAnsi="Arial" w:cs="Arial"/>
                <w:sz w:val="22"/>
                <w:szCs w:val="22"/>
              </w:rPr>
              <w:t>Como os custos e despesas da constituição e operação do PVN devem ser cobrados dos participantes do mercado? Por meio de cobrança direta pelo operado do ponto virtual de negociação ou por meio da cobrança por terceiros (transportador e/ou a entidade administradora do mercado organizado) de um encargo específico, os quais se encarregaram de recolher o valor dos usuários e ressarcir o operador do ponto virtual de negociação?</w:t>
            </w:r>
          </w:p>
        </w:tc>
        <w:tc>
          <w:tcPr>
            <w:tcW w:w="6010" w:type="dxa"/>
            <w:tcBorders>
              <w:top w:val="single" w:sz="8" w:space="0" w:color="auto"/>
              <w:bottom w:val="single" w:sz="8" w:space="0" w:color="auto"/>
            </w:tcBorders>
            <w:shd w:val="clear" w:color="auto" w:fill="FFFFFF"/>
            <w:tcMar>
              <w:top w:w="20" w:type="dxa"/>
              <w:left w:w="20" w:type="dxa"/>
              <w:bottom w:w="0" w:type="dxa"/>
              <w:right w:w="20" w:type="dxa"/>
            </w:tcMar>
            <w:vAlign w:val="center"/>
          </w:tcPr>
          <w:p w14:paraId="5A8531C9" w14:textId="77777777" w:rsidR="00C55832" w:rsidRPr="002856AE" w:rsidRDefault="00C55832" w:rsidP="00C55832">
            <w:pPr>
              <w:spacing w:before="60" w:after="60"/>
              <w:rPr>
                <w:rFonts w:ascii="Arial" w:hAnsi="Arial" w:cs="Arial"/>
                <w:sz w:val="22"/>
                <w:szCs w:val="22"/>
              </w:rPr>
            </w:pPr>
          </w:p>
        </w:tc>
      </w:tr>
      <w:tr w:rsidR="00C55832" w14:paraId="43B95350" w14:textId="77777777" w:rsidTr="00062367">
        <w:trPr>
          <w:trHeight w:val="1730"/>
        </w:trPr>
        <w:tc>
          <w:tcPr>
            <w:tcW w:w="2014" w:type="dxa"/>
            <w:tcBorders>
              <w:top w:val="single" w:sz="8" w:space="0" w:color="auto"/>
              <w:bottom w:val="single" w:sz="8" w:space="0" w:color="auto"/>
            </w:tcBorders>
            <w:shd w:val="clear" w:color="auto" w:fill="FFFFFF"/>
            <w:tcMar>
              <w:top w:w="20" w:type="dxa"/>
              <w:left w:w="20" w:type="dxa"/>
              <w:bottom w:w="0" w:type="dxa"/>
              <w:right w:w="20" w:type="dxa"/>
            </w:tcMar>
            <w:vAlign w:val="center"/>
          </w:tcPr>
          <w:p w14:paraId="4665EBA4" w14:textId="37BDFA02" w:rsidR="00C55832" w:rsidRPr="002856AE" w:rsidRDefault="00C55832" w:rsidP="00C55832">
            <w:pPr>
              <w:spacing w:before="60" w:after="60"/>
              <w:ind w:left="57" w:right="57"/>
              <w:jc w:val="center"/>
              <w:rPr>
                <w:rFonts w:ascii="Arial" w:hAnsi="Arial" w:cs="Arial"/>
                <w:sz w:val="22"/>
                <w:szCs w:val="22"/>
              </w:rPr>
            </w:pPr>
            <w:r w:rsidRPr="002856AE">
              <w:rPr>
                <w:rFonts w:ascii="Arial" w:hAnsi="Arial" w:cs="Arial"/>
                <w:sz w:val="22"/>
                <w:szCs w:val="22"/>
              </w:rPr>
              <w:t>IV.8 - Funções e Responsabilidades dos Participantes do Mercado</w:t>
            </w:r>
          </w:p>
        </w:tc>
        <w:tc>
          <w:tcPr>
            <w:tcW w:w="6010" w:type="dxa"/>
            <w:tcBorders>
              <w:top w:val="single" w:sz="8" w:space="0" w:color="auto"/>
              <w:bottom w:val="single" w:sz="8" w:space="0" w:color="auto"/>
            </w:tcBorders>
            <w:shd w:val="clear" w:color="auto" w:fill="FFFFFF"/>
            <w:tcMar>
              <w:top w:w="20" w:type="dxa"/>
              <w:left w:w="20" w:type="dxa"/>
              <w:bottom w:w="0" w:type="dxa"/>
              <w:right w:w="20" w:type="dxa"/>
            </w:tcMar>
            <w:vAlign w:val="center"/>
          </w:tcPr>
          <w:p w14:paraId="5F7EF582" w14:textId="3B731A43" w:rsidR="00C55832" w:rsidRPr="002856AE" w:rsidRDefault="00C55832" w:rsidP="00DB7C2F">
            <w:pPr>
              <w:spacing w:before="60" w:after="60"/>
              <w:ind w:left="57" w:right="57"/>
              <w:jc w:val="both"/>
              <w:rPr>
                <w:rFonts w:ascii="Arial" w:hAnsi="Arial" w:cs="Arial"/>
                <w:color w:val="000000"/>
                <w:sz w:val="22"/>
                <w:szCs w:val="22"/>
              </w:rPr>
            </w:pPr>
            <w:r w:rsidRPr="002856AE">
              <w:rPr>
                <w:rFonts w:ascii="Arial" w:eastAsia="Arial Unicode MS" w:hAnsi="Arial" w:cs="Arial"/>
                <w:sz w:val="22"/>
                <w:szCs w:val="22"/>
              </w:rPr>
              <w:t>Qual a sua opinião quanto à opção de grupo de balanceamento e da figura do carregador responsável pelo balanceamento gestor deste grupo, de que trata a Caixa Explicativa 6?</w:t>
            </w:r>
          </w:p>
        </w:tc>
        <w:tc>
          <w:tcPr>
            <w:tcW w:w="6010" w:type="dxa"/>
            <w:tcBorders>
              <w:top w:val="single" w:sz="8" w:space="0" w:color="auto"/>
              <w:bottom w:val="single" w:sz="8" w:space="0" w:color="auto"/>
            </w:tcBorders>
            <w:shd w:val="clear" w:color="auto" w:fill="FFFFFF"/>
            <w:tcMar>
              <w:top w:w="20" w:type="dxa"/>
              <w:left w:w="20" w:type="dxa"/>
              <w:bottom w:w="0" w:type="dxa"/>
              <w:right w:w="20" w:type="dxa"/>
            </w:tcMar>
            <w:vAlign w:val="center"/>
          </w:tcPr>
          <w:p w14:paraId="249D5B03" w14:textId="77777777" w:rsidR="00C55832" w:rsidRPr="002856AE" w:rsidRDefault="00C55832" w:rsidP="00C55832">
            <w:pPr>
              <w:spacing w:before="60" w:after="60"/>
              <w:rPr>
                <w:rFonts w:ascii="Arial" w:hAnsi="Arial" w:cs="Arial"/>
                <w:sz w:val="22"/>
                <w:szCs w:val="22"/>
              </w:rPr>
            </w:pPr>
          </w:p>
        </w:tc>
      </w:tr>
      <w:tr w:rsidR="00C55832" w14:paraId="312BEDC0" w14:textId="77777777" w:rsidTr="00062367">
        <w:trPr>
          <w:trHeight w:val="1730"/>
        </w:trPr>
        <w:tc>
          <w:tcPr>
            <w:tcW w:w="2014" w:type="dxa"/>
            <w:tcBorders>
              <w:top w:val="single" w:sz="8" w:space="0" w:color="auto"/>
              <w:bottom w:val="single" w:sz="8" w:space="0" w:color="auto"/>
            </w:tcBorders>
            <w:shd w:val="clear" w:color="auto" w:fill="FFFFFF"/>
            <w:tcMar>
              <w:top w:w="20" w:type="dxa"/>
              <w:left w:w="20" w:type="dxa"/>
              <w:bottom w:w="0" w:type="dxa"/>
              <w:right w:w="20" w:type="dxa"/>
            </w:tcMar>
            <w:vAlign w:val="center"/>
          </w:tcPr>
          <w:p w14:paraId="03F210BB" w14:textId="7D4C9F43" w:rsidR="00C55832" w:rsidRPr="002856AE" w:rsidRDefault="00C55832" w:rsidP="00C55832">
            <w:pPr>
              <w:spacing w:before="60" w:after="60"/>
              <w:ind w:left="57" w:right="57"/>
              <w:jc w:val="center"/>
              <w:rPr>
                <w:rFonts w:ascii="Arial" w:hAnsi="Arial" w:cs="Arial"/>
                <w:sz w:val="22"/>
                <w:szCs w:val="22"/>
              </w:rPr>
            </w:pPr>
            <w:r w:rsidRPr="002856AE">
              <w:rPr>
                <w:rFonts w:ascii="Arial" w:hAnsi="Arial" w:cs="Arial"/>
                <w:sz w:val="22"/>
                <w:szCs w:val="22"/>
              </w:rPr>
              <w:lastRenderedPageBreak/>
              <w:t>IV.8 - Funções e Responsabilidades dos Participantes do Mercado</w:t>
            </w:r>
          </w:p>
        </w:tc>
        <w:tc>
          <w:tcPr>
            <w:tcW w:w="6010" w:type="dxa"/>
            <w:tcBorders>
              <w:top w:val="single" w:sz="8" w:space="0" w:color="auto"/>
              <w:bottom w:val="single" w:sz="8" w:space="0" w:color="auto"/>
            </w:tcBorders>
            <w:shd w:val="clear" w:color="auto" w:fill="FFFFFF"/>
            <w:tcMar>
              <w:top w:w="20" w:type="dxa"/>
              <w:left w:w="20" w:type="dxa"/>
              <w:bottom w:w="0" w:type="dxa"/>
              <w:right w:w="20" w:type="dxa"/>
            </w:tcMar>
            <w:vAlign w:val="center"/>
          </w:tcPr>
          <w:p w14:paraId="41312A5B" w14:textId="49C350DC" w:rsidR="00C55832" w:rsidRPr="002856AE" w:rsidRDefault="00C55832" w:rsidP="00DB7C2F">
            <w:pPr>
              <w:spacing w:before="60" w:after="60"/>
              <w:ind w:left="57" w:right="57"/>
              <w:jc w:val="both"/>
              <w:rPr>
                <w:rFonts w:ascii="Arial" w:hAnsi="Arial" w:cs="Arial"/>
                <w:color w:val="000000"/>
                <w:sz w:val="22"/>
                <w:szCs w:val="22"/>
              </w:rPr>
            </w:pPr>
            <w:r w:rsidRPr="002856AE">
              <w:rPr>
                <w:rFonts w:ascii="Arial" w:eastAsia="Arial Unicode MS" w:hAnsi="Arial" w:cs="Arial"/>
                <w:sz w:val="22"/>
                <w:szCs w:val="22"/>
              </w:rPr>
              <w:t>Existem outras funções e responsabilidade dos carregadores, comercializadores e dos agentes que operam no mercado organizado?</w:t>
            </w:r>
          </w:p>
        </w:tc>
        <w:tc>
          <w:tcPr>
            <w:tcW w:w="6010" w:type="dxa"/>
            <w:tcBorders>
              <w:top w:val="single" w:sz="8" w:space="0" w:color="auto"/>
              <w:bottom w:val="single" w:sz="8" w:space="0" w:color="auto"/>
            </w:tcBorders>
            <w:shd w:val="clear" w:color="auto" w:fill="FFFFFF"/>
            <w:tcMar>
              <w:top w:w="20" w:type="dxa"/>
              <w:left w:w="20" w:type="dxa"/>
              <w:bottom w:w="0" w:type="dxa"/>
              <w:right w:w="20" w:type="dxa"/>
            </w:tcMar>
            <w:vAlign w:val="center"/>
          </w:tcPr>
          <w:p w14:paraId="1632AD38" w14:textId="77777777" w:rsidR="00C55832" w:rsidRPr="002856AE" w:rsidRDefault="00C55832" w:rsidP="00C55832">
            <w:pPr>
              <w:spacing w:before="60" w:after="60"/>
              <w:rPr>
                <w:rFonts w:ascii="Arial" w:hAnsi="Arial" w:cs="Arial"/>
                <w:sz w:val="22"/>
                <w:szCs w:val="22"/>
              </w:rPr>
            </w:pPr>
          </w:p>
        </w:tc>
      </w:tr>
      <w:tr w:rsidR="00C55832" w14:paraId="543228C7" w14:textId="77777777" w:rsidTr="00062367">
        <w:trPr>
          <w:trHeight w:val="1730"/>
        </w:trPr>
        <w:tc>
          <w:tcPr>
            <w:tcW w:w="2014" w:type="dxa"/>
            <w:tcBorders>
              <w:top w:val="single" w:sz="8" w:space="0" w:color="auto"/>
              <w:bottom w:val="single" w:sz="8" w:space="0" w:color="auto"/>
            </w:tcBorders>
            <w:shd w:val="clear" w:color="auto" w:fill="FFFFFF"/>
            <w:tcMar>
              <w:top w:w="20" w:type="dxa"/>
              <w:left w:w="20" w:type="dxa"/>
              <w:bottom w:w="0" w:type="dxa"/>
              <w:right w:w="20" w:type="dxa"/>
            </w:tcMar>
            <w:vAlign w:val="center"/>
          </w:tcPr>
          <w:p w14:paraId="59D8B02E" w14:textId="23533EC6" w:rsidR="00C55832" w:rsidRPr="002856AE" w:rsidRDefault="00C55832" w:rsidP="00C55832">
            <w:pPr>
              <w:spacing w:before="60" w:after="60"/>
              <w:ind w:left="57" w:right="57"/>
              <w:jc w:val="center"/>
              <w:rPr>
                <w:rFonts w:ascii="Arial" w:hAnsi="Arial" w:cs="Arial"/>
                <w:sz w:val="22"/>
                <w:szCs w:val="22"/>
              </w:rPr>
            </w:pPr>
            <w:r w:rsidRPr="002856AE">
              <w:rPr>
                <w:rFonts w:ascii="Arial" w:hAnsi="Arial" w:cs="Arial"/>
                <w:sz w:val="22"/>
                <w:szCs w:val="22"/>
              </w:rPr>
              <w:t>IV.9 - Funcionamento do Mercado de Gás Natural</w:t>
            </w:r>
          </w:p>
        </w:tc>
        <w:tc>
          <w:tcPr>
            <w:tcW w:w="6010" w:type="dxa"/>
            <w:tcBorders>
              <w:top w:val="single" w:sz="8" w:space="0" w:color="auto"/>
              <w:bottom w:val="single" w:sz="8" w:space="0" w:color="auto"/>
            </w:tcBorders>
            <w:shd w:val="clear" w:color="auto" w:fill="FFFFFF"/>
            <w:tcMar>
              <w:top w:w="20" w:type="dxa"/>
              <w:left w:w="20" w:type="dxa"/>
              <w:bottom w:w="0" w:type="dxa"/>
              <w:right w:w="20" w:type="dxa"/>
            </w:tcMar>
            <w:vAlign w:val="center"/>
          </w:tcPr>
          <w:p w14:paraId="37ECC25B" w14:textId="6501DD90" w:rsidR="00C55832" w:rsidRPr="002856AE" w:rsidRDefault="00C55832" w:rsidP="00DB7C2F">
            <w:pPr>
              <w:spacing w:before="60" w:after="60"/>
              <w:ind w:left="57" w:right="57"/>
              <w:jc w:val="both"/>
              <w:rPr>
                <w:rFonts w:ascii="Arial" w:hAnsi="Arial" w:cs="Arial"/>
                <w:color w:val="000000"/>
                <w:sz w:val="22"/>
                <w:szCs w:val="22"/>
              </w:rPr>
            </w:pPr>
            <w:r w:rsidRPr="002856AE">
              <w:rPr>
                <w:rFonts w:ascii="Arial" w:eastAsia="Arial Unicode MS" w:hAnsi="Arial" w:cs="Arial"/>
                <w:sz w:val="22"/>
                <w:szCs w:val="22"/>
              </w:rPr>
              <w:t>A descrição funcionamento do mercado por meio da Figura 13 está satisfatória ou carece de algum aprimoramento ou correção em termos da descrição dos fluxos de informações?</w:t>
            </w:r>
          </w:p>
        </w:tc>
        <w:tc>
          <w:tcPr>
            <w:tcW w:w="6010" w:type="dxa"/>
            <w:tcBorders>
              <w:top w:val="single" w:sz="8" w:space="0" w:color="auto"/>
              <w:bottom w:val="single" w:sz="8" w:space="0" w:color="auto"/>
            </w:tcBorders>
            <w:shd w:val="clear" w:color="auto" w:fill="FFFFFF"/>
            <w:tcMar>
              <w:top w:w="20" w:type="dxa"/>
              <w:left w:w="20" w:type="dxa"/>
              <w:bottom w:w="0" w:type="dxa"/>
              <w:right w:w="20" w:type="dxa"/>
            </w:tcMar>
            <w:vAlign w:val="center"/>
          </w:tcPr>
          <w:p w14:paraId="10E8F600" w14:textId="77777777" w:rsidR="00C55832" w:rsidRPr="002856AE" w:rsidRDefault="00C55832" w:rsidP="00C55832">
            <w:pPr>
              <w:spacing w:before="60" w:after="60"/>
              <w:rPr>
                <w:rFonts w:ascii="Arial" w:hAnsi="Arial" w:cs="Arial"/>
                <w:sz w:val="22"/>
                <w:szCs w:val="22"/>
              </w:rPr>
            </w:pPr>
          </w:p>
        </w:tc>
      </w:tr>
      <w:tr w:rsidR="00C55832" w14:paraId="28353C28" w14:textId="77777777" w:rsidTr="00062367">
        <w:trPr>
          <w:trHeight w:val="1730"/>
        </w:trPr>
        <w:tc>
          <w:tcPr>
            <w:tcW w:w="2014" w:type="dxa"/>
            <w:tcBorders>
              <w:top w:val="single" w:sz="8" w:space="0" w:color="auto"/>
              <w:bottom w:val="single" w:sz="8" w:space="0" w:color="auto"/>
            </w:tcBorders>
            <w:shd w:val="clear" w:color="auto" w:fill="FFFFFF"/>
            <w:tcMar>
              <w:top w:w="20" w:type="dxa"/>
              <w:left w:w="20" w:type="dxa"/>
              <w:bottom w:w="0" w:type="dxa"/>
              <w:right w:w="20" w:type="dxa"/>
            </w:tcMar>
            <w:vAlign w:val="center"/>
          </w:tcPr>
          <w:p w14:paraId="65814D45" w14:textId="1D51A010" w:rsidR="00C55832" w:rsidRPr="002856AE" w:rsidRDefault="00C55832" w:rsidP="00C55832">
            <w:pPr>
              <w:spacing w:before="60" w:after="60"/>
              <w:ind w:left="57" w:right="57"/>
              <w:jc w:val="center"/>
              <w:rPr>
                <w:rFonts w:ascii="Arial" w:hAnsi="Arial" w:cs="Arial"/>
                <w:sz w:val="22"/>
                <w:szCs w:val="22"/>
              </w:rPr>
            </w:pPr>
            <w:r w:rsidRPr="002856AE">
              <w:rPr>
                <w:rFonts w:ascii="Arial" w:hAnsi="Arial" w:cs="Arial"/>
                <w:sz w:val="22"/>
                <w:szCs w:val="22"/>
              </w:rPr>
              <w:t>IV.9 - Funcionamento do Mercado de Gás Natural</w:t>
            </w:r>
          </w:p>
        </w:tc>
        <w:tc>
          <w:tcPr>
            <w:tcW w:w="6010" w:type="dxa"/>
            <w:tcBorders>
              <w:top w:val="single" w:sz="8" w:space="0" w:color="auto"/>
              <w:bottom w:val="single" w:sz="8" w:space="0" w:color="auto"/>
            </w:tcBorders>
            <w:shd w:val="clear" w:color="auto" w:fill="FFFFFF"/>
            <w:tcMar>
              <w:top w:w="20" w:type="dxa"/>
              <w:left w:w="20" w:type="dxa"/>
              <w:bottom w:w="0" w:type="dxa"/>
              <w:right w:w="20" w:type="dxa"/>
            </w:tcMar>
            <w:vAlign w:val="center"/>
          </w:tcPr>
          <w:p w14:paraId="00D2472C" w14:textId="139DCEC2" w:rsidR="00C55832" w:rsidRPr="002856AE" w:rsidRDefault="00C55832" w:rsidP="00DB7C2F">
            <w:pPr>
              <w:spacing w:before="60" w:after="60"/>
              <w:ind w:left="57" w:right="57"/>
              <w:jc w:val="both"/>
              <w:rPr>
                <w:rFonts w:ascii="Arial" w:hAnsi="Arial" w:cs="Arial"/>
                <w:color w:val="000000"/>
                <w:sz w:val="22"/>
                <w:szCs w:val="22"/>
              </w:rPr>
            </w:pPr>
            <w:r w:rsidRPr="002856AE">
              <w:rPr>
                <w:rFonts w:ascii="Arial" w:eastAsia="Arial Unicode MS" w:hAnsi="Arial" w:cs="Arial"/>
                <w:sz w:val="22"/>
                <w:szCs w:val="22"/>
              </w:rPr>
              <w:t>Expresse sua opinião acerca das relações contratuais previstas, em especial os tipos e os conteúdo dos acordos. A proposta constante da Tabela 2 parece adequada?</w:t>
            </w:r>
          </w:p>
        </w:tc>
        <w:tc>
          <w:tcPr>
            <w:tcW w:w="6010" w:type="dxa"/>
            <w:tcBorders>
              <w:top w:val="single" w:sz="8" w:space="0" w:color="auto"/>
              <w:bottom w:val="single" w:sz="8" w:space="0" w:color="auto"/>
            </w:tcBorders>
            <w:shd w:val="clear" w:color="auto" w:fill="FFFFFF"/>
            <w:tcMar>
              <w:top w:w="20" w:type="dxa"/>
              <w:left w:w="20" w:type="dxa"/>
              <w:bottom w:w="0" w:type="dxa"/>
              <w:right w:w="20" w:type="dxa"/>
            </w:tcMar>
            <w:vAlign w:val="center"/>
          </w:tcPr>
          <w:p w14:paraId="1E01054E" w14:textId="77777777" w:rsidR="00C55832" w:rsidRPr="002856AE" w:rsidRDefault="00C55832" w:rsidP="00C55832">
            <w:pPr>
              <w:spacing w:before="60" w:after="60"/>
              <w:rPr>
                <w:rFonts w:ascii="Arial" w:hAnsi="Arial" w:cs="Arial"/>
                <w:sz w:val="22"/>
                <w:szCs w:val="22"/>
              </w:rPr>
            </w:pPr>
          </w:p>
        </w:tc>
      </w:tr>
      <w:tr w:rsidR="00C55832" w14:paraId="6B8031A6" w14:textId="77777777" w:rsidTr="00062367">
        <w:trPr>
          <w:trHeight w:val="1730"/>
        </w:trPr>
        <w:tc>
          <w:tcPr>
            <w:tcW w:w="2014" w:type="dxa"/>
            <w:tcBorders>
              <w:top w:val="single" w:sz="8" w:space="0" w:color="auto"/>
              <w:bottom w:val="single" w:sz="12" w:space="0" w:color="auto"/>
            </w:tcBorders>
            <w:shd w:val="clear" w:color="auto" w:fill="FFFFFF"/>
            <w:tcMar>
              <w:top w:w="20" w:type="dxa"/>
              <w:left w:w="20" w:type="dxa"/>
              <w:bottom w:w="0" w:type="dxa"/>
              <w:right w:w="20" w:type="dxa"/>
            </w:tcMar>
            <w:vAlign w:val="center"/>
          </w:tcPr>
          <w:p w14:paraId="541DA8E3" w14:textId="2FFD8E7D" w:rsidR="00C55832" w:rsidRPr="002856AE" w:rsidRDefault="00C55832" w:rsidP="00C55832">
            <w:pPr>
              <w:spacing w:before="60" w:after="60"/>
              <w:ind w:left="57" w:right="57"/>
              <w:jc w:val="center"/>
              <w:rPr>
                <w:rFonts w:ascii="Arial" w:hAnsi="Arial" w:cs="Arial"/>
                <w:sz w:val="22"/>
                <w:szCs w:val="22"/>
              </w:rPr>
            </w:pPr>
            <w:r w:rsidRPr="002856AE">
              <w:rPr>
                <w:rFonts w:ascii="Arial" w:hAnsi="Arial" w:cs="Arial"/>
                <w:sz w:val="22"/>
                <w:szCs w:val="22"/>
              </w:rPr>
              <w:t>IV.9 - Funcionamento do Mercado de Gás Natural</w:t>
            </w:r>
          </w:p>
        </w:tc>
        <w:tc>
          <w:tcPr>
            <w:tcW w:w="6010" w:type="dxa"/>
            <w:tcBorders>
              <w:top w:val="single" w:sz="8" w:space="0" w:color="auto"/>
              <w:bottom w:val="single" w:sz="12" w:space="0" w:color="auto"/>
            </w:tcBorders>
            <w:shd w:val="clear" w:color="auto" w:fill="FFFFFF"/>
            <w:tcMar>
              <w:top w:w="20" w:type="dxa"/>
              <w:left w:w="20" w:type="dxa"/>
              <w:bottom w:w="0" w:type="dxa"/>
              <w:right w:w="20" w:type="dxa"/>
            </w:tcMar>
            <w:vAlign w:val="center"/>
          </w:tcPr>
          <w:p w14:paraId="3A863770" w14:textId="28119C1B" w:rsidR="00C55832" w:rsidRPr="002856AE" w:rsidRDefault="00C55832" w:rsidP="00DB7C2F">
            <w:pPr>
              <w:spacing w:before="60" w:after="60"/>
              <w:ind w:left="57" w:right="57"/>
              <w:jc w:val="both"/>
              <w:rPr>
                <w:rFonts w:ascii="Arial" w:hAnsi="Arial" w:cs="Arial"/>
                <w:color w:val="000000"/>
                <w:sz w:val="22"/>
                <w:szCs w:val="22"/>
              </w:rPr>
            </w:pPr>
            <w:r w:rsidRPr="002856AE">
              <w:rPr>
                <w:rFonts w:ascii="Arial" w:eastAsia="Arial Unicode MS" w:hAnsi="Arial" w:cs="Arial"/>
                <w:sz w:val="22"/>
                <w:szCs w:val="22"/>
              </w:rPr>
              <w:t>Indicar se haveria necessidade de criação de outras entidades para o bom funcionamento do mercado de gás natural; por exemplo, uma entidade de contraparte central deveria ter sido citada ou ter tido a sua constituição proposta no documento?</w:t>
            </w:r>
          </w:p>
        </w:tc>
        <w:tc>
          <w:tcPr>
            <w:tcW w:w="6010" w:type="dxa"/>
            <w:tcBorders>
              <w:top w:val="single" w:sz="8" w:space="0" w:color="auto"/>
              <w:bottom w:val="single" w:sz="12" w:space="0" w:color="auto"/>
            </w:tcBorders>
            <w:shd w:val="clear" w:color="auto" w:fill="FFFFFF"/>
            <w:tcMar>
              <w:top w:w="20" w:type="dxa"/>
              <w:left w:w="20" w:type="dxa"/>
              <w:bottom w:w="0" w:type="dxa"/>
              <w:right w:w="20" w:type="dxa"/>
            </w:tcMar>
            <w:vAlign w:val="center"/>
          </w:tcPr>
          <w:p w14:paraId="4A098D57" w14:textId="77777777" w:rsidR="00C55832" w:rsidRPr="002856AE" w:rsidRDefault="00C55832" w:rsidP="00C55832">
            <w:pPr>
              <w:spacing w:before="60" w:after="60"/>
              <w:rPr>
                <w:rFonts w:ascii="Arial" w:hAnsi="Arial" w:cs="Arial"/>
                <w:sz w:val="22"/>
                <w:szCs w:val="22"/>
              </w:rPr>
            </w:pPr>
          </w:p>
        </w:tc>
      </w:tr>
    </w:tbl>
    <w:p w14:paraId="36C98416" w14:textId="77777777" w:rsidR="00CE468A" w:rsidRDefault="00CE468A" w:rsidP="00504858">
      <w:pPr>
        <w:spacing w:before="120" w:after="120"/>
        <w:rPr>
          <w:rFonts w:ascii="Arial" w:hAnsi="Arial" w:cs="Arial"/>
          <w:b/>
          <w:sz w:val="24"/>
          <w:szCs w:val="24"/>
        </w:rPr>
      </w:pPr>
    </w:p>
    <w:p w14:paraId="3DB48F92" w14:textId="77777777" w:rsidR="00363B61" w:rsidRDefault="00363B61" w:rsidP="00504858">
      <w:pPr>
        <w:spacing w:before="120" w:after="120"/>
        <w:rPr>
          <w:rFonts w:ascii="Arial" w:hAnsi="Arial" w:cs="Arial"/>
          <w:b/>
          <w:sz w:val="24"/>
          <w:szCs w:val="24"/>
        </w:rPr>
      </w:pPr>
    </w:p>
    <w:p w14:paraId="10E49539" w14:textId="77777777" w:rsidR="00363B61" w:rsidRDefault="00363B61" w:rsidP="00504858">
      <w:pPr>
        <w:spacing w:before="120" w:after="120"/>
        <w:rPr>
          <w:rFonts w:ascii="Arial" w:hAnsi="Arial" w:cs="Arial"/>
          <w:b/>
          <w:sz w:val="24"/>
          <w:szCs w:val="24"/>
        </w:rPr>
      </w:pPr>
    </w:p>
    <w:p w14:paraId="2E3A3EE2" w14:textId="52F4B585" w:rsidR="00504858" w:rsidRPr="00B24745" w:rsidRDefault="00504858" w:rsidP="00504858">
      <w:pPr>
        <w:spacing w:before="120" w:after="120"/>
        <w:rPr>
          <w:rFonts w:ascii="Arial" w:hAnsi="Arial" w:cs="Arial"/>
          <w:b/>
          <w:sz w:val="24"/>
          <w:szCs w:val="24"/>
        </w:rPr>
      </w:pPr>
      <w:r w:rsidRPr="00B24745">
        <w:rPr>
          <w:rFonts w:ascii="Arial" w:hAnsi="Arial" w:cs="Arial"/>
          <w:b/>
          <w:sz w:val="24"/>
          <w:szCs w:val="24"/>
        </w:rPr>
        <w:lastRenderedPageBreak/>
        <w:t>Comentário geral:</w:t>
      </w: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44"/>
      </w:tblGrid>
      <w:tr w:rsidR="00504858" w:rsidRPr="00B24745" w14:paraId="5749D9E7" w14:textId="77777777" w:rsidTr="002E24A9">
        <w:tc>
          <w:tcPr>
            <w:tcW w:w="14144" w:type="dxa"/>
            <w:shd w:val="clear" w:color="auto" w:fill="auto"/>
          </w:tcPr>
          <w:p w14:paraId="0B8B32DB" w14:textId="77777777" w:rsidR="00504858" w:rsidRPr="00B24745" w:rsidRDefault="00504858" w:rsidP="00504858">
            <w:pPr>
              <w:rPr>
                <w:rFonts w:ascii="Arial" w:hAnsi="Arial" w:cs="Arial"/>
              </w:rPr>
            </w:pPr>
          </w:p>
          <w:p w14:paraId="762AAB5C" w14:textId="49C53D28" w:rsidR="00504858" w:rsidRPr="00F7106B" w:rsidRDefault="00504858" w:rsidP="00504858">
            <w:pPr>
              <w:rPr>
                <w:rFonts w:ascii="Arial" w:hAnsi="Arial" w:cs="Arial"/>
              </w:rPr>
            </w:pPr>
          </w:p>
          <w:p w14:paraId="2EC8045E" w14:textId="4A5C6603" w:rsidR="003E3F27" w:rsidRPr="00F7106B" w:rsidRDefault="003E3F27" w:rsidP="00504858">
            <w:pPr>
              <w:rPr>
                <w:rFonts w:ascii="Arial" w:hAnsi="Arial" w:cs="Arial"/>
              </w:rPr>
            </w:pPr>
          </w:p>
          <w:p w14:paraId="55C24F17" w14:textId="1A610292" w:rsidR="003E3F27" w:rsidRPr="00F7106B" w:rsidRDefault="003E3F27" w:rsidP="00504858">
            <w:pPr>
              <w:rPr>
                <w:rFonts w:ascii="Arial" w:hAnsi="Arial" w:cs="Arial"/>
              </w:rPr>
            </w:pPr>
          </w:p>
          <w:p w14:paraId="16AC4D05" w14:textId="6B137236" w:rsidR="003E3F27" w:rsidRPr="00F7106B" w:rsidRDefault="003E3F27" w:rsidP="00504858">
            <w:pPr>
              <w:rPr>
                <w:rFonts w:ascii="Arial" w:hAnsi="Arial" w:cs="Arial"/>
              </w:rPr>
            </w:pPr>
          </w:p>
          <w:p w14:paraId="641160B3" w14:textId="09B7A034" w:rsidR="003E3F27" w:rsidRPr="00F7106B" w:rsidRDefault="003E3F27" w:rsidP="00504858">
            <w:pPr>
              <w:rPr>
                <w:rFonts w:ascii="Arial" w:hAnsi="Arial" w:cs="Arial"/>
              </w:rPr>
            </w:pPr>
          </w:p>
          <w:p w14:paraId="648990F4" w14:textId="0C8AC4F9" w:rsidR="003E3F27" w:rsidRPr="00F7106B" w:rsidRDefault="003E3F27" w:rsidP="00504858">
            <w:pPr>
              <w:rPr>
                <w:rFonts w:ascii="Arial" w:hAnsi="Arial" w:cs="Arial"/>
              </w:rPr>
            </w:pPr>
          </w:p>
          <w:p w14:paraId="42B34040" w14:textId="71B4AF23" w:rsidR="003E3F27" w:rsidRPr="00F7106B" w:rsidRDefault="003E3F27" w:rsidP="00504858">
            <w:pPr>
              <w:rPr>
                <w:rFonts w:ascii="Arial" w:hAnsi="Arial" w:cs="Arial"/>
              </w:rPr>
            </w:pPr>
          </w:p>
          <w:p w14:paraId="3BAFD464" w14:textId="77777777" w:rsidR="003E3F27" w:rsidRPr="00F7106B" w:rsidRDefault="003E3F27" w:rsidP="00504858">
            <w:pPr>
              <w:rPr>
                <w:rFonts w:ascii="Arial" w:hAnsi="Arial" w:cs="Arial"/>
              </w:rPr>
            </w:pPr>
          </w:p>
          <w:p w14:paraId="20007993" w14:textId="63B1E20B" w:rsidR="003E3F27" w:rsidRPr="00F7106B" w:rsidRDefault="003E3F27" w:rsidP="00504858">
            <w:pPr>
              <w:rPr>
                <w:rFonts w:ascii="Arial" w:hAnsi="Arial" w:cs="Arial"/>
              </w:rPr>
            </w:pPr>
          </w:p>
          <w:p w14:paraId="3A39AD64" w14:textId="51BDB6A9" w:rsidR="003E3F27" w:rsidRPr="00F7106B" w:rsidRDefault="003E3F27" w:rsidP="00504858">
            <w:pPr>
              <w:rPr>
                <w:rFonts w:ascii="Arial" w:hAnsi="Arial" w:cs="Arial"/>
              </w:rPr>
            </w:pPr>
          </w:p>
          <w:p w14:paraId="7615495B" w14:textId="29AC31B4" w:rsidR="003E3F27" w:rsidRPr="00F7106B" w:rsidRDefault="003E3F27" w:rsidP="00504858">
            <w:pPr>
              <w:rPr>
                <w:rFonts w:ascii="Arial" w:hAnsi="Arial" w:cs="Arial"/>
              </w:rPr>
            </w:pPr>
          </w:p>
          <w:p w14:paraId="4DFB93CB" w14:textId="47619E93" w:rsidR="003E3F27" w:rsidRPr="00F7106B" w:rsidRDefault="003E3F27" w:rsidP="00504858">
            <w:pPr>
              <w:rPr>
                <w:rFonts w:ascii="Arial" w:hAnsi="Arial" w:cs="Arial"/>
              </w:rPr>
            </w:pPr>
          </w:p>
          <w:p w14:paraId="070D405A" w14:textId="57072629" w:rsidR="003E3F27" w:rsidRDefault="003E3F27" w:rsidP="00504858">
            <w:pPr>
              <w:rPr>
                <w:rFonts w:ascii="Arial" w:hAnsi="Arial" w:cs="Arial"/>
              </w:rPr>
            </w:pPr>
          </w:p>
          <w:p w14:paraId="484FE4B6" w14:textId="77777777" w:rsidR="00C01AEB" w:rsidRPr="00F7106B" w:rsidRDefault="00C01AEB" w:rsidP="00504858">
            <w:pPr>
              <w:rPr>
                <w:rFonts w:ascii="Arial" w:hAnsi="Arial" w:cs="Arial"/>
              </w:rPr>
            </w:pPr>
          </w:p>
          <w:p w14:paraId="68CE349C" w14:textId="77777777" w:rsidR="003E3F27" w:rsidRPr="00F7106B" w:rsidRDefault="003E3F27" w:rsidP="00504858">
            <w:pPr>
              <w:rPr>
                <w:rFonts w:ascii="Arial" w:hAnsi="Arial" w:cs="Arial"/>
              </w:rPr>
            </w:pPr>
          </w:p>
          <w:p w14:paraId="5DFCE447" w14:textId="77777777" w:rsidR="00504858" w:rsidRPr="00F7106B" w:rsidRDefault="00504858" w:rsidP="00504858">
            <w:pPr>
              <w:rPr>
                <w:rFonts w:ascii="Arial" w:hAnsi="Arial" w:cs="Arial"/>
              </w:rPr>
            </w:pPr>
          </w:p>
          <w:p w14:paraId="49CE5B5F" w14:textId="44735E21" w:rsidR="00504858" w:rsidRDefault="00504858" w:rsidP="00504858">
            <w:pPr>
              <w:rPr>
                <w:rFonts w:ascii="Arial" w:hAnsi="Arial" w:cs="Arial"/>
              </w:rPr>
            </w:pPr>
          </w:p>
          <w:p w14:paraId="18EEF74D" w14:textId="2291FA40" w:rsidR="002E24A9" w:rsidRDefault="002E24A9" w:rsidP="00504858">
            <w:pPr>
              <w:rPr>
                <w:rFonts w:ascii="Arial" w:hAnsi="Arial" w:cs="Arial"/>
              </w:rPr>
            </w:pPr>
          </w:p>
          <w:p w14:paraId="553A2258" w14:textId="3244738B" w:rsidR="002E24A9" w:rsidRDefault="002E24A9" w:rsidP="00504858">
            <w:pPr>
              <w:rPr>
                <w:rFonts w:ascii="Arial" w:hAnsi="Arial" w:cs="Arial"/>
              </w:rPr>
            </w:pPr>
          </w:p>
          <w:p w14:paraId="071172B7" w14:textId="436A9A71" w:rsidR="002E24A9" w:rsidRDefault="002E24A9" w:rsidP="00504858">
            <w:pPr>
              <w:rPr>
                <w:rFonts w:ascii="Arial" w:hAnsi="Arial" w:cs="Arial"/>
              </w:rPr>
            </w:pPr>
          </w:p>
          <w:p w14:paraId="6BB3B139" w14:textId="67A2BF2E" w:rsidR="002E24A9" w:rsidRDefault="002E24A9" w:rsidP="00504858">
            <w:pPr>
              <w:rPr>
                <w:rFonts w:ascii="Arial" w:hAnsi="Arial" w:cs="Arial"/>
              </w:rPr>
            </w:pPr>
          </w:p>
          <w:p w14:paraId="698D4211" w14:textId="6B2C77C4" w:rsidR="002E24A9" w:rsidRDefault="002E24A9" w:rsidP="00504858">
            <w:pPr>
              <w:rPr>
                <w:rFonts w:ascii="Arial" w:hAnsi="Arial" w:cs="Arial"/>
              </w:rPr>
            </w:pPr>
          </w:p>
          <w:p w14:paraId="23FB8221" w14:textId="02BC036F" w:rsidR="002E24A9" w:rsidRDefault="002E24A9" w:rsidP="00504858">
            <w:pPr>
              <w:rPr>
                <w:rFonts w:ascii="Arial" w:hAnsi="Arial" w:cs="Arial"/>
              </w:rPr>
            </w:pPr>
          </w:p>
          <w:p w14:paraId="01DC6BD4" w14:textId="002167D5" w:rsidR="002E24A9" w:rsidRDefault="002E24A9" w:rsidP="00504858">
            <w:pPr>
              <w:rPr>
                <w:rFonts w:ascii="Arial" w:hAnsi="Arial" w:cs="Arial"/>
              </w:rPr>
            </w:pPr>
          </w:p>
          <w:p w14:paraId="1C990941" w14:textId="3604BB47" w:rsidR="002E24A9" w:rsidRDefault="002E24A9" w:rsidP="00504858">
            <w:pPr>
              <w:rPr>
                <w:rFonts w:ascii="Arial" w:hAnsi="Arial" w:cs="Arial"/>
              </w:rPr>
            </w:pPr>
          </w:p>
          <w:p w14:paraId="6E915178" w14:textId="57EF5371" w:rsidR="002E24A9" w:rsidRDefault="002E24A9" w:rsidP="00504858">
            <w:pPr>
              <w:rPr>
                <w:rFonts w:ascii="Arial" w:hAnsi="Arial" w:cs="Arial"/>
              </w:rPr>
            </w:pPr>
          </w:p>
          <w:p w14:paraId="1360F0CB" w14:textId="09024DF4" w:rsidR="002E24A9" w:rsidRDefault="002E24A9" w:rsidP="00504858">
            <w:pPr>
              <w:rPr>
                <w:rFonts w:ascii="Arial" w:hAnsi="Arial" w:cs="Arial"/>
              </w:rPr>
            </w:pPr>
          </w:p>
          <w:p w14:paraId="38753194" w14:textId="77777777" w:rsidR="002E24A9" w:rsidRPr="00F7106B" w:rsidRDefault="002E24A9" w:rsidP="00504858">
            <w:pPr>
              <w:rPr>
                <w:rFonts w:ascii="Arial" w:hAnsi="Arial" w:cs="Arial"/>
              </w:rPr>
            </w:pPr>
          </w:p>
          <w:p w14:paraId="0C9434B7" w14:textId="77777777" w:rsidR="00504858" w:rsidRPr="00F7106B" w:rsidRDefault="00504858" w:rsidP="00504858">
            <w:pPr>
              <w:rPr>
                <w:rFonts w:ascii="Arial" w:hAnsi="Arial" w:cs="Arial"/>
              </w:rPr>
            </w:pPr>
          </w:p>
          <w:p w14:paraId="5A57EC16" w14:textId="77777777" w:rsidR="00DE6183" w:rsidRPr="00F7106B" w:rsidRDefault="00DE6183" w:rsidP="00504858">
            <w:pPr>
              <w:rPr>
                <w:rFonts w:ascii="Arial" w:hAnsi="Arial" w:cs="Arial"/>
              </w:rPr>
            </w:pPr>
          </w:p>
          <w:p w14:paraId="3CF327C7" w14:textId="77777777" w:rsidR="00DE6183" w:rsidRPr="00B24745" w:rsidRDefault="00DE6183" w:rsidP="00504858">
            <w:pPr>
              <w:rPr>
                <w:rFonts w:ascii="Arial" w:hAnsi="Arial" w:cs="Arial"/>
              </w:rPr>
            </w:pPr>
          </w:p>
        </w:tc>
      </w:tr>
    </w:tbl>
    <w:p w14:paraId="3DD8287A" w14:textId="77777777" w:rsidR="00C01AEB" w:rsidRDefault="00C01AEB" w:rsidP="002E24A9">
      <w:pPr>
        <w:pStyle w:val="Legenda"/>
        <w:spacing w:line="360" w:lineRule="auto"/>
        <w:rPr>
          <w:rFonts w:cs="Arial"/>
          <w:szCs w:val="24"/>
          <w:u w:val="single"/>
        </w:rPr>
      </w:pPr>
    </w:p>
    <w:p w14:paraId="0E6ED26F" w14:textId="77777777" w:rsidR="00C01AEB" w:rsidRDefault="00C01AEB" w:rsidP="00D6106A">
      <w:pPr>
        <w:pStyle w:val="Legenda"/>
        <w:spacing w:line="360" w:lineRule="auto"/>
        <w:jc w:val="center"/>
        <w:rPr>
          <w:rFonts w:cs="Arial"/>
          <w:szCs w:val="24"/>
          <w:u w:val="single"/>
        </w:rPr>
      </w:pPr>
    </w:p>
    <w:p w14:paraId="1DBE96C5" w14:textId="2EF7AC6D" w:rsidR="008A1560" w:rsidRPr="00B24745" w:rsidRDefault="008A1560" w:rsidP="002E24A9">
      <w:pPr>
        <w:pStyle w:val="Legenda"/>
        <w:spacing w:line="360" w:lineRule="auto"/>
        <w:jc w:val="center"/>
        <w:rPr>
          <w:rFonts w:cs="Arial"/>
          <w:szCs w:val="24"/>
        </w:rPr>
      </w:pPr>
      <w:r w:rsidRPr="00B24745">
        <w:rPr>
          <w:rFonts w:cs="Arial"/>
          <w:szCs w:val="24"/>
          <w:u w:val="single"/>
        </w:rPr>
        <w:t>Instruções de envio:</w:t>
      </w:r>
    </w:p>
    <w:p w14:paraId="33AAC02F" w14:textId="5B113741" w:rsidR="004602FD" w:rsidRPr="00B24745" w:rsidRDefault="00D6106A" w:rsidP="00F7106B">
      <w:pPr>
        <w:pStyle w:val="Legenda"/>
        <w:spacing w:line="360" w:lineRule="auto"/>
        <w:jc w:val="center"/>
        <w:rPr>
          <w:rFonts w:cs="Arial"/>
          <w:sz w:val="22"/>
          <w:szCs w:val="22"/>
        </w:rPr>
      </w:pPr>
      <w:r w:rsidRPr="00B24745">
        <w:rPr>
          <w:rFonts w:cs="Arial"/>
          <w:sz w:val="22"/>
          <w:szCs w:val="22"/>
        </w:rPr>
        <w:t xml:space="preserve">Este formulário deverá ser encaminhado à ANP para o endereço eletrônico: </w:t>
      </w:r>
      <w:hyperlink r:id="rId11" w:history="1">
        <w:r w:rsidR="003B5F56" w:rsidRPr="00B24745">
          <w:rPr>
            <w:rStyle w:val="Hyperlink"/>
            <w:rFonts w:cs="Arial"/>
            <w:sz w:val="22"/>
            <w:szCs w:val="22"/>
          </w:rPr>
          <w:t>sim@anp.gov.br</w:t>
        </w:r>
      </w:hyperlink>
      <w:r w:rsidRPr="00B24745">
        <w:rPr>
          <w:rFonts w:cs="Arial"/>
          <w:sz w:val="22"/>
          <w:szCs w:val="22"/>
        </w:rPr>
        <w:t>.</w:t>
      </w:r>
    </w:p>
    <w:sectPr w:rsidR="004602FD" w:rsidRPr="00B24745" w:rsidSect="00CF534B">
      <w:pgSz w:w="16840" w:h="11907" w:orient="landscape" w:code="9"/>
      <w:pgMar w:top="1418" w:right="1418"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171446"/>
    <w:multiLevelType w:val="multilevel"/>
    <w:tmpl w:val="7B283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41813C9"/>
    <w:multiLevelType w:val="multilevel"/>
    <w:tmpl w:val="DF6E21D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742C"/>
    <w:rsid w:val="000303C4"/>
    <w:rsid w:val="000529DC"/>
    <w:rsid w:val="00062367"/>
    <w:rsid w:val="000663C5"/>
    <w:rsid w:val="00073BBE"/>
    <w:rsid w:val="000840EB"/>
    <w:rsid w:val="000873C6"/>
    <w:rsid w:val="000927F5"/>
    <w:rsid w:val="000B651B"/>
    <w:rsid w:val="000C62D6"/>
    <w:rsid w:val="000C6A0B"/>
    <w:rsid w:val="000C742C"/>
    <w:rsid w:val="000F43D7"/>
    <w:rsid w:val="00100689"/>
    <w:rsid w:val="00160C46"/>
    <w:rsid w:val="00176955"/>
    <w:rsid w:val="001D400B"/>
    <w:rsid w:val="001F74A0"/>
    <w:rsid w:val="002109D6"/>
    <w:rsid w:val="00216477"/>
    <w:rsid w:val="00237E7F"/>
    <w:rsid w:val="00245CC0"/>
    <w:rsid w:val="0025363E"/>
    <w:rsid w:val="0026582D"/>
    <w:rsid w:val="00267B34"/>
    <w:rsid w:val="002808DC"/>
    <w:rsid w:val="00284037"/>
    <w:rsid w:val="002856AE"/>
    <w:rsid w:val="00287B41"/>
    <w:rsid w:val="002A3BF5"/>
    <w:rsid w:val="002B1E8F"/>
    <w:rsid w:val="002B1EA8"/>
    <w:rsid w:val="002B4238"/>
    <w:rsid w:val="002E24A9"/>
    <w:rsid w:val="002E55F5"/>
    <w:rsid w:val="002F0638"/>
    <w:rsid w:val="00307D0A"/>
    <w:rsid w:val="00363B61"/>
    <w:rsid w:val="00392344"/>
    <w:rsid w:val="003B0512"/>
    <w:rsid w:val="003B5F56"/>
    <w:rsid w:val="003D44D0"/>
    <w:rsid w:val="003E05A7"/>
    <w:rsid w:val="003E3F27"/>
    <w:rsid w:val="004602FD"/>
    <w:rsid w:val="00467878"/>
    <w:rsid w:val="00471191"/>
    <w:rsid w:val="00476ABD"/>
    <w:rsid w:val="00482F43"/>
    <w:rsid w:val="004E5021"/>
    <w:rsid w:val="00504858"/>
    <w:rsid w:val="0051190A"/>
    <w:rsid w:val="00512DA8"/>
    <w:rsid w:val="00543CD6"/>
    <w:rsid w:val="00547A7D"/>
    <w:rsid w:val="00570C4C"/>
    <w:rsid w:val="00586DD3"/>
    <w:rsid w:val="0060528A"/>
    <w:rsid w:val="00605E86"/>
    <w:rsid w:val="00617C14"/>
    <w:rsid w:val="00630CF4"/>
    <w:rsid w:val="00634E6A"/>
    <w:rsid w:val="0066147C"/>
    <w:rsid w:val="00671FCF"/>
    <w:rsid w:val="00671FED"/>
    <w:rsid w:val="00673A82"/>
    <w:rsid w:val="006C6676"/>
    <w:rsid w:val="006C7878"/>
    <w:rsid w:val="006E303D"/>
    <w:rsid w:val="006F3AC2"/>
    <w:rsid w:val="00735912"/>
    <w:rsid w:val="0075492B"/>
    <w:rsid w:val="00762754"/>
    <w:rsid w:val="007842E5"/>
    <w:rsid w:val="00811880"/>
    <w:rsid w:val="00821DE8"/>
    <w:rsid w:val="008239DE"/>
    <w:rsid w:val="00840893"/>
    <w:rsid w:val="0085243A"/>
    <w:rsid w:val="00852D24"/>
    <w:rsid w:val="008A1560"/>
    <w:rsid w:val="008A2D46"/>
    <w:rsid w:val="008A2E6A"/>
    <w:rsid w:val="008B4F77"/>
    <w:rsid w:val="008C0A6C"/>
    <w:rsid w:val="008E1D4F"/>
    <w:rsid w:val="009204C5"/>
    <w:rsid w:val="00922079"/>
    <w:rsid w:val="00947621"/>
    <w:rsid w:val="00951AC2"/>
    <w:rsid w:val="00960E0F"/>
    <w:rsid w:val="00965928"/>
    <w:rsid w:val="00966C7A"/>
    <w:rsid w:val="0098022F"/>
    <w:rsid w:val="009876F8"/>
    <w:rsid w:val="009A7203"/>
    <w:rsid w:val="009B0C12"/>
    <w:rsid w:val="009E5AD5"/>
    <w:rsid w:val="009F1FEC"/>
    <w:rsid w:val="00A66F3B"/>
    <w:rsid w:val="00A67BAE"/>
    <w:rsid w:val="00A94719"/>
    <w:rsid w:val="00A94A8A"/>
    <w:rsid w:val="00A94E85"/>
    <w:rsid w:val="00AC1184"/>
    <w:rsid w:val="00AD3DD9"/>
    <w:rsid w:val="00AF76A9"/>
    <w:rsid w:val="00B24745"/>
    <w:rsid w:val="00B343D3"/>
    <w:rsid w:val="00B460C4"/>
    <w:rsid w:val="00B74C89"/>
    <w:rsid w:val="00BA2CFF"/>
    <w:rsid w:val="00BB004F"/>
    <w:rsid w:val="00BB737F"/>
    <w:rsid w:val="00BC3233"/>
    <w:rsid w:val="00BD5993"/>
    <w:rsid w:val="00BE0186"/>
    <w:rsid w:val="00BE5929"/>
    <w:rsid w:val="00C01AEB"/>
    <w:rsid w:val="00C13A89"/>
    <w:rsid w:val="00C20AA6"/>
    <w:rsid w:val="00C41D7B"/>
    <w:rsid w:val="00C55832"/>
    <w:rsid w:val="00C67C40"/>
    <w:rsid w:val="00C729E0"/>
    <w:rsid w:val="00C775A3"/>
    <w:rsid w:val="00CA0261"/>
    <w:rsid w:val="00CB10B6"/>
    <w:rsid w:val="00CD60C8"/>
    <w:rsid w:val="00CD7D9E"/>
    <w:rsid w:val="00CE468A"/>
    <w:rsid w:val="00CF2605"/>
    <w:rsid w:val="00CF30BB"/>
    <w:rsid w:val="00CF534B"/>
    <w:rsid w:val="00D0313B"/>
    <w:rsid w:val="00D060D3"/>
    <w:rsid w:val="00D144DA"/>
    <w:rsid w:val="00D15344"/>
    <w:rsid w:val="00D4552E"/>
    <w:rsid w:val="00D6106A"/>
    <w:rsid w:val="00D6313C"/>
    <w:rsid w:val="00D712D4"/>
    <w:rsid w:val="00D8067F"/>
    <w:rsid w:val="00DB7C2F"/>
    <w:rsid w:val="00DE6183"/>
    <w:rsid w:val="00E00C69"/>
    <w:rsid w:val="00E0776D"/>
    <w:rsid w:val="00E20C1F"/>
    <w:rsid w:val="00E24485"/>
    <w:rsid w:val="00E51418"/>
    <w:rsid w:val="00E734A7"/>
    <w:rsid w:val="00E74CCE"/>
    <w:rsid w:val="00EA591A"/>
    <w:rsid w:val="00ED7714"/>
    <w:rsid w:val="00EE067B"/>
    <w:rsid w:val="00EE5CA6"/>
    <w:rsid w:val="00F0065A"/>
    <w:rsid w:val="00F021F1"/>
    <w:rsid w:val="00F4024E"/>
    <w:rsid w:val="00F610A9"/>
    <w:rsid w:val="00F7106B"/>
    <w:rsid w:val="00FD2C11"/>
    <w:rsid w:val="00FD311D"/>
    <w:rsid w:val="00FF495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FF50DE1"/>
  <w15:chartTrackingRefBased/>
  <w15:docId w15:val="{6D868CF9-49DB-478A-8841-A717D0140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CF2605"/>
    <w:pPr>
      <w:autoSpaceDE w:val="0"/>
      <w:autoSpaceDN w:val="0"/>
      <w:adjustRightInd w:val="0"/>
      <w:jc w:val="both"/>
    </w:pPr>
    <w:rPr>
      <w:color w:val="000000"/>
      <w:sz w:val="24"/>
      <w:szCs w:val="24"/>
    </w:rPr>
  </w:style>
  <w:style w:type="character" w:customStyle="1" w:styleId="CorpodetextoChar">
    <w:name w:val="Corpo de texto Char"/>
    <w:link w:val="Corpodetexto"/>
    <w:semiHidden/>
    <w:rsid w:val="00CF2605"/>
    <w:rPr>
      <w:color w:val="000000"/>
      <w:sz w:val="24"/>
      <w:szCs w:val="24"/>
    </w:rPr>
  </w:style>
  <w:style w:type="paragraph" w:styleId="Legenda">
    <w:name w:val="caption"/>
    <w:basedOn w:val="Normal"/>
    <w:next w:val="Normal"/>
    <w:uiPriority w:val="35"/>
    <w:qFormat/>
    <w:rsid w:val="00BD5993"/>
    <w:rPr>
      <w:rFonts w:ascii="Arial" w:hAnsi="Arial"/>
      <w:sz w:val="24"/>
    </w:rPr>
  </w:style>
  <w:style w:type="character" w:styleId="Hyperlink">
    <w:name w:val="Hyperlink"/>
    <w:uiPriority w:val="99"/>
    <w:unhideWhenUsed/>
    <w:rsid w:val="00100689"/>
    <w:rPr>
      <w:color w:val="0000FF"/>
      <w:u w:val="single"/>
    </w:rPr>
  </w:style>
  <w:style w:type="character" w:styleId="MenoPendente">
    <w:name w:val="Unresolved Mention"/>
    <w:uiPriority w:val="99"/>
    <w:semiHidden/>
    <w:unhideWhenUsed/>
    <w:rsid w:val="001D400B"/>
    <w:rPr>
      <w:color w:val="605E5C"/>
      <w:shd w:val="clear" w:color="auto" w:fill="E1DFDD"/>
    </w:rPr>
  </w:style>
  <w:style w:type="table" w:styleId="Tabelacomgrade">
    <w:name w:val="Table Grid"/>
    <w:basedOn w:val="Tabelanormal"/>
    <w:uiPriority w:val="59"/>
    <w:rsid w:val="00F021F1"/>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D0313B"/>
    <w:rPr>
      <w:rFonts w:ascii="Segoe UI" w:hAnsi="Segoe UI" w:cs="Segoe UI"/>
      <w:sz w:val="18"/>
      <w:szCs w:val="18"/>
    </w:rPr>
  </w:style>
  <w:style w:type="character" w:customStyle="1" w:styleId="TextodebaloChar">
    <w:name w:val="Texto de balão Char"/>
    <w:link w:val="Textodebalo"/>
    <w:uiPriority w:val="99"/>
    <w:semiHidden/>
    <w:rsid w:val="00D031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568799">
      <w:bodyDiv w:val="1"/>
      <w:marLeft w:val="0"/>
      <w:marRight w:val="0"/>
      <w:marTop w:val="0"/>
      <w:marBottom w:val="0"/>
      <w:divBdr>
        <w:top w:val="none" w:sz="0" w:space="0" w:color="auto"/>
        <w:left w:val="none" w:sz="0" w:space="0" w:color="auto"/>
        <w:bottom w:val="none" w:sz="0" w:space="0" w:color="auto"/>
        <w:right w:val="none" w:sz="0" w:space="0" w:color="auto"/>
      </w:divBdr>
    </w:div>
    <w:div w:id="103469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m@anp.gov.br" TargetMode="External"/><Relationship Id="rId5" Type="http://schemas.openxmlformats.org/officeDocument/2006/relationships/numbering" Target="numbering.xml"/><Relationship Id="rId10"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E94C0A9010240990A4363A5ED286B" ma:contentTypeVersion="11" ma:contentTypeDescription="Create a new document." ma:contentTypeScope="" ma:versionID="1abf01342ef8df9e02b6c77aeeb972aa">
  <xsd:schema xmlns:xsd="http://www.w3.org/2001/XMLSchema" xmlns:xs="http://www.w3.org/2001/XMLSchema" xmlns:p="http://schemas.microsoft.com/office/2006/metadata/properties" xmlns:ns3="9013a8ec-cd0d-4ed2-9eb4-8c9215e056db" xmlns:ns4="9a3f325f-f21d-41c6-a148-0a40bc62e7e3" targetNamespace="http://schemas.microsoft.com/office/2006/metadata/properties" ma:root="true" ma:fieldsID="df10ba2b9b500ee1dd7447e5a061244d" ns3:_="" ns4:_="">
    <xsd:import namespace="9013a8ec-cd0d-4ed2-9eb4-8c9215e056db"/>
    <xsd:import namespace="9a3f325f-f21d-41c6-a148-0a40bc62e7e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3a8ec-cd0d-4ed2-9eb4-8c9215e05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3f325f-f21d-41c6-a148-0a40bc62e7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E2D0A-C1C5-4934-A1C5-EA0F4F328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3a8ec-cd0d-4ed2-9eb4-8c9215e056db"/>
    <ds:schemaRef ds:uri="9a3f325f-f21d-41c6-a148-0a40bc62e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D5B12E-AEEB-4E34-B52D-C3A134BD6BE8}">
  <ds:schemaRefs>
    <ds:schemaRef ds:uri="http://schemas.microsoft.com/sharepoint/v3/contenttype/forms"/>
  </ds:schemaRefs>
</ds:datastoreItem>
</file>

<file path=customXml/itemProps3.xml><?xml version="1.0" encoding="utf-8"?>
<ds:datastoreItem xmlns:ds="http://schemas.openxmlformats.org/officeDocument/2006/customXml" ds:itemID="{0F2A953A-CD76-4C3C-BB09-BE962BA11ED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9EB144-6B48-4C18-838C-CF27413D0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777</Words>
  <Characters>4197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Formulário - Consulta Pública da Minuta de Independência dos Transportadores</vt:lpstr>
    </vt:vector>
  </TitlesOfParts>
  <Company>Anp</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Formulário - Consulta Pública da Minuta de Independência dos Transportadores</dc:title>
  <dc:subject/>
  <dc:creator>Anp</dc:creator>
  <cp:keywords/>
  <dc:description/>
  <cp:lastModifiedBy>Luciano Veloso</cp:lastModifiedBy>
  <cp:revision>5</cp:revision>
  <cp:lastPrinted>2020-10-03T00:34:00Z</cp:lastPrinted>
  <dcterms:created xsi:type="dcterms:W3CDTF">2020-10-03T00:33:00Z</dcterms:created>
  <dcterms:modified xsi:type="dcterms:W3CDTF">2020-10-05T12:19:00Z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0x010100EFEE94C0A9010240990A4363A5ED286B</vt:lpwstr>
  </property>
</Properties>
</file>