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BF7" w:rsidRDefault="0035163D">
      <w:pPr>
        <w:rPr>
          <w:noProof/>
        </w:rPr>
      </w:pPr>
      <w:r>
        <w:rPr>
          <w:rFonts w:ascii="Helv" w:hAnsi="Helv"/>
          <w:noProof/>
          <w:color w:val="000000"/>
        </w:rPr>
        <w:drawing>
          <wp:inline distT="0" distB="0" distL="0" distR="0">
            <wp:extent cx="558800" cy="92710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92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C5BF7">
        <w:rPr>
          <w:noProof/>
        </w:rPr>
        <w:br w:type="textWrapping" w:clear="all"/>
      </w:r>
    </w:p>
    <w:p w:rsidR="00FC5BF7" w:rsidRDefault="00FC5BF7">
      <w:pPr>
        <w:pStyle w:val="Corpodetexto"/>
        <w:rPr>
          <w:b/>
        </w:rPr>
      </w:pPr>
    </w:p>
    <w:p w:rsidR="00FC5BF7" w:rsidRDefault="00FC5BF7">
      <w:pPr>
        <w:pStyle w:val="Corpodetexto"/>
        <w:rPr>
          <w:b/>
        </w:rPr>
      </w:pPr>
    </w:p>
    <w:p w:rsidR="00FC5BF7" w:rsidRDefault="00FC5BF7">
      <w:pPr>
        <w:pStyle w:val="Corpodetexto"/>
        <w:rPr>
          <w:b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778"/>
      </w:tblGrid>
      <w:tr w:rsidR="00FC5BF7">
        <w:tc>
          <w:tcPr>
            <w:tcW w:w="9778" w:type="dxa"/>
          </w:tcPr>
          <w:p w:rsidR="00FC5BF7" w:rsidRDefault="00FC5BF7">
            <w:pPr>
              <w:spacing w:before="120" w:after="120"/>
              <w:rPr>
                <w:sz w:val="24"/>
              </w:rPr>
            </w:pPr>
            <w:r>
              <w:rPr>
                <w:sz w:val="24"/>
              </w:rPr>
              <w:t>Nota Técnica n</w:t>
            </w:r>
            <w:r>
              <w:rPr>
                <w:sz w:val="24"/>
                <w:u w:val="single"/>
                <w:vertAlign w:val="superscript"/>
              </w:rPr>
              <w:t xml:space="preserve">o </w:t>
            </w:r>
            <w:r>
              <w:rPr>
                <w:sz w:val="24"/>
                <w:vertAlign w:val="superscript"/>
              </w:rPr>
              <w:t xml:space="preserve"> </w:t>
            </w:r>
            <w:r w:rsidR="00892E2D">
              <w:rPr>
                <w:sz w:val="24"/>
              </w:rPr>
              <w:fldChar w:fldCharType="begin">
                <w:ffData>
                  <w:name w:val="numero"/>
                  <w:enabled/>
                  <w:calcOnExit w:val="0"/>
                  <w:textInput>
                    <w:default w:val="Não preencher"/>
                  </w:textInput>
                </w:ffData>
              </w:fldChar>
            </w:r>
            <w:bookmarkStart w:id="0" w:name="numero"/>
            <w:r>
              <w:rPr>
                <w:sz w:val="24"/>
              </w:rPr>
              <w:instrText xml:space="preserve"> FORMTEXT </w:instrText>
            </w:r>
            <w:r w:rsidR="00892E2D">
              <w:rPr>
                <w:sz w:val="24"/>
              </w:rPr>
            </w:r>
            <w:r w:rsidR="00892E2D">
              <w:rPr>
                <w:sz w:val="24"/>
              </w:rPr>
              <w:fldChar w:fldCharType="separate"/>
            </w:r>
            <w:r w:rsidR="00C9427D">
              <w:rPr>
                <w:sz w:val="24"/>
              </w:rPr>
              <w:t>247</w:t>
            </w:r>
            <w:r w:rsidR="00892E2D">
              <w:rPr>
                <w:sz w:val="24"/>
              </w:rPr>
              <w:fldChar w:fldCharType="end"/>
            </w:r>
            <w:bookmarkEnd w:id="0"/>
            <w:r>
              <w:rPr>
                <w:sz w:val="24"/>
              </w:rPr>
              <w:t xml:space="preserve"> /SAB</w:t>
            </w:r>
          </w:p>
        </w:tc>
      </w:tr>
      <w:tr w:rsidR="00FC5BF7">
        <w:trPr>
          <w:trHeight w:val="1367"/>
        </w:trPr>
        <w:tc>
          <w:tcPr>
            <w:tcW w:w="9778" w:type="dxa"/>
          </w:tcPr>
          <w:p w:rsidR="00FC5BF7" w:rsidRDefault="00892E2D">
            <w:pPr>
              <w:spacing w:before="120" w:after="120"/>
              <w:jc w:val="right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data"/>
                  <w:enabled/>
                  <w:calcOnExit w:val="0"/>
                  <w:textInput>
                    <w:default w:val="Não preencher"/>
                  </w:textInput>
                </w:ffData>
              </w:fldChar>
            </w:r>
            <w:bookmarkStart w:id="1" w:name="data"/>
            <w:r w:rsidR="00FC5BF7"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C9427D">
              <w:rPr>
                <w:sz w:val="24"/>
              </w:rPr>
              <w:t>Rio de Janeiro, 30 de setembro de 2013</w:t>
            </w:r>
            <w:r>
              <w:rPr>
                <w:sz w:val="24"/>
              </w:rPr>
              <w:fldChar w:fldCharType="end"/>
            </w:r>
            <w:bookmarkEnd w:id="1"/>
          </w:p>
        </w:tc>
      </w:tr>
    </w:tbl>
    <w:p w:rsidR="00FC5BF7" w:rsidRDefault="00FC5BF7">
      <w:pPr>
        <w:spacing w:before="120" w:after="120"/>
        <w:jc w:val="both"/>
        <w:rPr>
          <w:sz w:val="24"/>
        </w:rPr>
        <w:sectPr w:rsidR="00FC5BF7">
          <w:footerReference w:type="even" r:id="rId9"/>
          <w:footerReference w:type="default" r:id="rId10"/>
          <w:pgSz w:w="11907" w:h="16840" w:code="9"/>
          <w:pgMar w:top="2835" w:right="851" w:bottom="1418" w:left="1701" w:header="720" w:footer="720" w:gutter="0"/>
          <w:cols w:space="720"/>
          <w:titlePg/>
        </w:sect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778"/>
      </w:tblGrid>
      <w:tr w:rsidR="00FC5BF7">
        <w:trPr>
          <w:trHeight w:val="487"/>
        </w:trPr>
        <w:tc>
          <w:tcPr>
            <w:tcW w:w="9778" w:type="dxa"/>
          </w:tcPr>
          <w:p w:rsidR="00BB7A7A" w:rsidRPr="00BB7A7A" w:rsidRDefault="00FC5BF7" w:rsidP="00BB7A7A">
            <w:pPr>
              <w:spacing w:before="120" w:after="120"/>
              <w:jc w:val="both"/>
              <w:rPr>
                <w:noProof/>
                <w:sz w:val="24"/>
              </w:rPr>
            </w:pPr>
            <w:r>
              <w:rPr>
                <w:sz w:val="24"/>
              </w:rPr>
              <w:lastRenderedPageBreak/>
              <w:t xml:space="preserve">Assunto: </w:t>
            </w:r>
            <w:r w:rsidR="00892E2D">
              <w:rPr>
                <w:sz w:val="24"/>
              </w:rPr>
              <w:fldChar w:fldCharType="begin">
                <w:ffData>
                  <w:name w:val="assunto"/>
                  <w:enabled/>
                  <w:calcOnExit w:val="0"/>
                  <w:textInput/>
                </w:ffData>
              </w:fldChar>
            </w:r>
            <w:bookmarkStart w:id="2" w:name="assunto"/>
            <w:r>
              <w:rPr>
                <w:sz w:val="24"/>
              </w:rPr>
              <w:instrText xml:space="preserve"> FORMTEXT </w:instrText>
            </w:r>
            <w:r w:rsidR="00892E2D">
              <w:rPr>
                <w:sz w:val="24"/>
              </w:rPr>
            </w:r>
            <w:r w:rsidR="00892E2D">
              <w:rPr>
                <w:sz w:val="24"/>
              </w:rPr>
              <w:fldChar w:fldCharType="separate"/>
            </w:r>
            <w:r w:rsidR="00BB7A7A" w:rsidRPr="00BB7A7A">
              <w:rPr>
                <w:noProof/>
                <w:sz w:val="24"/>
              </w:rPr>
              <w:t xml:space="preserve">Proposição de realização de Consulta Prévia a fim de obter sugestões para o novo marco regulatório do setor de GLP. </w:t>
            </w:r>
          </w:p>
          <w:p w:rsidR="00BB7A7A" w:rsidRPr="00BB7A7A" w:rsidRDefault="00BB7A7A" w:rsidP="00BB7A7A">
            <w:pPr>
              <w:spacing w:before="120" w:after="120"/>
              <w:jc w:val="both"/>
              <w:rPr>
                <w:noProof/>
                <w:sz w:val="24"/>
              </w:rPr>
            </w:pPr>
          </w:p>
          <w:p w:rsidR="00FC5BF7" w:rsidRDefault="00BB7A7A" w:rsidP="00BB7A7A">
            <w:pPr>
              <w:spacing w:before="120" w:after="120"/>
              <w:jc w:val="both"/>
              <w:rPr>
                <w:sz w:val="24"/>
              </w:rPr>
            </w:pPr>
            <w:r w:rsidRPr="00BB7A7A">
              <w:rPr>
                <w:noProof/>
                <w:sz w:val="24"/>
              </w:rPr>
              <w:t>Referência: Processo:</w:t>
            </w:r>
            <w:r>
              <w:rPr>
                <w:noProof/>
                <w:sz w:val="24"/>
              </w:rPr>
              <w:t xml:space="preserve"> 48610.</w:t>
            </w:r>
            <w:r w:rsidR="0002401F">
              <w:rPr>
                <w:noProof/>
                <w:sz w:val="24"/>
              </w:rPr>
              <w:t>010124/2013-74</w:t>
            </w:r>
            <w:r w:rsidR="00892E2D">
              <w:rPr>
                <w:sz w:val="24"/>
              </w:rPr>
              <w:fldChar w:fldCharType="end"/>
            </w:r>
            <w:bookmarkEnd w:id="2"/>
          </w:p>
        </w:tc>
      </w:tr>
    </w:tbl>
    <w:p w:rsidR="00FC5BF7" w:rsidRDefault="00FC5BF7">
      <w:pPr>
        <w:spacing w:before="120" w:after="120"/>
        <w:ind w:firstLine="1701"/>
        <w:jc w:val="both"/>
        <w:rPr>
          <w:sz w:val="22"/>
        </w:rPr>
        <w:sectPr w:rsidR="00FC5BF7">
          <w:type w:val="continuous"/>
          <w:pgSz w:w="11907" w:h="16840" w:code="9"/>
          <w:pgMar w:top="2835" w:right="851" w:bottom="1418" w:left="1701" w:header="720" w:footer="720" w:gutter="0"/>
          <w:cols w:space="720"/>
          <w:titlePg/>
        </w:sectPr>
      </w:pPr>
    </w:p>
    <w:p w:rsidR="00FC5BF7" w:rsidRDefault="00FC5BF7">
      <w:pPr>
        <w:pStyle w:val="Cabealho"/>
        <w:tabs>
          <w:tab w:val="clear" w:pos="4419"/>
          <w:tab w:val="clear" w:pos="8838"/>
        </w:tabs>
        <w:rPr>
          <w:sz w:val="22"/>
        </w:rPr>
      </w:pPr>
    </w:p>
    <w:p w:rsidR="003A2485" w:rsidRDefault="003A2485" w:rsidP="003A2485">
      <w:pPr>
        <w:numPr>
          <w:ilvl w:val="0"/>
          <w:numId w:val="1"/>
        </w:numPr>
        <w:autoSpaceDE w:val="0"/>
        <w:autoSpaceDN w:val="0"/>
        <w:adjustRightInd w:val="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INTRODUÇÃO </w:t>
      </w:r>
    </w:p>
    <w:p w:rsidR="003A2485" w:rsidRDefault="003A2485" w:rsidP="003A2485">
      <w:pPr>
        <w:autoSpaceDE w:val="0"/>
        <w:autoSpaceDN w:val="0"/>
        <w:adjustRightInd w:val="0"/>
        <w:rPr>
          <w:b/>
          <w:bCs/>
          <w:sz w:val="23"/>
          <w:szCs w:val="23"/>
        </w:rPr>
      </w:pPr>
    </w:p>
    <w:p w:rsidR="003A2485" w:rsidRDefault="003A2485" w:rsidP="003A2485">
      <w:pPr>
        <w:tabs>
          <w:tab w:val="left" w:pos="1134"/>
        </w:tabs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1.1 </w:t>
      </w:r>
      <w:r>
        <w:rPr>
          <w:color w:val="000000"/>
          <w:sz w:val="24"/>
          <w:szCs w:val="24"/>
        </w:rPr>
        <w:tab/>
        <w:t xml:space="preserve">A presente Nota Técnica tem por objetivo propor a realização de </w:t>
      </w:r>
      <w:r>
        <w:rPr>
          <w:sz w:val="24"/>
          <w:szCs w:val="24"/>
        </w:rPr>
        <w:t xml:space="preserve">Consulta Prévia, na modalidade de recebimento de sugestões, com o intuito </w:t>
      </w:r>
      <w:r>
        <w:rPr>
          <w:color w:val="000000"/>
          <w:sz w:val="24"/>
          <w:szCs w:val="24"/>
        </w:rPr>
        <w:t>de receber contribuições para o aperfeiçoamento do marco regulatório dos distribuidores e revendedores de GLP, assim como de outros agentes/órgãos/sociedade.</w:t>
      </w:r>
    </w:p>
    <w:p w:rsidR="003A2485" w:rsidRDefault="003A2485" w:rsidP="003A2485">
      <w:pPr>
        <w:tabs>
          <w:tab w:val="left" w:pos="1134"/>
        </w:tabs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3A2485" w:rsidRDefault="003A2485" w:rsidP="003A2485">
      <w:pPr>
        <w:autoSpaceDE w:val="0"/>
        <w:autoSpaceDN w:val="0"/>
        <w:adjustRightInd w:val="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2. HISTÓRICO </w:t>
      </w:r>
    </w:p>
    <w:p w:rsidR="003A2485" w:rsidRDefault="003A2485" w:rsidP="003A2485">
      <w:pPr>
        <w:pStyle w:val="Cabealho"/>
        <w:tabs>
          <w:tab w:val="left" w:pos="708"/>
        </w:tabs>
        <w:rPr>
          <w:sz w:val="22"/>
        </w:rPr>
      </w:pPr>
    </w:p>
    <w:p w:rsidR="003A2485" w:rsidRDefault="003A2485" w:rsidP="003A2485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2.1</w:t>
      </w:r>
      <w:r>
        <w:rPr>
          <w:rFonts w:ascii="Arial Narrow" w:hAnsi="Arial Narrow" w:cs="Arial Narrow"/>
          <w:sz w:val="23"/>
          <w:szCs w:val="23"/>
        </w:rPr>
        <w:t xml:space="preserve"> </w:t>
      </w:r>
      <w:r>
        <w:rPr>
          <w:sz w:val="24"/>
          <w:szCs w:val="24"/>
        </w:rPr>
        <w:tab/>
        <w:t>O gás liquefeito de petróleo (GLP) reveste-se de característica peculiar, haja vista não só a periculosidade intrínseca, como também a utilização predominante que lhe é dada e os processos e procedimentos exigíveis para seu manuseio e comercialização. Tal utilização diz respeito à cocção de alimentos em cerca de 90%</w:t>
      </w:r>
      <w:proofErr w:type="gramStart"/>
      <w:r>
        <w:rPr>
          <w:sz w:val="24"/>
          <w:szCs w:val="24"/>
          <w:vertAlign w:val="superscript"/>
        </w:rPr>
        <w:t>(</w:t>
      </w:r>
      <w:proofErr w:type="gramEnd"/>
      <w:r>
        <w:rPr>
          <w:sz w:val="24"/>
          <w:szCs w:val="24"/>
          <w:vertAlign w:val="superscript"/>
        </w:rPr>
        <w:t>1)</w:t>
      </w:r>
      <w:r>
        <w:rPr>
          <w:sz w:val="24"/>
          <w:szCs w:val="24"/>
        </w:rPr>
        <w:t xml:space="preserve"> dos domicílios e em todos os municípios brasileiros, sendo comum ouvir-se que sua abrangência supera a da água encanada e a da luz elétrica. De acordo com o banco de dados da ANP, no ano de 2012, 72% do GLP foi comercializado em recipientes de até 13 Kg, cuja principal utilização é para uso doméstico e uso comercial, sendo o restante, 28%, para uso industrial.</w:t>
      </w:r>
    </w:p>
    <w:p w:rsidR="003A2485" w:rsidRDefault="003A2485" w:rsidP="003A2485">
      <w:pPr>
        <w:autoSpaceDE w:val="0"/>
        <w:autoSpaceDN w:val="0"/>
        <w:adjustRightInd w:val="0"/>
        <w:rPr>
          <w:sz w:val="24"/>
          <w:szCs w:val="24"/>
        </w:rPr>
      </w:pPr>
    </w:p>
    <w:p w:rsidR="003A2485" w:rsidRDefault="003A2485" w:rsidP="003A2485">
      <w:pPr>
        <w:tabs>
          <w:tab w:val="left" w:pos="1134"/>
        </w:tabs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2.2      </w:t>
      </w:r>
      <w:r>
        <w:rPr>
          <w:color w:val="000000"/>
          <w:sz w:val="24"/>
          <w:szCs w:val="24"/>
        </w:rPr>
        <w:tab/>
      </w:r>
      <w:r>
        <w:rPr>
          <w:sz w:val="24"/>
          <w:szCs w:val="24"/>
        </w:rPr>
        <w:t>Atualmente</w:t>
      </w:r>
      <w:proofErr w:type="gramStart"/>
      <w:r>
        <w:rPr>
          <w:sz w:val="24"/>
          <w:szCs w:val="24"/>
        </w:rPr>
        <w:t>, são</w:t>
      </w:r>
      <w:proofErr w:type="gramEnd"/>
      <w:r>
        <w:rPr>
          <w:sz w:val="24"/>
          <w:szCs w:val="24"/>
        </w:rPr>
        <w:t xml:space="preserve"> movimentadas cerca de 7,2 milhões de toneladas por ano de GLP </w:t>
      </w:r>
      <w:r>
        <w:rPr>
          <w:sz w:val="24"/>
          <w:szCs w:val="24"/>
          <w:vertAlign w:val="superscript"/>
        </w:rPr>
        <w:t>(3)</w:t>
      </w:r>
      <w:r>
        <w:rPr>
          <w:sz w:val="24"/>
          <w:szCs w:val="24"/>
        </w:rPr>
        <w:t>, das quais 15% provêm do mercado externo, importadas</w:t>
      </w:r>
      <w:r>
        <w:rPr>
          <w:sz w:val="24"/>
          <w:szCs w:val="24"/>
          <w:vertAlign w:val="superscript"/>
        </w:rPr>
        <w:t>(4)</w:t>
      </w:r>
      <w:r>
        <w:rPr>
          <w:sz w:val="24"/>
          <w:szCs w:val="24"/>
        </w:rPr>
        <w:t>.</w:t>
      </w:r>
      <w:r>
        <w:rPr>
          <w:rFonts w:ascii="Verdana" w:hAnsi="Verdana"/>
        </w:rPr>
        <w:t xml:space="preserve"> </w:t>
      </w:r>
      <w:r>
        <w:rPr>
          <w:sz w:val="24"/>
          <w:szCs w:val="24"/>
        </w:rPr>
        <w:t>Internamente, o principal fo</w:t>
      </w:r>
      <w:r w:rsidR="006B3B92">
        <w:rPr>
          <w:sz w:val="24"/>
          <w:szCs w:val="24"/>
        </w:rPr>
        <w:t>rnecedor é a Petrobra</w:t>
      </w:r>
      <w:r>
        <w:rPr>
          <w:sz w:val="24"/>
          <w:szCs w:val="24"/>
        </w:rPr>
        <w:t>s, que detém 95,75% do mercado.</w:t>
      </w:r>
      <w:r>
        <w:rPr>
          <w:rFonts w:ascii="Verdana" w:hAnsi="Verdana"/>
        </w:rPr>
        <w:t xml:space="preserve"> </w:t>
      </w:r>
      <w:r>
        <w:rPr>
          <w:sz w:val="24"/>
          <w:szCs w:val="24"/>
        </w:rPr>
        <w:t>A parcela restante é atendida pelas centrais petroquímicas,</w:t>
      </w:r>
      <w:r>
        <w:rPr>
          <w:color w:val="0000FF"/>
          <w:sz w:val="24"/>
          <w:szCs w:val="24"/>
        </w:rPr>
        <w:t xml:space="preserve"> </w:t>
      </w:r>
      <w:r>
        <w:rPr>
          <w:sz w:val="24"/>
          <w:szCs w:val="24"/>
        </w:rPr>
        <w:t xml:space="preserve">Braskem (2,71%) e </w:t>
      </w:r>
      <w:proofErr w:type="spellStart"/>
      <w:r>
        <w:rPr>
          <w:sz w:val="24"/>
          <w:szCs w:val="24"/>
        </w:rPr>
        <w:t>Quattor</w:t>
      </w:r>
      <w:proofErr w:type="spellEnd"/>
      <w:r>
        <w:rPr>
          <w:sz w:val="24"/>
          <w:szCs w:val="24"/>
        </w:rPr>
        <w:t xml:space="preserve"> (1,52%</w:t>
      </w:r>
      <w:proofErr w:type="gramStart"/>
      <w:r>
        <w:rPr>
          <w:sz w:val="24"/>
          <w:szCs w:val="24"/>
        </w:rPr>
        <w:t>)</w:t>
      </w:r>
      <w:r>
        <w:rPr>
          <w:sz w:val="24"/>
          <w:szCs w:val="24"/>
          <w:vertAlign w:val="superscript"/>
        </w:rPr>
        <w:t>(</w:t>
      </w:r>
      <w:proofErr w:type="gramEnd"/>
      <w:r>
        <w:rPr>
          <w:sz w:val="24"/>
          <w:szCs w:val="24"/>
          <w:vertAlign w:val="superscript"/>
        </w:rPr>
        <w:t>5)</w:t>
      </w:r>
      <w:r>
        <w:rPr>
          <w:sz w:val="24"/>
          <w:szCs w:val="24"/>
        </w:rPr>
        <w:t>.</w:t>
      </w:r>
    </w:p>
    <w:p w:rsidR="003A2485" w:rsidRDefault="003A2485" w:rsidP="003A2485">
      <w:pPr>
        <w:tabs>
          <w:tab w:val="left" w:pos="1134"/>
        </w:tabs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3A2485" w:rsidRDefault="003A2485" w:rsidP="003A2485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2.3 </w:t>
      </w:r>
      <w:r>
        <w:rPr>
          <w:color w:val="000000"/>
          <w:sz w:val="24"/>
          <w:szCs w:val="24"/>
        </w:rPr>
        <w:tab/>
      </w:r>
      <w:r>
        <w:rPr>
          <w:sz w:val="24"/>
          <w:szCs w:val="24"/>
        </w:rPr>
        <w:t xml:space="preserve">No que tange à atividade de distribuição, </w:t>
      </w:r>
      <w:r w:rsidR="00495D0F">
        <w:rPr>
          <w:sz w:val="24"/>
          <w:szCs w:val="24"/>
        </w:rPr>
        <w:t xml:space="preserve">se </w:t>
      </w:r>
      <w:r w:rsidR="006B3B92">
        <w:rPr>
          <w:sz w:val="24"/>
          <w:szCs w:val="24"/>
        </w:rPr>
        <w:t>encontram em operação 18 distribuidores autorizados pela ANP</w:t>
      </w:r>
      <w:r>
        <w:rPr>
          <w:sz w:val="24"/>
          <w:szCs w:val="24"/>
        </w:rPr>
        <w:t xml:space="preserve">. Destes, destacam-se </w:t>
      </w:r>
      <w:proofErr w:type="gramStart"/>
      <w:r>
        <w:rPr>
          <w:sz w:val="24"/>
          <w:szCs w:val="24"/>
        </w:rPr>
        <w:t>5</w:t>
      </w:r>
      <w:proofErr w:type="gramEnd"/>
      <w:r>
        <w:rPr>
          <w:sz w:val="24"/>
          <w:szCs w:val="24"/>
        </w:rPr>
        <w:t xml:space="preserve"> grupos econômicos que detêm as seguintes participações de mercado: Ultragás (23%), Liquigás (23%), Supergasbrás (21%), Nacional Gás (19%) e Copagaz (8%)</w:t>
      </w:r>
      <w:r w:rsidRPr="006B3B92">
        <w:rPr>
          <w:sz w:val="24"/>
          <w:szCs w:val="24"/>
          <w:vertAlign w:val="superscript"/>
        </w:rPr>
        <w:t>(3)</w:t>
      </w:r>
      <w:r>
        <w:rPr>
          <w:sz w:val="24"/>
          <w:szCs w:val="24"/>
        </w:rPr>
        <w:t>.</w:t>
      </w:r>
    </w:p>
    <w:p w:rsidR="003A2485" w:rsidRDefault="003A2485" w:rsidP="003A2485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3A2485" w:rsidRDefault="003A2485" w:rsidP="003A2485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 </w:t>
      </w:r>
      <w:r>
        <w:rPr>
          <w:sz w:val="24"/>
          <w:szCs w:val="24"/>
        </w:rPr>
        <w:tab/>
        <w:t>No que tange à atividade de revenda</w:t>
      </w:r>
      <w:r w:rsidR="004979B8">
        <w:rPr>
          <w:sz w:val="24"/>
          <w:szCs w:val="24"/>
        </w:rPr>
        <w:t>,</w:t>
      </w:r>
      <w:r>
        <w:rPr>
          <w:sz w:val="24"/>
          <w:szCs w:val="24"/>
        </w:rPr>
        <w:t xml:space="preserve"> encontram-se autorizadas 53.995 revendas de GLP, sendo aproximadamente 30% multi-</w:t>
      </w:r>
      <w:proofErr w:type="gramStart"/>
      <w:r>
        <w:rPr>
          <w:sz w:val="24"/>
          <w:szCs w:val="24"/>
        </w:rPr>
        <w:t>bandeira</w:t>
      </w:r>
      <w:r>
        <w:rPr>
          <w:sz w:val="24"/>
          <w:szCs w:val="24"/>
          <w:vertAlign w:val="superscript"/>
        </w:rPr>
        <w:t>(</w:t>
      </w:r>
      <w:proofErr w:type="gramEnd"/>
      <w:r>
        <w:rPr>
          <w:sz w:val="24"/>
          <w:szCs w:val="24"/>
          <w:vertAlign w:val="superscript"/>
        </w:rPr>
        <w:t>6)</w:t>
      </w:r>
      <w:r>
        <w:rPr>
          <w:sz w:val="24"/>
          <w:szCs w:val="24"/>
        </w:rPr>
        <w:t>.</w:t>
      </w:r>
      <w:r>
        <w:rPr>
          <w:rFonts w:ascii="Verdana" w:hAnsi="Verdana"/>
        </w:rPr>
        <w:t xml:space="preserve"> </w:t>
      </w:r>
    </w:p>
    <w:p w:rsidR="003A2485" w:rsidRDefault="003A2485" w:rsidP="003A2485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br/>
      </w:r>
      <w:r>
        <w:rPr>
          <w:sz w:val="24"/>
          <w:szCs w:val="24"/>
        </w:rPr>
        <w:t xml:space="preserve">2.5 </w:t>
      </w:r>
      <w:r>
        <w:rPr>
          <w:sz w:val="24"/>
          <w:szCs w:val="24"/>
        </w:rPr>
        <w:tab/>
        <w:t>O suprimento ao consumidor ocorre sob as modalidades a granel e envasado em recipientes transportáveis, entre os quais sobressaem os de capacidade de 13 kg, estimando-se que existam, hoje, em torno de 107 milhões</w:t>
      </w:r>
      <w:r w:rsidR="004979B8">
        <w:rPr>
          <w:sz w:val="24"/>
          <w:szCs w:val="24"/>
        </w:rPr>
        <w:t xml:space="preserve"> de recipientes</w:t>
      </w:r>
      <w:r>
        <w:rPr>
          <w:sz w:val="24"/>
          <w:szCs w:val="24"/>
        </w:rPr>
        <w:t xml:space="preserve"> em circulação.</w:t>
      </w:r>
    </w:p>
    <w:p w:rsidR="003A2485" w:rsidRDefault="003A2485" w:rsidP="003A2485">
      <w:pPr>
        <w:pStyle w:val="Cabealho"/>
        <w:tabs>
          <w:tab w:val="left" w:pos="1134"/>
        </w:tabs>
        <w:rPr>
          <w:color w:val="000000"/>
          <w:sz w:val="24"/>
          <w:szCs w:val="24"/>
        </w:rPr>
      </w:pPr>
    </w:p>
    <w:p w:rsidR="003A2485" w:rsidRDefault="003A2485" w:rsidP="003A2485">
      <w:pPr>
        <w:pStyle w:val="Cabealho"/>
        <w:tabs>
          <w:tab w:val="left" w:pos="1134"/>
        </w:tabs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3. INFORMAÇÕES RELEVANTES </w:t>
      </w:r>
    </w:p>
    <w:p w:rsidR="003A2485" w:rsidRDefault="003A2485" w:rsidP="003A2485">
      <w:pPr>
        <w:pStyle w:val="Cabealho"/>
        <w:tabs>
          <w:tab w:val="left" w:pos="708"/>
        </w:tabs>
        <w:jc w:val="both"/>
        <w:rPr>
          <w:color w:val="000000"/>
          <w:sz w:val="24"/>
          <w:szCs w:val="24"/>
        </w:rPr>
      </w:pPr>
    </w:p>
    <w:p w:rsidR="003A2485" w:rsidRDefault="003A2485" w:rsidP="003A2485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3.1 </w:t>
      </w:r>
      <w:r>
        <w:rPr>
          <w:color w:val="000000"/>
          <w:sz w:val="24"/>
          <w:szCs w:val="24"/>
        </w:rPr>
        <w:tab/>
      </w:r>
      <w:r>
        <w:rPr>
          <w:sz w:val="24"/>
          <w:szCs w:val="24"/>
        </w:rPr>
        <w:t>Com referência ao marco regulatório, a ANP editou</w:t>
      </w:r>
      <w:r w:rsidR="004979B8">
        <w:rPr>
          <w:sz w:val="24"/>
          <w:szCs w:val="24"/>
        </w:rPr>
        <w:t>,</w:t>
      </w:r>
      <w:r>
        <w:rPr>
          <w:sz w:val="24"/>
          <w:szCs w:val="24"/>
        </w:rPr>
        <w:t xml:space="preserve"> em 18/11/2003</w:t>
      </w:r>
      <w:r w:rsidR="004979B8">
        <w:rPr>
          <w:sz w:val="24"/>
          <w:szCs w:val="24"/>
        </w:rPr>
        <w:t>,</w:t>
      </w:r>
      <w:r>
        <w:rPr>
          <w:sz w:val="24"/>
          <w:szCs w:val="24"/>
        </w:rPr>
        <w:t xml:space="preserve"> a Portaria ANP nº 297, que regulamenta a atividade de revenda de GLP e, em 18/05/2005, a Resolução ANP nº 15, que regulamenta a atividade de distribuição de GLP. Nesse contexto, considerando que já se passaram cerca de 10 anos, torna-se necessário avaliar se os referidos atos normativos ainda encontram-se aderentes às melhores práticas para a regulação do mercado.</w:t>
      </w:r>
    </w:p>
    <w:p w:rsidR="003A2485" w:rsidRDefault="003A2485" w:rsidP="003A2485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br/>
        <w:t xml:space="preserve">3.2 </w:t>
      </w:r>
      <w:r>
        <w:rPr>
          <w:sz w:val="24"/>
          <w:szCs w:val="24"/>
        </w:rPr>
        <w:tab/>
        <w:t>A Superintendência de Abastecimento vem propor, para o processo de revisão do marco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regulatório de distribuição e revenda de GLP, a adoção de nova metodologia, realizando</w:t>
      </w:r>
      <w:r w:rsidR="004979B8">
        <w:rPr>
          <w:sz w:val="24"/>
          <w:szCs w:val="24"/>
        </w:rPr>
        <w:t>,</w:t>
      </w:r>
      <w:r>
        <w:rPr>
          <w:sz w:val="24"/>
          <w:szCs w:val="24"/>
        </w:rPr>
        <w:t xml:space="preserve"> de forma de inovadora, a fase de Consulta Prévia.</w:t>
      </w:r>
    </w:p>
    <w:p w:rsidR="003A2485" w:rsidRDefault="003A2485" w:rsidP="003A2485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3A2485" w:rsidRDefault="003A2485" w:rsidP="003A2485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 </w:t>
      </w:r>
      <w:r>
        <w:rPr>
          <w:sz w:val="24"/>
          <w:szCs w:val="24"/>
        </w:rPr>
        <w:tab/>
      </w:r>
      <w:r w:rsidR="005B7193">
        <w:rPr>
          <w:sz w:val="24"/>
          <w:szCs w:val="24"/>
        </w:rPr>
        <w:t xml:space="preserve">Tendo em vista a complexidade e a diversidade dos assuntos a </w:t>
      </w:r>
      <w:proofErr w:type="gramStart"/>
      <w:r w:rsidR="005B7193">
        <w:rPr>
          <w:sz w:val="24"/>
          <w:szCs w:val="24"/>
        </w:rPr>
        <w:t>serem</w:t>
      </w:r>
      <w:proofErr w:type="gramEnd"/>
      <w:r w:rsidR="005B7193">
        <w:rPr>
          <w:sz w:val="24"/>
          <w:szCs w:val="24"/>
        </w:rPr>
        <w:t xml:space="preserve"> analisados, a SAB sugere </w:t>
      </w:r>
      <w:r>
        <w:rPr>
          <w:sz w:val="24"/>
          <w:szCs w:val="24"/>
        </w:rPr>
        <w:t xml:space="preserve">que seja disponibilizado o formulário de "Consulta </w:t>
      </w:r>
      <w:r w:rsidR="005B7193">
        <w:rPr>
          <w:sz w:val="24"/>
          <w:szCs w:val="24"/>
        </w:rPr>
        <w:t>Prévia", pelo prazo de 60 dias, visando</w:t>
      </w:r>
      <w:r>
        <w:rPr>
          <w:sz w:val="24"/>
          <w:szCs w:val="24"/>
        </w:rPr>
        <w:t xml:space="preserve"> receber sugestões</w:t>
      </w:r>
      <w:r w:rsidR="004979B8">
        <w:rPr>
          <w:sz w:val="24"/>
          <w:szCs w:val="24"/>
        </w:rPr>
        <w:t>,</w:t>
      </w:r>
      <w:r>
        <w:rPr>
          <w:sz w:val="24"/>
          <w:szCs w:val="24"/>
        </w:rPr>
        <w:t xml:space="preserve"> para o aperfeiçoamento do marco regulatório</w:t>
      </w:r>
      <w:r w:rsidR="004979B8">
        <w:rPr>
          <w:sz w:val="24"/>
          <w:szCs w:val="24"/>
        </w:rPr>
        <w:t>,</w:t>
      </w:r>
      <w:r>
        <w:rPr>
          <w:sz w:val="24"/>
          <w:szCs w:val="24"/>
        </w:rPr>
        <w:t xml:space="preserve"> dos distribuidores e revendedores de GLP, assim como de outros agentes/órgãos/sociedade. </w:t>
      </w:r>
    </w:p>
    <w:p w:rsidR="003A2485" w:rsidRDefault="003A2485" w:rsidP="003A2485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3A2485" w:rsidRDefault="003A2485" w:rsidP="003A248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3.4 </w:t>
      </w:r>
      <w:r>
        <w:rPr>
          <w:sz w:val="24"/>
          <w:szCs w:val="24"/>
        </w:rPr>
        <w:tab/>
        <w:t>Nessa etapa</w:t>
      </w:r>
      <w:r w:rsidR="004979B8">
        <w:rPr>
          <w:sz w:val="24"/>
          <w:szCs w:val="24"/>
        </w:rPr>
        <w:t>,</w:t>
      </w:r>
      <w:r>
        <w:rPr>
          <w:sz w:val="24"/>
          <w:szCs w:val="24"/>
        </w:rPr>
        <w:t xml:space="preserve"> a Superintendência de Abastecimento não disponibilizará minuta de resolução</w:t>
      </w:r>
      <w:r w:rsidR="004979B8">
        <w:rPr>
          <w:sz w:val="24"/>
          <w:szCs w:val="24"/>
        </w:rPr>
        <w:t>,</w:t>
      </w:r>
      <w:r>
        <w:rPr>
          <w:sz w:val="24"/>
          <w:szCs w:val="24"/>
        </w:rPr>
        <w:t xml:space="preserve"> uma vez que o objetivo é poder identificar os pontos de aperfeiçoamento e </w:t>
      </w:r>
      <w:proofErr w:type="spellStart"/>
      <w:r>
        <w:rPr>
          <w:sz w:val="24"/>
          <w:szCs w:val="24"/>
        </w:rPr>
        <w:t>classificá</w:t>
      </w:r>
      <w:proofErr w:type="spellEnd"/>
      <w:r>
        <w:rPr>
          <w:sz w:val="24"/>
          <w:szCs w:val="24"/>
        </w:rPr>
        <w:t>-</w:t>
      </w:r>
      <w:r>
        <w:t xml:space="preserve"> </w:t>
      </w:r>
      <w:proofErr w:type="spellStart"/>
      <w:r>
        <w:rPr>
          <w:sz w:val="24"/>
          <w:szCs w:val="24"/>
        </w:rPr>
        <w:t>los</w:t>
      </w:r>
      <w:proofErr w:type="spellEnd"/>
      <w:r>
        <w:rPr>
          <w:sz w:val="24"/>
          <w:szCs w:val="24"/>
        </w:rPr>
        <w:t xml:space="preserve"> de acordo com a sua relevância, adotando os critérios da Matriz GUT (Gravidade, Urgência, Tendência), de forma a priorizar as ações corretivas e preventivas para a solução total ou parcial dos problemas.</w:t>
      </w:r>
    </w:p>
    <w:p w:rsidR="003A2485" w:rsidRDefault="003A2485" w:rsidP="003A2485"/>
    <w:p w:rsidR="003A2485" w:rsidRDefault="003A2485" w:rsidP="003A2485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3.5 </w:t>
      </w:r>
      <w:r>
        <w:rPr>
          <w:sz w:val="24"/>
          <w:szCs w:val="24"/>
        </w:rPr>
        <w:tab/>
        <w:t xml:space="preserve">Após a classificação das sugestões e a identificação das medidas corretivas por meio de elaboração de parecer técnico, </w:t>
      </w:r>
      <w:proofErr w:type="gramStart"/>
      <w:r>
        <w:rPr>
          <w:sz w:val="24"/>
          <w:szCs w:val="24"/>
        </w:rPr>
        <w:t>será</w:t>
      </w:r>
      <w:proofErr w:type="gramEnd"/>
      <w:r>
        <w:rPr>
          <w:sz w:val="24"/>
          <w:szCs w:val="24"/>
        </w:rPr>
        <w:t xml:space="preserve"> elaborada a minuta de resolução que seguirá a tramitação já adotada na ANP</w:t>
      </w:r>
      <w:r w:rsidR="004979B8">
        <w:rPr>
          <w:sz w:val="24"/>
          <w:szCs w:val="24"/>
        </w:rPr>
        <w:t>,</w:t>
      </w:r>
      <w:r>
        <w:rPr>
          <w:sz w:val="24"/>
          <w:szCs w:val="24"/>
        </w:rPr>
        <w:t xml:space="preserve"> conforme Instrução Normativa nº 08/2004 (revista em 2011).</w:t>
      </w:r>
    </w:p>
    <w:p w:rsidR="003A2485" w:rsidRDefault="003A2485" w:rsidP="003A2485">
      <w:pPr>
        <w:pStyle w:val="Cabealho"/>
        <w:tabs>
          <w:tab w:val="left" w:pos="1134"/>
        </w:tabs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4. </w:t>
      </w:r>
      <w:r>
        <w:rPr>
          <w:b/>
          <w:sz w:val="24"/>
          <w:szCs w:val="24"/>
        </w:rPr>
        <w:t xml:space="preserve">METODOLOGIA GUT - GRAVIDADE, URGÊNCIA, </w:t>
      </w:r>
      <w:proofErr w:type="gramStart"/>
      <w:r>
        <w:rPr>
          <w:b/>
          <w:sz w:val="24"/>
          <w:szCs w:val="24"/>
        </w:rPr>
        <w:t>TENDÊNCIA</w:t>
      </w:r>
      <w:proofErr w:type="gramEnd"/>
      <w:r>
        <w:rPr>
          <w:b/>
          <w:bCs/>
          <w:sz w:val="23"/>
          <w:szCs w:val="23"/>
        </w:rPr>
        <w:t xml:space="preserve"> </w:t>
      </w:r>
    </w:p>
    <w:p w:rsidR="003A2485" w:rsidRDefault="003A2485" w:rsidP="003A2485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3A2485" w:rsidRDefault="003A2485" w:rsidP="003A2485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4.1 </w:t>
      </w:r>
      <w:r>
        <w:rPr>
          <w:color w:val="000000"/>
          <w:sz w:val="24"/>
          <w:szCs w:val="24"/>
        </w:rPr>
        <w:tab/>
      </w:r>
      <w:r>
        <w:rPr>
          <w:sz w:val="24"/>
          <w:szCs w:val="24"/>
        </w:rPr>
        <w:t>Apresentação:</w:t>
      </w:r>
    </w:p>
    <w:p w:rsidR="003A2485" w:rsidRDefault="003A2485" w:rsidP="003A2485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3A2485" w:rsidRDefault="003A2485" w:rsidP="003A2485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metodologia GUT contribui para a tomada de decisão; </w:t>
      </w:r>
    </w:p>
    <w:p w:rsidR="003A2485" w:rsidRDefault="003A2485" w:rsidP="003A2485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Permite a alocação de recursos nos tópicos considerados mais importantes; </w:t>
      </w:r>
    </w:p>
    <w:p w:rsidR="003A2485" w:rsidRDefault="003A2485" w:rsidP="003A2485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Contribui para a elaboração de um planejamento estratégico; </w:t>
      </w:r>
    </w:p>
    <w:p w:rsidR="003A2485" w:rsidRDefault="003A2485" w:rsidP="003A2485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É de simples </w:t>
      </w:r>
      <w:proofErr w:type="gramStart"/>
      <w:r>
        <w:rPr>
          <w:rFonts w:ascii="Times New Roman" w:hAnsi="Times New Roman"/>
          <w:sz w:val="24"/>
          <w:szCs w:val="24"/>
        </w:rPr>
        <w:t>implementação</w:t>
      </w:r>
      <w:proofErr w:type="gramEnd"/>
      <w:r>
        <w:rPr>
          <w:rFonts w:ascii="Times New Roman" w:hAnsi="Times New Roman"/>
          <w:sz w:val="24"/>
          <w:szCs w:val="24"/>
        </w:rPr>
        <w:t xml:space="preserve">; </w:t>
      </w:r>
    </w:p>
    <w:p w:rsidR="003A2485" w:rsidRDefault="003A2485" w:rsidP="003A2485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Serve para análise de qualquer matéria; </w:t>
      </w:r>
      <w:proofErr w:type="gramStart"/>
      <w:r>
        <w:rPr>
          <w:rFonts w:ascii="Times New Roman" w:hAnsi="Times New Roman"/>
          <w:sz w:val="24"/>
          <w:szCs w:val="24"/>
        </w:rPr>
        <w:t>e</w:t>
      </w:r>
      <w:proofErr w:type="gramEnd"/>
    </w:p>
    <w:p w:rsidR="003A2485" w:rsidRDefault="003A2485" w:rsidP="003A2485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Pode ser utilizada para classificação de assuntos diversos. </w:t>
      </w:r>
    </w:p>
    <w:p w:rsidR="003A2485" w:rsidRDefault="003A2485" w:rsidP="003A2485">
      <w:pPr>
        <w:jc w:val="both"/>
        <w:rPr>
          <w:sz w:val="24"/>
          <w:szCs w:val="24"/>
        </w:rPr>
      </w:pPr>
    </w:p>
    <w:p w:rsidR="003A2485" w:rsidRDefault="003A2485" w:rsidP="003A2485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>4.1.1</w:t>
      </w:r>
      <w:r>
        <w:rPr>
          <w:sz w:val="24"/>
          <w:szCs w:val="24"/>
        </w:rPr>
        <w:tab/>
        <w:t xml:space="preserve">A metodologia GUT — </w:t>
      </w:r>
      <w:proofErr w:type="gramStart"/>
      <w:r>
        <w:rPr>
          <w:sz w:val="24"/>
          <w:szCs w:val="24"/>
        </w:rPr>
        <w:t>Gravidade, Urgência e Tendência, a ser adotada, se caracteriza</w:t>
      </w:r>
      <w:proofErr w:type="gramEnd"/>
      <w:r>
        <w:rPr>
          <w:sz w:val="24"/>
          <w:szCs w:val="24"/>
        </w:rPr>
        <w:t xml:space="preserve"> como uma ferramenta utilizada para priorizar os problemas que devem ser atacados pela gestão, bem como para analisar </w:t>
      </w:r>
      <w:r w:rsidR="004979B8">
        <w:rPr>
          <w:sz w:val="24"/>
          <w:szCs w:val="24"/>
        </w:rPr>
        <w:t>as atividades indicadas como prioritárias.</w:t>
      </w:r>
    </w:p>
    <w:p w:rsidR="003A2485" w:rsidRDefault="003A2485" w:rsidP="003A2485">
      <w:pPr>
        <w:jc w:val="both"/>
        <w:rPr>
          <w:sz w:val="24"/>
          <w:szCs w:val="24"/>
        </w:rPr>
      </w:pPr>
    </w:p>
    <w:p w:rsidR="003A2485" w:rsidRDefault="003A2485" w:rsidP="003A2485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4.1.2 </w:t>
      </w:r>
      <w:r>
        <w:rPr>
          <w:sz w:val="24"/>
          <w:szCs w:val="24"/>
        </w:rPr>
        <w:tab/>
        <w:t xml:space="preserve">É uma ferramenta muito importante para a gestão de problemas e se mostra bastante eficaz, apesar da simplicidade no desenvolvimento e manutenção. A grande vantagem em se utilizar a Matriz GUT é que auxilia o gestor a avaliar de forma quantitativa os problemas, tornando possível priorizar as ações </w:t>
      </w:r>
      <w:r w:rsidR="004979B8">
        <w:rPr>
          <w:sz w:val="24"/>
          <w:szCs w:val="24"/>
        </w:rPr>
        <w:t xml:space="preserve">corretivas e preventivas para a extinção </w:t>
      </w:r>
      <w:r>
        <w:rPr>
          <w:sz w:val="24"/>
          <w:szCs w:val="24"/>
        </w:rPr>
        <w:t xml:space="preserve">total ou parcial do problema. </w:t>
      </w:r>
    </w:p>
    <w:p w:rsidR="003A2485" w:rsidRDefault="003A2485" w:rsidP="003A2485">
      <w:pPr>
        <w:jc w:val="both"/>
        <w:outlineLvl w:val="1"/>
        <w:rPr>
          <w:sz w:val="24"/>
          <w:szCs w:val="24"/>
          <w:u w:val="single"/>
        </w:rPr>
      </w:pPr>
    </w:p>
    <w:p w:rsidR="003A2485" w:rsidRDefault="003A2485" w:rsidP="003A2485">
      <w:pPr>
        <w:tabs>
          <w:tab w:val="left" w:pos="1134"/>
        </w:tabs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4.2 </w:t>
      </w:r>
      <w:r>
        <w:rPr>
          <w:sz w:val="24"/>
          <w:szCs w:val="24"/>
        </w:rPr>
        <w:tab/>
        <w:t>Como montar a Matriz GUT:</w:t>
      </w:r>
    </w:p>
    <w:p w:rsidR="003A2485" w:rsidRDefault="003A2485" w:rsidP="003A2485">
      <w:pPr>
        <w:tabs>
          <w:tab w:val="left" w:pos="1134"/>
        </w:tabs>
        <w:jc w:val="both"/>
        <w:outlineLvl w:val="1"/>
        <w:rPr>
          <w:sz w:val="24"/>
          <w:szCs w:val="24"/>
        </w:rPr>
      </w:pPr>
    </w:p>
    <w:p w:rsidR="003A2485" w:rsidRDefault="003A2485" w:rsidP="003A2485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4.2.1 </w:t>
      </w:r>
      <w:r>
        <w:rPr>
          <w:sz w:val="24"/>
          <w:szCs w:val="24"/>
        </w:rPr>
        <w:tab/>
        <w:t xml:space="preserve">O 1º passo para montar a Matriz GUT é listar todos os problemas relacionados às atividades que terão que ser analisados. </w:t>
      </w:r>
    </w:p>
    <w:p w:rsidR="003A2485" w:rsidRDefault="003A2485" w:rsidP="003A2485">
      <w:pPr>
        <w:jc w:val="both"/>
        <w:rPr>
          <w:sz w:val="24"/>
          <w:szCs w:val="24"/>
        </w:rPr>
      </w:pPr>
    </w:p>
    <w:p w:rsidR="003A2485" w:rsidRDefault="003A2485" w:rsidP="003A2485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4.2.2 </w:t>
      </w:r>
      <w:r>
        <w:rPr>
          <w:sz w:val="24"/>
          <w:szCs w:val="24"/>
        </w:rPr>
        <w:tab/>
        <w:t>Para o 2º passo precisa-se atribuir uma nota para cada problema listado, dentro dos três aspectos principais que serão analisados: Gravidade, Urgência e Tendência.</w:t>
      </w:r>
    </w:p>
    <w:p w:rsidR="003A2485" w:rsidRDefault="00892E2D" w:rsidP="003A2485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6.05pt;margin-top:13.45pt;width:366pt;height:190.5pt;z-index:251658240;mso-wrap-style:none" filled="t" strokecolor="white">
            <v:imagedata r:id="rId11" o:title=""/>
            <v:shadow color="black"/>
          </v:shape>
          <o:OLEObject Type="Embed" ProgID="Excel.Sheet.8" ShapeID="_x0000_s1026" DrawAspect="Content" ObjectID="_1442219141" r:id="rId12"/>
        </w:pict>
      </w:r>
    </w:p>
    <w:p w:rsidR="003A2485" w:rsidRDefault="003A2485" w:rsidP="003A2485">
      <w:pPr>
        <w:jc w:val="both"/>
        <w:rPr>
          <w:sz w:val="24"/>
          <w:szCs w:val="24"/>
        </w:rPr>
      </w:pPr>
    </w:p>
    <w:p w:rsidR="003A2485" w:rsidRDefault="003A2485" w:rsidP="003A2485">
      <w:pPr>
        <w:jc w:val="both"/>
        <w:rPr>
          <w:sz w:val="24"/>
          <w:szCs w:val="24"/>
        </w:rPr>
      </w:pPr>
    </w:p>
    <w:p w:rsidR="003A2485" w:rsidRDefault="003A2485" w:rsidP="003A2485">
      <w:pPr>
        <w:jc w:val="both"/>
        <w:rPr>
          <w:sz w:val="24"/>
          <w:szCs w:val="24"/>
        </w:rPr>
      </w:pPr>
    </w:p>
    <w:p w:rsidR="003A2485" w:rsidRDefault="003A2485" w:rsidP="003A2485">
      <w:pPr>
        <w:jc w:val="both"/>
        <w:rPr>
          <w:sz w:val="24"/>
          <w:szCs w:val="24"/>
        </w:rPr>
      </w:pPr>
    </w:p>
    <w:p w:rsidR="003A2485" w:rsidRDefault="003A2485" w:rsidP="003A2485">
      <w:pPr>
        <w:jc w:val="both"/>
        <w:rPr>
          <w:sz w:val="24"/>
          <w:szCs w:val="24"/>
        </w:rPr>
      </w:pPr>
    </w:p>
    <w:p w:rsidR="003A2485" w:rsidRDefault="003A2485" w:rsidP="003A2485">
      <w:pPr>
        <w:jc w:val="both"/>
        <w:rPr>
          <w:sz w:val="24"/>
          <w:szCs w:val="24"/>
        </w:rPr>
      </w:pPr>
    </w:p>
    <w:p w:rsidR="003A2485" w:rsidRDefault="003A2485" w:rsidP="003A2485">
      <w:pPr>
        <w:jc w:val="both"/>
        <w:rPr>
          <w:sz w:val="24"/>
          <w:szCs w:val="24"/>
        </w:rPr>
      </w:pPr>
    </w:p>
    <w:p w:rsidR="003A2485" w:rsidRDefault="003A2485" w:rsidP="003A2485">
      <w:pPr>
        <w:jc w:val="both"/>
        <w:rPr>
          <w:sz w:val="24"/>
          <w:szCs w:val="24"/>
        </w:rPr>
      </w:pPr>
    </w:p>
    <w:p w:rsidR="003A2485" w:rsidRDefault="003A2485" w:rsidP="003A2485">
      <w:pPr>
        <w:jc w:val="both"/>
        <w:rPr>
          <w:sz w:val="24"/>
          <w:szCs w:val="24"/>
        </w:rPr>
      </w:pPr>
    </w:p>
    <w:p w:rsidR="003A2485" w:rsidRDefault="003A2485" w:rsidP="003A2485">
      <w:pPr>
        <w:jc w:val="both"/>
        <w:rPr>
          <w:sz w:val="24"/>
          <w:szCs w:val="24"/>
        </w:rPr>
      </w:pPr>
    </w:p>
    <w:p w:rsidR="003A2485" w:rsidRDefault="003A2485" w:rsidP="003A2485">
      <w:pPr>
        <w:jc w:val="both"/>
        <w:rPr>
          <w:sz w:val="24"/>
          <w:szCs w:val="24"/>
        </w:rPr>
      </w:pPr>
    </w:p>
    <w:p w:rsidR="003A2485" w:rsidRDefault="003A2485" w:rsidP="003A2485">
      <w:pPr>
        <w:jc w:val="both"/>
        <w:rPr>
          <w:sz w:val="24"/>
          <w:szCs w:val="24"/>
        </w:rPr>
      </w:pPr>
    </w:p>
    <w:p w:rsidR="003A2485" w:rsidRDefault="003A2485" w:rsidP="003A2485">
      <w:pPr>
        <w:jc w:val="both"/>
        <w:rPr>
          <w:sz w:val="24"/>
          <w:szCs w:val="24"/>
        </w:rPr>
      </w:pPr>
    </w:p>
    <w:p w:rsidR="003A2485" w:rsidRDefault="003A2485" w:rsidP="003A2485">
      <w:pPr>
        <w:jc w:val="both"/>
        <w:rPr>
          <w:sz w:val="24"/>
          <w:szCs w:val="24"/>
        </w:rPr>
      </w:pPr>
    </w:p>
    <w:p w:rsidR="003A2485" w:rsidRDefault="003A2485" w:rsidP="003A2485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Gravidade: Representa o impacto do problema analisado caso venha a acontecer. Analisando sempre seus efeitos a médio e longo prazo, caso o problema em questão não seja resolvido;</w:t>
      </w:r>
    </w:p>
    <w:p w:rsidR="003A2485" w:rsidRDefault="003A2485" w:rsidP="003A2485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Urgência: Representa o prazo, o tempo disponível ou necessário para resolver um determinado problema analisado. Quanto maior a urgência, menor será o tempo disponível para resolver esse problema. É recomendado que </w:t>
      </w:r>
      <w:proofErr w:type="gramStart"/>
      <w:r>
        <w:rPr>
          <w:sz w:val="24"/>
          <w:szCs w:val="24"/>
        </w:rPr>
        <w:t>seja</w:t>
      </w:r>
      <w:proofErr w:type="gramEnd"/>
      <w:r>
        <w:rPr>
          <w:sz w:val="24"/>
          <w:szCs w:val="24"/>
        </w:rPr>
        <w:t xml:space="preserve"> feita a seguinte pergunta: “A resolução deste problema pode esperar ou deve ser realizada imediatamente?”;</w:t>
      </w:r>
    </w:p>
    <w:p w:rsidR="003A2485" w:rsidRDefault="003A2485" w:rsidP="003A2485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Tendência: Representa o</w:t>
      </w:r>
      <w:r w:rsidR="00FE53C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potencial de crescimento do problema, a probabilidade do problema se tornar maior com o passar do tempo. É a avaliação da tendência de crescimento, redução ou desaparecimento do problema. Recomenda-se fazer a seguinte </w:t>
      </w:r>
      <w:proofErr w:type="gramStart"/>
      <w:r>
        <w:rPr>
          <w:sz w:val="24"/>
          <w:szCs w:val="24"/>
        </w:rPr>
        <w:t>pergunta:</w:t>
      </w:r>
      <w:proofErr w:type="gramEnd"/>
      <w:r>
        <w:rPr>
          <w:sz w:val="24"/>
          <w:szCs w:val="24"/>
        </w:rPr>
        <w:t>”Se eu não resolver esse problema agora, ele vai piorar pouco a pouco ou vai piorar bruscamente?”.</w:t>
      </w:r>
    </w:p>
    <w:p w:rsidR="003A2485" w:rsidRDefault="003A2485" w:rsidP="003A2485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 notas devem ser atribuídas seguindo a seguinte escala crescente: nota </w:t>
      </w:r>
      <w:proofErr w:type="gramStart"/>
      <w:r>
        <w:rPr>
          <w:sz w:val="24"/>
          <w:szCs w:val="24"/>
        </w:rPr>
        <w:t>5</w:t>
      </w:r>
      <w:proofErr w:type="gramEnd"/>
      <w:r>
        <w:rPr>
          <w:sz w:val="24"/>
          <w:szCs w:val="24"/>
        </w:rPr>
        <w:t xml:space="preserve"> para os maiores valores e 1 para os menores valores. Ou seja, um problema extremamente grave, urgentíssimo e com altíssima tendência a piorar com o tempo receberia uma pontuação da seguinte maneira:</w:t>
      </w:r>
    </w:p>
    <w:p w:rsidR="003A2485" w:rsidRDefault="003A2485" w:rsidP="003A2485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Gravidade</w:t>
      </w:r>
      <w:r w:rsidR="00FE53C4">
        <w:rPr>
          <w:sz w:val="24"/>
          <w:szCs w:val="24"/>
        </w:rPr>
        <w:t xml:space="preserve"> </w:t>
      </w:r>
      <w:r>
        <w:rPr>
          <w:sz w:val="24"/>
          <w:szCs w:val="24"/>
        </w:rPr>
        <w:t>= 5 | Urgência = 5 | Tendência = 5</w:t>
      </w:r>
    </w:p>
    <w:p w:rsidR="003A2485" w:rsidRDefault="003A2485" w:rsidP="003A2485">
      <w:pPr>
        <w:jc w:val="both"/>
        <w:rPr>
          <w:sz w:val="24"/>
          <w:szCs w:val="24"/>
        </w:rPr>
      </w:pPr>
    </w:p>
    <w:p w:rsidR="003A2485" w:rsidRDefault="003A2485" w:rsidP="003A2485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4.2.3 </w:t>
      </w:r>
      <w:r>
        <w:rPr>
          <w:sz w:val="24"/>
          <w:szCs w:val="24"/>
        </w:rPr>
        <w:tab/>
        <w:t>O 3º passo será realizado pela ANP. Ao final da atribuição de notas para os problemas, seguindo os aspectos GUT, faz-se necessário produzir um número que será o resultado de toda a análise e que definirá qual o grau de prioridade daquele problema. O cálculo é feito da seguinte forma: pega</w:t>
      </w:r>
      <w:r w:rsidR="00E26D75">
        <w:rPr>
          <w:sz w:val="24"/>
          <w:szCs w:val="24"/>
        </w:rPr>
        <w:t>m</w:t>
      </w:r>
      <w:r>
        <w:rPr>
          <w:sz w:val="24"/>
          <w:szCs w:val="24"/>
        </w:rPr>
        <w:t>-se os valores de cada problema e multiplica-se desta maneira</w:t>
      </w:r>
      <w:r w:rsidR="00FE53C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(G) x (U) x (T). Aqueles que apresentarem um valor maior de prioridade serão os que você deverá enfrentar primeiro, uma vez que serão os mais graves, urgentes e com maior tendência a se tornarem piores. Pode-se utilizar esta ferramenta para inúmeras finalidades, contando sempre com as vantagens de possuir uma </w:t>
      </w:r>
      <w:r w:rsidR="00073018">
        <w:rPr>
          <w:sz w:val="24"/>
          <w:szCs w:val="24"/>
        </w:rPr>
        <w:t>aplicação</w:t>
      </w:r>
      <w:r>
        <w:rPr>
          <w:sz w:val="24"/>
          <w:szCs w:val="24"/>
        </w:rPr>
        <w:t xml:space="preserve"> fácil. </w:t>
      </w:r>
    </w:p>
    <w:p w:rsidR="003A2485" w:rsidRDefault="003A2485" w:rsidP="003A2485">
      <w:pPr>
        <w:tabs>
          <w:tab w:val="left" w:pos="1134"/>
        </w:tabs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3A2485" w:rsidRDefault="003A2485" w:rsidP="003A2485">
      <w:pPr>
        <w:autoSpaceDE w:val="0"/>
        <w:autoSpaceDN w:val="0"/>
        <w:adjustRightInd w:val="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5. DA CONCLUSÃO</w:t>
      </w:r>
    </w:p>
    <w:p w:rsidR="003A2485" w:rsidRDefault="003A2485" w:rsidP="003A2485">
      <w:pPr>
        <w:jc w:val="both"/>
        <w:rPr>
          <w:sz w:val="24"/>
          <w:szCs w:val="24"/>
        </w:rPr>
      </w:pPr>
    </w:p>
    <w:p w:rsidR="003A2485" w:rsidRDefault="003A2485" w:rsidP="003A2485">
      <w:pPr>
        <w:tabs>
          <w:tab w:val="left" w:pos="1134"/>
        </w:tabs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5.1 </w:t>
      </w:r>
      <w:r>
        <w:rPr>
          <w:sz w:val="24"/>
          <w:szCs w:val="24"/>
        </w:rPr>
        <w:tab/>
        <w:t>A Superintendência de Abastecimento submete à Consulta Prévia o formulário, a ser disponibilizado na internet, pel</w:t>
      </w:r>
      <w:r>
        <w:rPr>
          <w:color w:val="000000"/>
          <w:sz w:val="24"/>
          <w:szCs w:val="24"/>
        </w:rPr>
        <w:t>o prazo de 60 dias para recebimento de contribuiçõe</w:t>
      </w:r>
      <w:r w:rsidR="00E26D75">
        <w:rPr>
          <w:color w:val="000000"/>
          <w:sz w:val="24"/>
          <w:szCs w:val="24"/>
        </w:rPr>
        <w:t>s</w:t>
      </w:r>
      <w:r w:rsidR="00073018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visando o aperfeiçoamento do marco regulatório</w:t>
      </w:r>
      <w:r w:rsidR="00073018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dos distribuidores e revendedores de GLP, assim como de outros agentes/órgãos/sociedade, contados a partir da publicação do Aviso de Consulta Prévia, no DOU.</w:t>
      </w:r>
    </w:p>
    <w:p w:rsidR="003A2485" w:rsidRDefault="003A2485" w:rsidP="003A2485">
      <w:pPr>
        <w:tabs>
          <w:tab w:val="left" w:pos="1134"/>
        </w:tabs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3A2485" w:rsidRDefault="003A2485" w:rsidP="003A2485">
      <w:pPr>
        <w:autoSpaceDE w:val="0"/>
        <w:autoSpaceDN w:val="0"/>
        <w:adjustRightInd w:val="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6. REFERÊNCIAS BIBLIOGRÁFICAS</w:t>
      </w:r>
    </w:p>
    <w:p w:rsidR="003A2485" w:rsidRDefault="003A2485" w:rsidP="003A2485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3A2485" w:rsidRDefault="003A2485" w:rsidP="003A248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(1) PNAD, 1999 (IBGE); </w:t>
      </w:r>
    </w:p>
    <w:p w:rsidR="003A2485" w:rsidRDefault="003A2485" w:rsidP="003A248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(2) SIMP, 2012 (ANP); </w:t>
      </w:r>
    </w:p>
    <w:p w:rsidR="003A2485" w:rsidRDefault="003A2485" w:rsidP="003A248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(3) Consumo Aparente, 2012 (ANP); </w:t>
      </w:r>
    </w:p>
    <w:p w:rsidR="003A2485" w:rsidRDefault="003A2485" w:rsidP="003A248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(4) PDE, 2021 (EPE); </w:t>
      </w:r>
    </w:p>
    <w:p w:rsidR="003A2485" w:rsidRDefault="003A2485" w:rsidP="003A248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(5) Produção Derivados, 2013 (ANP) </w:t>
      </w:r>
      <w:proofErr w:type="gramStart"/>
      <w:r>
        <w:rPr>
          <w:sz w:val="24"/>
          <w:szCs w:val="24"/>
        </w:rPr>
        <w:t>e</w:t>
      </w:r>
      <w:proofErr w:type="gramEnd"/>
      <w:r>
        <w:rPr>
          <w:sz w:val="24"/>
          <w:szCs w:val="24"/>
        </w:rPr>
        <w:t xml:space="preserve"> </w:t>
      </w:r>
    </w:p>
    <w:p w:rsidR="003A2485" w:rsidRDefault="003A2485" w:rsidP="003A2485">
      <w:pPr>
        <w:jc w:val="both"/>
        <w:rPr>
          <w:sz w:val="24"/>
          <w:szCs w:val="24"/>
        </w:rPr>
      </w:pPr>
      <w:r>
        <w:rPr>
          <w:sz w:val="24"/>
          <w:szCs w:val="24"/>
        </w:rPr>
        <w:t>(6) SIMP, ago/13.</w:t>
      </w:r>
    </w:p>
    <w:p w:rsidR="003A2485" w:rsidRDefault="0056223C">
      <w:pPr>
        <w:pStyle w:val="Ttulo1"/>
        <w:spacing w:before="240" w:after="240" w:line="360" w:lineRule="auto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N</w:t>
      </w:r>
      <w:r w:rsidR="00FC5BF7" w:rsidRPr="003A2485">
        <w:rPr>
          <w:rFonts w:ascii="Times New Roman" w:hAnsi="Times New Roman"/>
          <w:b w:val="0"/>
        </w:rPr>
        <w:t>ota Técnica elaborada por</w:t>
      </w:r>
      <w:r w:rsidR="003A2485">
        <w:rPr>
          <w:rFonts w:ascii="Times New Roman" w:hAnsi="Times New Roman"/>
          <w:b w:val="0"/>
        </w:rPr>
        <w:t>:</w:t>
      </w:r>
    </w:p>
    <w:p w:rsidR="00A271FA" w:rsidRDefault="003A2485" w:rsidP="003A2485">
      <w:pPr>
        <w:pStyle w:val="Ttulo1"/>
        <w:spacing w:before="240" w:after="240" w:line="360" w:lineRule="auto"/>
        <w:jc w:val="left"/>
        <w:rPr>
          <w:rFonts w:ascii="Times New Roman" w:hAnsi="Times New Roman"/>
          <w:b w:val="0"/>
        </w:rPr>
      </w:pPr>
      <w:r w:rsidRPr="003A2485">
        <w:rPr>
          <w:rFonts w:ascii="Times New Roman" w:hAnsi="Times New Roman"/>
          <w:b w:val="0"/>
          <w:color w:val="000000"/>
          <w:szCs w:val="24"/>
        </w:rPr>
        <w:t xml:space="preserve"> Renata </w:t>
      </w:r>
      <w:proofErr w:type="spellStart"/>
      <w:r w:rsidRPr="003A2485">
        <w:rPr>
          <w:rFonts w:ascii="Times New Roman" w:hAnsi="Times New Roman"/>
          <w:b w:val="0"/>
          <w:color w:val="000000"/>
          <w:szCs w:val="24"/>
        </w:rPr>
        <w:t>Bona</w:t>
      </w:r>
      <w:proofErr w:type="spellEnd"/>
      <w:r w:rsidRPr="003A2485">
        <w:rPr>
          <w:rFonts w:ascii="Times New Roman" w:hAnsi="Times New Roman"/>
          <w:b w:val="0"/>
          <w:color w:val="000000"/>
          <w:szCs w:val="24"/>
        </w:rPr>
        <w:t xml:space="preserve"> M. Rebello</w:t>
      </w:r>
      <w:proofErr w:type="gramStart"/>
      <w:r w:rsidRPr="003A2485">
        <w:rPr>
          <w:rFonts w:ascii="Times New Roman" w:hAnsi="Times New Roman"/>
          <w:b w:val="0"/>
          <w:color w:val="000000"/>
          <w:szCs w:val="24"/>
        </w:rPr>
        <w:t xml:space="preserve"> </w:t>
      </w:r>
      <w:r w:rsidR="00FC5BF7" w:rsidRPr="003A2485">
        <w:rPr>
          <w:rFonts w:ascii="Times New Roman" w:hAnsi="Times New Roman"/>
          <w:b w:val="0"/>
        </w:rPr>
        <w:t xml:space="preserve"> </w:t>
      </w:r>
      <w:proofErr w:type="gramEnd"/>
      <w:r w:rsidR="00FC5BF7" w:rsidRPr="003A2485">
        <w:rPr>
          <w:rFonts w:ascii="Times New Roman" w:hAnsi="Times New Roman"/>
          <w:b w:val="0"/>
        </w:rPr>
        <w:t>___________________</w:t>
      </w:r>
    </w:p>
    <w:p w:rsidR="003A2485" w:rsidRPr="003A2485" w:rsidRDefault="003A2485" w:rsidP="003A2485">
      <w:pPr>
        <w:pStyle w:val="Ttulo1"/>
        <w:spacing w:before="240" w:after="240" w:line="360" w:lineRule="auto"/>
        <w:jc w:val="left"/>
        <w:rPr>
          <w:rFonts w:ascii="Times New Roman" w:hAnsi="Times New Roman"/>
          <w:b w:val="0"/>
        </w:rPr>
      </w:pPr>
      <w:r w:rsidRPr="003A2485">
        <w:rPr>
          <w:rFonts w:ascii="Times New Roman" w:hAnsi="Times New Roman"/>
          <w:b w:val="0"/>
          <w:color w:val="000000"/>
          <w:szCs w:val="24"/>
        </w:rPr>
        <w:t xml:space="preserve"> Ana Amélia Martini</w:t>
      </w:r>
      <w:r w:rsidRPr="003A2485">
        <w:rPr>
          <w:rFonts w:ascii="Times New Roman" w:hAnsi="Times New Roman"/>
          <w:b w:val="0"/>
        </w:rPr>
        <w:t xml:space="preserve"> ___________________</w:t>
      </w:r>
    </w:p>
    <w:p w:rsidR="003A2485" w:rsidRDefault="00FC5BF7" w:rsidP="00E26D75">
      <w:pPr>
        <w:rPr>
          <w:sz w:val="24"/>
          <w:szCs w:val="24"/>
        </w:rPr>
      </w:pPr>
      <w:r>
        <w:rPr>
          <w:sz w:val="24"/>
        </w:rPr>
        <w:t xml:space="preserve">De acordo: </w:t>
      </w:r>
      <w:r w:rsidR="000E1B0C" w:rsidRPr="000E1B0C">
        <w:rPr>
          <w:sz w:val="24"/>
        </w:rPr>
        <w:t>Aurélio Cesar Nogueira Amaral</w:t>
      </w:r>
      <w:r>
        <w:rPr>
          <w:sz w:val="24"/>
        </w:rPr>
        <w:t xml:space="preserve"> _______________________</w:t>
      </w:r>
    </w:p>
    <w:sectPr w:rsidR="003A2485" w:rsidSect="00A17628">
      <w:type w:val="continuous"/>
      <w:pgSz w:w="11907" w:h="16840" w:code="9"/>
      <w:pgMar w:top="2835" w:right="851" w:bottom="1418" w:left="1701" w:header="720" w:footer="720" w:gutter="0"/>
      <w:cols w:space="720"/>
      <w:formProt w:val="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1D6B" w:rsidRDefault="00771D6B">
      <w:r>
        <w:separator/>
      </w:r>
    </w:p>
  </w:endnote>
  <w:endnote w:type="continuationSeparator" w:id="0">
    <w:p w:rsidR="00771D6B" w:rsidRDefault="00771D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BF7" w:rsidRDefault="00892E2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C5BF7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C5BF7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C5BF7" w:rsidRDefault="00FC5BF7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BF7" w:rsidRDefault="00892E2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C5BF7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A3729"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FC5BF7" w:rsidRDefault="00FC5BF7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1D6B" w:rsidRDefault="00771D6B">
      <w:r>
        <w:separator/>
      </w:r>
    </w:p>
  </w:footnote>
  <w:footnote w:type="continuationSeparator" w:id="0">
    <w:p w:rsidR="00771D6B" w:rsidRDefault="00771D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67106"/>
    <w:multiLevelType w:val="hybridMultilevel"/>
    <w:tmpl w:val="9F10B93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4C02C9"/>
    <w:multiLevelType w:val="hybridMultilevel"/>
    <w:tmpl w:val="0BC85B9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B3E421C"/>
    <w:multiLevelType w:val="hybridMultilevel"/>
    <w:tmpl w:val="C4F2279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ocumentProtection w:edit="forms" w:enforcement="1" w:cryptProviderType="rsaFull" w:cryptAlgorithmClass="hash" w:cryptAlgorithmType="typeAny" w:cryptAlgorithmSid="4" w:cryptSpinCount="100000" w:hash="YMH13c0XFrdQx3Y1NS7BQVw7aXk=" w:salt="WJ8gWVNRmF2tfiYUgW5uNQ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assunto_hidden" w:val="Nada"/>
    <w:docVar w:name="dbFile" w:val="workflow\ft009_01.nsf"/>
    <w:docVar w:name="estado" w:val="RIO"/>
    <w:docVar w:name="foi_salvo" w:val="Sim"/>
    <w:docVar w:name="IDDocNotes" w:val="7810B7367C8E94FD83257BF300674E59"/>
    <w:docVar w:name="modelo" w:val="Nota_Tecnica"/>
    <w:docVar w:name="no_docproc" w:val="951"/>
    <w:docVar w:name="origem" w:val="Emitido"/>
    <w:docVar w:name="path_word" w:val="\\graxa\con-sab$\"/>
    <w:docVar w:name="Server" w:val="CN=RJPROD01/O=ANP"/>
    <w:docVar w:name="usuario" w:val="Ana Amelia Martini"/>
  </w:docVars>
  <w:rsids>
    <w:rsidRoot w:val="003A2485"/>
    <w:rsid w:val="000157AA"/>
    <w:rsid w:val="0002401F"/>
    <w:rsid w:val="00047342"/>
    <w:rsid w:val="00056303"/>
    <w:rsid w:val="00073018"/>
    <w:rsid w:val="000977AF"/>
    <w:rsid w:val="000E1B0C"/>
    <w:rsid w:val="001F4C68"/>
    <w:rsid w:val="00227256"/>
    <w:rsid w:val="002A3729"/>
    <w:rsid w:val="00346BB6"/>
    <w:rsid w:val="0035163D"/>
    <w:rsid w:val="0037106B"/>
    <w:rsid w:val="003A2485"/>
    <w:rsid w:val="00427084"/>
    <w:rsid w:val="004418AA"/>
    <w:rsid w:val="00495D0F"/>
    <w:rsid w:val="004979B8"/>
    <w:rsid w:val="004C6E84"/>
    <w:rsid w:val="004E56A2"/>
    <w:rsid w:val="00500CE2"/>
    <w:rsid w:val="0053359C"/>
    <w:rsid w:val="0056223C"/>
    <w:rsid w:val="005B7193"/>
    <w:rsid w:val="005E16D9"/>
    <w:rsid w:val="006569E9"/>
    <w:rsid w:val="006570A6"/>
    <w:rsid w:val="006A5D26"/>
    <w:rsid w:val="006B3B92"/>
    <w:rsid w:val="00771D6B"/>
    <w:rsid w:val="00800208"/>
    <w:rsid w:val="008351FB"/>
    <w:rsid w:val="00860AE9"/>
    <w:rsid w:val="008803AF"/>
    <w:rsid w:val="00892E2D"/>
    <w:rsid w:val="008A5E77"/>
    <w:rsid w:val="008F51A5"/>
    <w:rsid w:val="00941711"/>
    <w:rsid w:val="009D47A2"/>
    <w:rsid w:val="009D725F"/>
    <w:rsid w:val="00A17628"/>
    <w:rsid w:val="00A271FA"/>
    <w:rsid w:val="00A416CE"/>
    <w:rsid w:val="00A46983"/>
    <w:rsid w:val="00A5363F"/>
    <w:rsid w:val="00A84CC9"/>
    <w:rsid w:val="00AD4F2C"/>
    <w:rsid w:val="00AF61A9"/>
    <w:rsid w:val="00BB7A7A"/>
    <w:rsid w:val="00C9427D"/>
    <w:rsid w:val="00CE4781"/>
    <w:rsid w:val="00D10AD8"/>
    <w:rsid w:val="00E26D75"/>
    <w:rsid w:val="00EE295F"/>
    <w:rsid w:val="00F47A43"/>
    <w:rsid w:val="00FC46AB"/>
    <w:rsid w:val="00FC5BF7"/>
    <w:rsid w:val="00FE5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628"/>
  </w:style>
  <w:style w:type="paragraph" w:styleId="Ttulo1">
    <w:name w:val="heading 1"/>
    <w:basedOn w:val="Normal"/>
    <w:next w:val="Normal"/>
    <w:qFormat/>
    <w:rsid w:val="00A17628"/>
    <w:pPr>
      <w:keepNext/>
      <w:jc w:val="both"/>
      <w:outlineLvl w:val="0"/>
    </w:pPr>
    <w:rPr>
      <w:rFonts w:ascii="Arial" w:hAnsi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rsid w:val="00A17628"/>
    <w:rPr>
      <w:sz w:val="24"/>
    </w:rPr>
  </w:style>
  <w:style w:type="paragraph" w:styleId="Rodap">
    <w:name w:val="footer"/>
    <w:basedOn w:val="Normal"/>
    <w:semiHidden/>
    <w:rsid w:val="00A17628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A17628"/>
  </w:style>
  <w:style w:type="paragraph" w:styleId="Corpodetexto2">
    <w:name w:val="Body Text 2"/>
    <w:basedOn w:val="Normal"/>
    <w:semiHidden/>
    <w:rsid w:val="00A17628"/>
    <w:pPr>
      <w:spacing w:line="360" w:lineRule="auto"/>
      <w:jc w:val="both"/>
    </w:pPr>
    <w:rPr>
      <w:sz w:val="24"/>
    </w:rPr>
  </w:style>
  <w:style w:type="paragraph" w:styleId="Cabealho">
    <w:name w:val="header"/>
    <w:basedOn w:val="Normal"/>
    <w:link w:val="CabealhoChar"/>
    <w:semiHidden/>
    <w:rsid w:val="00A17628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semiHidden/>
    <w:rsid w:val="00A17628"/>
    <w:pPr>
      <w:spacing w:after="120"/>
      <w:ind w:firstLine="1701"/>
    </w:pPr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35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359C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semiHidden/>
    <w:rsid w:val="003A2485"/>
  </w:style>
  <w:style w:type="paragraph" w:styleId="PargrafodaLista">
    <w:name w:val="List Paragraph"/>
    <w:basedOn w:val="Normal"/>
    <w:uiPriority w:val="34"/>
    <w:qFormat/>
    <w:rsid w:val="003A24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Planilha_do_Microsoft_Office_Excel_97-20031.xls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gsilveira\Dados%20de%20aplicativos\Microsoft\Modelos\Nota_Tecnica.do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947DE9-695B-4581-812E-79DB3A70D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Nota_Tecnica.dotm</Template>
  <TotalTime>0</TotalTime>
  <Pages>4</Pages>
  <Words>1253</Words>
  <Characters>6767</Characters>
  <Application>Microsoft Office Word</Application>
  <DocSecurity>4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</vt:lpstr>
    </vt:vector>
  </TitlesOfParts>
  <Company>Anp</Company>
  <LinksUpToDate>false</LinksUpToDate>
  <CharactersWithSpaces>8004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cp:lastPrinted>2009-12-02T11:54:00Z</cp:lastPrinted>
  <dcterms:created xsi:type="dcterms:W3CDTF">2013-10-02T14:39:00Z</dcterms:created>
  <dcterms:modified xsi:type="dcterms:W3CDTF">2013-10-02T14:39:00Z</dcterms:modified>
</cp:coreProperties>
</file>