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4791C" w14:textId="77777777" w:rsidR="00C13A89" w:rsidRPr="00FD2C11" w:rsidRDefault="00C13A89" w:rsidP="00482F43">
      <w:pPr>
        <w:jc w:val="center"/>
        <w:rPr>
          <w:b/>
          <w:sz w:val="32"/>
          <w:szCs w:val="32"/>
          <w:u w:val="single"/>
        </w:rPr>
      </w:pPr>
      <w:r w:rsidRPr="00FD2C11">
        <w:rPr>
          <w:b/>
          <w:sz w:val="32"/>
          <w:szCs w:val="32"/>
          <w:u w:val="single"/>
        </w:rPr>
        <w:t xml:space="preserve">ANEXO </w:t>
      </w:r>
    </w:p>
    <w:p w14:paraId="5CB7165D" w14:textId="77777777" w:rsidR="00C13A89" w:rsidRDefault="00C13A89" w:rsidP="00482F43">
      <w:pPr>
        <w:jc w:val="center"/>
        <w:rPr>
          <w:b/>
          <w:sz w:val="32"/>
          <w:szCs w:val="32"/>
        </w:rPr>
      </w:pPr>
    </w:p>
    <w:p w14:paraId="76E1DCE7" w14:textId="77777777" w:rsidR="001F74A0" w:rsidRPr="00FD2C11" w:rsidRDefault="006B1E64" w:rsidP="00482F43">
      <w:pPr>
        <w:jc w:val="center"/>
        <w:rPr>
          <w:sz w:val="32"/>
          <w:szCs w:val="32"/>
        </w:rPr>
      </w:pPr>
      <w:r>
        <w:rPr>
          <w:noProof/>
          <w:sz w:val="26"/>
          <w:szCs w:val="26"/>
        </w:rPr>
        <w:object w:dxaOrig="1440" w:dyaOrig="1440" w14:anchorId="0B3C6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9.7pt;width:77.3pt;height:107.6pt;z-index:251657728;mso-position-vertical-relative:page" o:allowincell="f">
            <v:imagedata r:id="rId5" o:title=""/>
            <w10:wrap type="square" anchory="page"/>
          </v:shape>
          <o:OLEObject Type="Embed" ProgID="MSPhotoEd.3" ShapeID="_x0000_s1026" DrawAspect="Content" ObjectID="_1667238641" r:id="rId6"/>
        </w:object>
      </w:r>
      <w:r w:rsidR="00482F43" w:rsidRPr="00FD2C11">
        <w:rPr>
          <w:sz w:val="32"/>
          <w:szCs w:val="32"/>
        </w:rPr>
        <w:t>FORMULÁRIO DE COMENTÁRIOS E SUGESTÕES</w:t>
      </w:r>
    </w:p>
    <w:p w14:paraId="51E47211" w14:textId="5823FB3E" w:rsidR="001F74A0" w:rsidRDefault="002808DC" w:rsidP="00BB004F">
      <w:pPr>
        <w:jc w:val="center"/>
        <w:rPr>
          <w:sz w:val="26"/>
          <w:szCs w:val="26"/>
        </w:rPr>
      </w:pPr>
      <w:r w:rsidRPr="00BE5929">
        <w:rPr>
          <w:sz w:val="26"/>
          <w:szCs w:val="26"/>
        </w:rPr>
        <w:t>CONSULTA PÚ</w:t>
      </w:r>
      <w:r w:rsidR="00482F43" w:rsidRPr="00BE5929">
        <w:rPr>
          <w:sz w:val="26"/>
          <w:szCs w:val="26"/>
        </w:rPr>
        <w:t>BLICA N°</w:t>
      </w:r>
      <w:r w:rsidR="00C13A89" w:rsidRPr="00BE5929">
        <w:rPr>
          <w:sz w:val="26"/>
          <w:szCs w:val="26"/>
        </w:rPr>
        <w:t xml:space="preserve"> </w:t>
      </w:r>
      <w:r w:rsidR="008F2B69">
        <w:rPr>
          <w:sz w:val="26"/>
          <w:szCs w:val="26"/>
        </w:rPr>
        <w:t>17</w:t>
      </w:r>
      <w:r w:rsidR="00883ED4" w:rsidRPr="00224CCF">
        <w:rPr>
          <w:sz w:val="26"/>
          <w:szCs w:val="26"/>
        </w:rPr>
        <w:t>/</w:t>
      </w:r>
      <w:r w:rsidR="00883ED4" w:rsidRPr="00E62C18">
        <w:rPr>
          <w:sz w:val="26"/>
          <w:szCs w:val="26"/>
        </w:rPr>
        <w:t>2020</w:t>
      </w:r>
      <w:r w:rsidR="00DE5845" w:rsidRPr="00E62C18">
        <w:rPr>
          <w:sz w:val="26"/>
          <w:szCs w:val="26"/>
        </w:rPr>
        <w:t xml:space="preserve"> - de </w:t>
      </w:r>
      <w:r w:rsidR="00CD4D94">
        <w:rPr>
          <w:sz w:val="26"/>
          <w:szCs w:val="26"/>
        </w:rPr>
        <w:t>0</w:t>
      </w:r>
      <w:r w:rsidR="00792659">
        <w:rPr>
          <w:sz w:val="26"/>
          <w:szCs w:val="26"/>
        </w:rPr>
        <w:t>6</w:t>
      </w:r>
      <w:r w:rsidR="00C47765" w:rsidRPr="00E62C18">
        <w:rPr>
          <w:sz w:val="26"/>
          <w:szCs w:val="26"/>
        </w:rPr>
        <w:t>/</w:t>
      </w:r>
      <w:r w:rsidR="00CD4D94">
        <w:rPr>
          <w:sz w:val="26"/>
          <w:szCs w:val="26"/>
        </w:rPr>
        <w:t>1</w:t>
      </w:r>
      <w:r w:rsidR="00C47765" w:rsidRPr="00E62C18">
        <w:rPr>
          <w:sz w:val="26"/>
          <w:szCs w:val="26"/>
        </w:rPr>
        <w:t>0</w:t>
      </w:r>
      <w:r w:rsidR="00224CCF">
        <w:rPr>
          <w:sz w:val="26"/>
          <w:szCs w:val="26"/>
        </w:rPr>
        <w:t>/2020 a</w:t>
      </w:r>
      <w:r w:rsidR="00DE5845" w:rsidRPr="00E62C18">
        <w:rPr>
          <w:sz w:val="26"/>
          <w:szCs w:val="26"/>
        </w:rPr>
        <w:t xml:space="preserve"> </w:t>
      </w:r>
      <w:r w:rsidR="00792659">
        <w:rPr>
          <w:sz w:val="26"/>
          <w:szCs w:val="26"/>
        </w:rPr>
        <w:t>19</w:t>
      </w:r>
      <w:r w:rsidR="00DE5845" w:rsidRPr="00E62C18">
        <w:rPr>
          <w:sz w:val="26"/>
          <w:szCs w:val="26"/>
        </w:rPr>
        <w:t>/</w:t>
      </w:r>
      <w:r w:rsidR="00084755" w:rsidRPr="00E62C18">
        <w:rPr>
          <w:sz w:val="26"/>
          <w:szCs w:val="26"/>
        </w:rPr>
        <w:t>1</w:t>
      </w:r>
      <w:r w:rsidR="00D40A8A">
        <w:rPr>
          <w:sz w:val="26"/>
          <w:szCs w:val="26"/>
        </w:rPr>
        <w:t>1</w:t>
      </w:r>
      <w:r w:rsidR="00DE5845" w:rsidRPr="00E62C18">
        <w:rPr>
          <w:sz w:val="26"/>
          <w:szCs w:val="26"/>
        </w:rPr>
        <w:t>/2020</w:t>
      </w:r>
    </w:p>
    <w:p w14:paraId="43F8E299" w14:textId="77777777" w:rsidR="00C13A89" w:rsidRPr="00BB004F" w:rsidRDefault="00C13A89" w:rsidP="00BB004F">
      <w:pPr>
        <w:jc w:val="center"/>
        <w:rPr>
          <w:sz w:val="26"/>
          <w:szCs w:val="26"/>
        </w:rPr>
      </w:pPr>
    </w:p>
    <w:p w14:paraId="00F568E7" w14:textId="5893E289" w:rsidR="00100689" w:rsidRDefault="00BD5993" w:rsidP="00CF534B">
      <w:pPr>
        <w:ind w:left="4111"/>
        <w:jc w:val="center"/>
        <w:rPr>
          <w:sz w:val="26"/>
          <w:szCs w:val="26"/>
        </w:rPr>
      </w:pPr>
      <w:r>
        <w:rPr>
          <w:sz w:val="26"/>
          <w:szCs w:val="26"/>
        </w:rPr>
        <w:t>NOME</w:t>
      </w:r>
      <w:r w:rsidR="00C13A89">
        <w:rPr>
          <w:sz w:val="26"/>
          <w:szCs w:val="26"/>
        </w:rPr>
        <w:t>:_</w:t>
      </w:r>
      <w:r w:rsidR="00F842F1">
        <w:rPr>
          <w:sz w:val="26"/>
          <w:szCs w:val="26"/>
        </w:rPr>
        <w:t>José Alberto Paiva Gouveia –Presidente do SINCOPETRO</w:t>
      </w:r>
    </w:p>
    <w:p w14:paraId="61C61DF6" w14:textId="77777777" w:rsidR="00100689" w:rsidRDefault="00100689" w:rsidP="00CF534B">
      <w:pPr>
        <w:ind w:left="4111"/>
        <w:jc w:val="center"/>
        <w:rPr>
          <w:sz w:val="26"/>
          <w:szCs w:val="26"/>
        </w:rPr>
      </w:pPr>
    </w:p>
    <w:tbl>
      <w:tblPr>
        <w:tblW w:w="14317" w:type="dxa"/>
        <w:tblInd w:w="-122" w:type="dxa"/>
        <w:tblCellMar>
          <w:left w:w="0" w:type="dxa"/>
          <w:right w:w="0" w:type="dxa"/>
        </w:tblCellMar>
        <w:tblLook w:val="0000" w:firstRow="0" w:lastRow="0" w:firstColumn="0" w:lastColumn="0" w:noHBand="0" w:noVBand="0"/>
      </w:tblPr>
      <w:tblGrid>
        <w:gridCol w:w="1702"/>
        <w:gridCol w:w="5456"/>
        <w:gridCol w:w="1489"/>
        <w:gridCol w:w="5670"/>
      </w:tblGrid>
      <w:tr w:rsidR="00BD5993" w14:paraId="245BF3EF" w14:textId="77777777" w:rsidTr="00CF534B">
        <w:trPr>
          <w:trHeight w:val="375"/>
        </w:trPr>
        <w:tc>
          <w:tcPr>
            <w:tcW w:w="7158" w:type="dxa"/>
            <w:gridSpan w:val="2"/>
            <w:tcBorders>
              <w:top w:val="single" w:sz="4" w:space="0" w:color="auto"/>
              <w:left w:val="single" w:sz="4" w:space="0" w:color="auto"/>
              <w:bottom w:val="single" w:sz="4" w:space="0" w:color="auto"/>
            </w:tcBorders>
            <w:shd w:val="clear" w:color="auto" w:fill="FFFFFF"/>
            <w:tcMar>
              <w:top w:w="20" w:type="dxa"/>
              <w:left w:w="20" w:type="dxa"/>
              <w:bottom w:w="0" w:type="dxa"/>
              <w:right w:w="20" w:type="dxa"/>
            </w:tcMar>
            <w:vAlign w:val="center"/>
          </w:tcPr>
          <w:p w14:paraId="0878617B" w14:textId="77777777" w:rsidR="00BD5993" w:rsidRPr="00BD5993" w:rsidRDefault="00BD5993" w:rsidP="00BD5993">
            <w:pPr>
              <w:pStyle w:val="Legenda"/>
              <w:jc w:val="both"/>
              <w:rPr>
                <w:rFonts w:cs="Arial"/>
                <w:color w:val="000000"/>
                <w:szCs w:val="24"/>
              </w:rPr>
            </w:pPr>
            <w:r>
              <w:rPr>
                <w:rFonts w:cs="Arial"/>
                <w:color w:val="000000"/>
                <w:szCs w:val="24"/>
              </w:rPr>
              <w:t xml:space="preserve">  </w:t>
            </w:r>
            <w:r w:rsidRPr="00BD5993">
              <w:rPr>
                <w:rFonts w:cs="Arial"/>
                <w:color w:val="000000"/>
                <w:szCs w:val="24"/>
              </w:rPr>
              <w:t xml:space="preserve">(  ) agente econômico </w:t>
            </w:r>
          </w:p>
          <w:p w14:paraId="0D4054F9" w14:textId="77777777" w:rsidR="00BD5993" w:rsidRPr="00BD5993" w:rsidRDefault="00BD5993" w:rsidP="00CF534B">
            <w:pPr>
              <w:rPr>
                <w:rFonts w:cs="Calibri"/>
                <w:color w:val="000000"/>
                <w:szCs w:val="24"/>
              </w:rPr>
            </w:pPr>
            <w:r>
              <w:rPr>
                <w:rFonts w:ascii="Arial" w:hAnsi="Arial" w:cs="Arial"/>
                <w:color w:val="000000"/>
                <w:sz w:val="24"/>
                <w:szCs w:val="24"/>
              </w:rPr>
              <w:t xml:space="preserve">  </w:t>
            </w:r>
            <w:r w:rsidRPr="00BD5993">
              <w:rPr>
                <w:rFonts w:ascii="Arial" w:hAnsi="Arial" w:cs="Arial"/>
                <w:color w:val="000000"/>
                <w:sz w:val="24"/>
                <w:szCs w:val="24"/>
              </w:rPr>
              <w:t>(  ) consumidor ou usuário</w:t>
            </w:r>
          </w:p>
        </w:tc>
        <w:tc>
          <w:tcPr>
            <w:tcW w:w="7159" w:type="dxa"/>
            <w:gridSpan w:val="2"/>
            <w:tcBorders>
              <w:top w:val="single" w:sz="4" w:space="0" w:color="auto"/>
              <w:bottom w:val="single" w:sz="4" w:space="0" w:color="auto"/>
              <w:right w:val="single" w:sz="4" w:space="0" w:color="auto"/>
            </w:tcBorders>
            <w:shd w:val="clear" w:color="auto" w:fill="FFFFFF"/>
            <w:vAlign w:val="center"/>
          </w:tcPr>
          <w:p w14:paraId="78088B27" w14:textId="432ADB23" w:rsidR="00BD5993" w:rsidRPr="00BD5993" w:rsidRDefault="00BD5993" w:rsidP="00BD5993">
            <w:pPr>
              <w:pStyle w:val="Legenda"/>
              <w:ind w:left="23"/>
              <w:jc w:val="both"/>
              <w:rPr>
                <w:rFonts w:cs="Arial"/>
                <w:color w:val="000000"/>
                <w:szCs w:val="24"/>
              </w:rPr>
            </w:pPr>
            <w:r>
              <w:rPr>
                <w:rFonts w:cs="Arial"/>
                <w:color w:val="000000"/>
                <w:szCs w:val="24"/>
              </w:rPr>
              <w:t xml:space="preserve">  </w:t>
            </w:r>
            <w:r w:rsidRPr="00BD5993">
              <w:rPr>
                <w:rFonts w:cs="Arial"/>
                <w:color w:val="000000"/>
                <w:szCs w:val="24"/>
              </w:rPr>
              <w:t>(</w:t>
            </w:r>
            <w:r w:rsidR="00F842F1">
              <w:rPr>
                <w:rFonts w:cs="Arial"/>
                <w:color w:val="000000"/>
                <w:szCs w:val="24"/>
              </w:rPr>
              <w:t>X</w:t>
            </w:r>
            <w:r w:rsidRPr="00BD5993">
              <w:rPr>
                <w:rFonts w:cs="Arial"/>
                <w:color w:val="000000"/>
                <w:szCs w:val="24"/>
              </w:rPr>
              <w:t>) representante órgão de classe ou associação</w:t>
            </w:r>
          </w:p>
          <w:p w14:paraId="7ACF47EF" w14:textId="77777777" w:rsidR="00BD5993" w:rsidRPr="00BD5993" w:rsidRDefault="00BD5993" w:rsidP="00BD5993">
            <w:pPr>
              <w:pStyle w:val="Legenda"/>
              <w:ind w:left="23"/>
              <w:jc w:val="both"/>
              <w:rPr>
                <w:rFonts w:cs="Arial"/>
                <w:color w:val="000000"/>
                <w:szCs w:val="24"/>
              </w:rPr>
            </w:pPr>
            <w:r>
              <w:rPr>
                <w:rFonts w:cs="Arial"/>
                <w:color w:val="000000"/>
                <w:szCs w:val="24"/>
              </w:rPr>
              <w:t xml:space="preserve">  </w:t>
            </w:r>
            <w:r w:rsidRPr="00BD5993">
              <w:rPr>
                <w:rFonts w:cs="Arial"/>
                <w:color w:val="000000"/>
                <w:szCs w:val="24"/>
              </w:rPr>
              <w:t>(  ) representante de instituição governamental</w:t>
            </w:r>
          </w:p>
          <w:p w14:paraId="7D0783E5" w14:textId="77777777" w:rsidR="00BD5993" w:rsidRPr="00BD5993" w:rsidRDefault="00BD5993" w:rsidP="00100689">
            <w:pPr>
              <w:rPr>
                <w:rFonts w:cs="Calibri"/>
                <w:color w:val="000000"/>
                <w:szCs w:val="24"/>
              </w:rPr>
            </w:pPr>
            <w:r>
              <w:rPr>
                <w:rFonts w:ascii="Arial" w:hAnsi="Arial" w:cs="Arial"/>
                <w:color w:val="000000"/>
                <w:sz w:val="24"/>
                <w:szCs w:val="24"/>
              </w:rPr>
              <w:t xml:space="preserve">  </w:t>
            </w:r>
            <w:r w:rsidRPr="00BD5993">
              <w:rPr>
                <w:rFonts w:ascii="Arial" w:hAnsi="Arial" w:cs="Arial"/>
                <w:color w:val="000000"/>
                <w:sz w:val="24"/>
                <w:szCs w:val="24"/>
              </w:rPr>
              <w:t>(  ) representante de órgãos de defesa do consumido</w:t>
            </w:r>
            <w:r>
              <w:rPr>
                <w:rFonts w:ascii="Arial" w:hAnsi="Arial" w:cs="Arial"/>
                <w:color w:val="000000"/>
                <w:sz w:val="24"/>
                <w:szCs w:val="24"/>
              </w:rPr>
              <w:t>r</w:t>
            </w:r>
          </w:p>
        </w:tc>
      </w:tr>
      <w:tr w:rsidR="004602FD" w14:paraId="6F4A2834" w14:textId="77777777" w:rsidTr="00482589">
        <w:trPr>
          <w:trHeight w:val="1048"/>
        </w:trPr>
        <w:tc>
          <w:tcPr>
            <w:tcW w:w="14317" w:type="dxa"/>
            <w:gridSpan w:val="4"/>
            <w:tcBorders>
              <w:top w:val="single" w:sz="4" w:space="0" w:color="auto"/>
              <w:left w:val="single" w:sz="4" w:space="0" w:color="auto"/>
              <w:bottom w:val="single" w:sz="4" w:space="0" w:color="auto"/>
              <w:right w:val="single" w:sz="4" w:space="0" w:color="auto"/>
            </w:tcBorders>
            <w:shd w:val="clear" w:color="auto" w:fill="70B56B"/>
            <w:tcMar>
              <w:top w:w="20" w:type="dxa"/>
              <w:left w:w="20" w:type="dxa"/>
              <w:bottom w:w="0" w:type="dxa"/>
              <w:right w:w="20" w:type="dxa"/>
            </w:tcMar>
            <w:vAlign w:val="center"/>
          </w:tcPr>
          <w:p w14:paraId="76A9E885" w14:textId="77777777" w:rsidR="00482589" w:rsidRPr="00482589" w:rsidRDefault="004602FD" w:rsidP="00482589">
            <w:pPr>
              <w:autoSpaceDE w:val="0"/>
              <w:autoSpaceDN w:val="0"/>
              <w:adjustRightInd w:val="0"/>
              <w:rPr>
                <w:rFonts w:ascii="Arial" w:hAnsi="Arial" w:cs="Arial"/>
                <w:b/>
                <w:bCs/>
                <w:sz w:val="24"/>
                <w:szCs w:val="24"/>
              </w:rPr>
            </w:pPr>
            <w:r w:rsidRPr="00482589">
              <w:rPr>
                <w:rFonts w:ascii="Arial" w:hAnsi="Arial" w:cs="Arial"/>
                <w:b/>
                <w:bCs/>
                <w:sz w:val="24"/>
                <w:szCs w:val="24"/>
              </w:rPr>
              <w:t>C</w:t>
            </w:r>
            <w:r w:rsidR="000C742C" w:rsidRPr="00482589">
              <w:rPr>
                <w:rFonts w:ascii="Arial" w:hAnsi="Arial" w:cs="Arial"/>
                <w:b/>
                <w:bCs/>
                <w:sz w:val="24"/>
                <w:szCs w:val="24"/>
              </w:rPr>
              <w:t xml:space="preserve">onsulta Pública </w:t>
            </w:r>
            <w:r w:rsidR="00852D24" w:rsidRPr="00482589">
              <w:rPr>
                <w:rFonts w:ascii="Arial" w:hAnsi="Arial" w:cs="Arial"/>
                <w:b/>
                <w:bCs/>
                <w:sz w:val="24"/>
                <w:szCs w:val="24"/>
              </w:rPr>
              <w:t xml:space="preserve">sobre </w:t>
            </w:r>
            <w:r w:rsidR="00543CD6" w:rsidRPr="00482589">
              <w:rPr>
                <w:rFonts w:ascii="Arial" w:hAnsi="Arial" w:cs="Arial"/>
                <w:b/>
                <w:bCs/>
                <w:sz w:val="24"/>
                <w:szCs w:val="24"/>
              </w:rPr>
              <w:t xml:space="preserve">proposta de </w:t>
            </w:r>
            <w:r w:rsidR="00482589" w:rsidRPr="00482589">
              <w:rPr>
                <w:rFonts w:ascii="Arial" w:hAnsi="Arial" w:cs="Arial"/>
                <w:b/>
                <w:color w:val="000000"/>
                <w:sz w:val="24"/>
                <w:szCs w:val="24"/>
              </w:rPr>
              <w:t>elaboração de uma resolução sobre a atividade de nominação de área pelos agentes da indústria.</w:t>
            </w:r>
          </w:p>
        </w:tc>
      </w:tr>
      <w:tr w:rsidR="00C13A89" w14:paraId="5F400EB1" w14:textId="77777777" w:rsidTr="00C13A89">
        <w:trPr>
          <w:trHeight w:val="330"/>
        </w:trPr>
        <w:tc>
          <w:tcPr>
            <w:tcW w:w="1702" w:type="dxa"/>
            <w:tcBorders>
              <w:top w:val="single" w:sz="4" w:space="0" w:color="auto"/>
              <w:left w:val="single" w:sz="4" w:space="0" w:color="auto"/>
              <w:bottom w:val="single" w:sz="4" w:space="0" w:color="auto"/>
              <w:right w:val="single" w:sz="4" w:space="0" w:color="auto"/>
            </w:tcBorders>
            <w:shd w:val="clear" w:color="auto" w:fill="C2D69B"/>
            <w:tcMar>
              <w:top w:w="20" w:type="dxa"/>
              <w:left w:w="20" w:type="dxa"/>
              <w:bottom w:w="0" w:type="dxa"/>
              <w:right w:w="20" w:type="dxa"/>
            </w:tcMar>
            <w:vAlign w:val="center"/>
          </w:tcPr>
          <w:p w14:paraId="0AF556B1" w14:textId="77777777" w:rsidR="00C13A89" w:rsidRPr="00BB004F" w:rsidRDefault="00C13A89" w:rsidP="00ED7714">
            <w:pPr>
              <w:jc w:val="center"/>
              <w:rPr>
                <w:rFonts w:ascii="Arial" w:eastAsia="Arial Unicode MS" w:hAnsi="Arial" w:cs="Arial"/>
                <w:bCs/>
                <w:sz w:val="24"/>
                <w:szCs w:val="24"/>
              </w:rPr>
            </w:pPr>
            <w:r w:rsidRPr="00BB004F">
              <w:rPr>
                <w:rFonts w:ascii="Arial" w:hAnsi="Arial" w:cs="Arial"/>
                <w:bCs/>
              </w:rPr>
              <w:t>ARTIGO DA MINUTA</w:t>
            </w:r>
          </w:p>
        </w:tc>
        <w:tc>
          <w:tcPr>
            <w:tcW w:w="6945" w:type="dxa"/>
            <w:gridSpan w:val="2"/>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14:paraId="010B8B43" w14:textId="77777777" w:rsidR="00C13A89" w:rsidRPr="00BB004F" w:rsidRDefault="00C13A89" w:rsidP="00ED7714">
            <w:pPr>
              <w:jc w:val="center"/>
              <w:rPr>
                <w:rFonts w:ascii="Arial" w:eastAsia="Arial Unicode MS" w:hAnsi="Arial" w:cs="Arial"/>
                <w:bCs/>
                <w:sz w:val="24"/>
                <w:szCs w:val="24"/>
              </w:rPr>
            </w:pPr>
            <w:r w:rsidRPr="00BB004F">
              <w:rPr>
                <w:rFonts w:ascii="Arial" w:hAnsi="Arial" w:cs="Arial"/>
                <w:bCs/>
              </w:rPr>
              <w:t>PROPOSTA DE ALTERAÇÃO</w:t>
            </w:r>
          </w:p>
        </w:tc>
        <w:tc>
          <w:tcPr>
            <w:tcW w:w="5670"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14:paraId="32EA3D57" w14:textId="77777777" w:rsidR="00C13A89" w:rsidRPr="00BB004F" w:rsidRDefault="00C13A89" w:rsidP="00ED7714">
            <w:pPr>
              <w:jc w:val="center"/>
              <w:rPr>
                <w:rFonts w:ascii="Arial" w:eastAsia="Arial Unicode MS" w:hAnsi="Arial" w:cs="Arial"/>
                <w:bCs/>
                <w:sz w:val="24"/>
                <w:szCs w:val="24"/>
              </w:rPr>
            </w:pPr>
            <w:r w:rsidRPr="00BB004F">
              <w:rPr>
                <w:rFonts w:ascii="Arial" w:hAnsi="Arial" w:cs="Arial"/>
                <w:bCs/>
              </w:rPr>
              <w:t>JUSTIFICATIVA</w:t>
            </w:r>
          </w:p>
        </w:tc>
      </w:tr>
      <w:tr w:rsidR="00C13A89" w14:paraId="300E04C7" w14:textId="77777777" w:rsidTr="00C13A89">
        <w:trPr>
          <w:trHeight w:val="568"/>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7808AB5" w14:textId="77777777" w:rsidR="00C13A89" w:rsidRDefault="00C13A89" w:rsidP="000303C4">
            <w:pPr>
              <w:rPr>
                <w:rFonts w:ascii="Arial" w:eastAsia="Arial Unicode MS" w:hAnsi="Arial" w:cs="Arial"/>
                <w:b/>
                <w:bCs/>
                <w:color w:val="000000"/>
                <w:sz w:val="24"/>
                <w:szCs w:val="24"/>
              </w:rPr>
            </w:pPr>
            <w:r>
              <w:rPr>
                <w:rFonts w:ascii="Arial" w:hAnsi="Arial" w:cs="Arial"/>
                <w:b/>
                <w:bCs/>
                <w:color w:val="000000"/>
              </w:rPr>
              <w:t> </w:t>
            </w:r>
          </w:p>
          <w:p w14:paraId="59562136" w14:textId="77777777" w:rsidR="00C13A89" w:rsidRDefault="00C13A89" w:rsidP="000303C4">
            <w:pPr>
              <w:rPr>
                <w:rFonts w:ascii="Arial" w:eastAsia="Arial Unicode MS" w:hAnsi="Arial" w:cs="Arial"/>
                <w:b/>
                <w:bCs/>
                <w:sz w:val="24"/>
                <w:szCs w:val="24"/>
              </w:rPr>
            </w:pPr>
            <w:r>
              <w:rPr>
                <w:rFonts w:ascii="Arial" w:hAnsi="Arial" w:cs="Arial"/>
                <w:b/>
                <w:bCs/>
              </w:rPr>
              <w:t> </w:t>
            </w: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40CDFD2" w14:textId="77777777" w:rsidR="00F842F1" w:rsidRPr="00F842F1" w:rsidRDefault="00C13A89" w:rsidP="00F842F1">
            <w:pPr>
              <w:jc w:val="both"/>
              <w:rPr>
                <w:rFonts w:ascii="Arial" w:hAnsi="Arial" w:cs="Arial"/>
                <w:sz w:val="18"/>
                <w:szCs w:val="18"/>
              </w:rPr>
            </w:pPr>
            <w:r>
              <w:rPr>
                <w:rFonts w:ascii="Arial" w:hAnsi="Arial" w:cs="Arial"/>
              </w:rPr>
              <w:t> </w:t>
            </w:r>
            <w:r w:rsidR="00F842F1" w:rsidRPr="00F842F1">
              <w:rPr>
                <w:rFonts w:ascii="Arial" w:hAnsi="Arial" w:cs="Arial"/>
                <w:sz w:val="18"/>
                <w:szCs w:val="18"/>
              </w:rPr>
              <w:t>Inicialmente cabe deixar muito clara nossa posição no sentido de defesa da adoção de medidas pró-concorrência visando sempre o consumidor final, ou seja, que em decorrência de um ambiente concorrencial saudável seja possível, na ponta final da cadeia de comercialização, a diminuição dos preços de combustíveis, necessidade que ficou evidente na greve dos caminhoneiros que ocorreu em meados de 2018 e que resultou na elaboração de estudo apresentado pelo CADE com diversos itens, dentre os quais os que são objeto dessa Consulta Pública que foi precedida pela TPC 02/2018.</w:t>
            </w:r>
          </w:p>
          <w:p w14:paraId="5CF357D3" w14:textId="77777777" w:rsidR="00F842F1" w:rsidRPr="00F842F1" w:rsidRDefault="00F842F1" w:rsidP="00F842F1">
            <w:pPr>
              <w:jc w:val="both"/>
              <w:rPr>
                <w:rFonts w:ascii="Arial" w:hAnsi="Arial" w:cs="Arial"/>
                <w:sz w:val="18"/>
                <w:szCs w:val="18"/>
              </w:rPr>
            </w:pPr>
            <w:r w:rsidRPr="00F842F1">
              <w:rPr>
                <w:rFonts w:ascii="Arial" w:hAnsi="Arial" w:cs="Arial"/>
                <w:sz w:val="18"/>
                <w:szCs w:val="18"/>
              </w:rPr>
              <w:t>Porém, apesar de nossa posição favorável acima declinada, entendemos que as propostas sobre esses temas, que mexem profundamente com o setor como um todo, devem ser amplamente debatidas e analisadas para evitar que, aquilo que num primeiro momento possa parecer a solução para se equacionar a questão das distorções que afetam a livre iniciativa e concorrência leal, não se transforme em poderosa ferramenta fomentadora, ainda mais, das graves e numerosas distorções e irregularidades que ainda observamos nesse mercado.</w:t>
            </w:r>
          </w:p>
          <w:p w14:paraId="7E7D2000" w14:textId="77777777" w:rsidR="00F842F1" w:rsidRPr="00F842F1" w:rsidRDefault="00F842F1" w:rsidP="00F842F1">
            <w:pPr>
              <w:jc w:val="both"/>
              <w:rPr>
                <w:rFonts w:ascii="Arial" w:hAnsi="Arial" w:cs="Arial"/>
                <w:sz w:val="18"/>
                <w:szCs w:val="18"/>
              </w:rPr>
            </w:pPr>
            <w:r w:rsidRPr="00F842F1">
              <w:rPr>
                <w:rFonts w:ascii="Arial" w:hAnsi="Arial" w:cs="Arial"/>
                <w:sz w:val="18"/>
                <w:szCs w:val="18"/>
              </w:rPr>
              <w:t xml:space="preserve">Nesse sentido, alguns </w:t>
            </w:r>
            <w:r w:rsidRPr="00F842F1">
              <w:rPr>
                <w:rFonts w:ascii="Arial" w:hAnsi="Arial" w:cs="Arial"/>
                <w:b/>
                <w:sz w:val="18"/>
                <w:szCs w:val="18"/>
                <w:u w:val="single"/>
              </w:rPr>
              <w:t>aspectos</w:t>
            </w:r>
            <w:r w:rsidRPr="00F842F1">
              <w:rPr>
                <w:rFonts w:ascii="Arial" w:hAnsi="Arial" w:cs="Arial"/>
                <w:sz w:val="18"/>
                <w:szCs w:val="18"/>
              </w:rPr>
              <w:t xml:space="preserve"> precisam ser analisados e, depois, equacionados antes de se pretender implementar essas medidas no setor o qual, vale sempre lembrar, é considerado de utilidade pública, conforme art. 1º , parágrafo 1º da Lei 9.847/99, pois lida com gêneros de primeiríssima necessidade para o consumidor e de fundamental interesse para a economia nacional, </w:t>
            </w:r>
            <w:r w:rsidRPr="00F842F1">
              <w:rPr>
                <w:rFonts w:ascii="Arial" w:hAnsi="Arial" w:cs="Arial"/>
                <w:b/>
                <w:sz w:val="18"/>
                <w:szCs w:val="18"/>
                <w:u w:val="single"/>
              </w:rPr>
              <w:t>são eles</w:t>
            </w:r>
            <w:r w:rsidRPr="00F842F1">
              <w:rPr>
                <w:rFonts w:ascii="Arial" w:hAnsi="Arial" w:cs="Arial"/>
                <w:sz w:val="18"/>
                <w:szCs w:val="18"/>
              </w:rPr>
              <w:t>:</w:t>
            </w:r>
          </w:p>
          <w:p w14:paraId="2141A4DA" w14:textId="77777777" w:rsidR="00F842F1" w:rsidRPr="00F842F1" w:rsidRDefault="00F842F1" w:rsidP="00F842F1">
            <w:pPr>
              <w:jc w:val="both"/>
              <w:rPr>
                <w:rFonts w:ascii="Arial" w:hAnsi="Arial" w:cs="Arial"/>
                <w:sz w:val="18"/>
                <w:szCs w:val="18"/>
              </w:rPr>
            </w:pPr>
            <w:r w:rsidRPr="00F842F1">
              <w:rPr>
                <w:rFonts w:ascii="Arial" w:hAnsi="Arial" w:cs="Arial"/>
                <w:sz w:val="18"/>
                <w:szCs w:val="18"/>
              </w:rPr>
              <w:t xml:space="preserve">1º) Aspectos tributários – os problemas decorrentes da sonegação fiscal e do devedor contumaz precisam estar melhor resolvidos. Oportuno lembrar que, no caso do ICMS decorrente da comercialização de combustíveis, dentre eles o etanol, além de representar, para a maioria dos Estados, a maior fonte de arrecadação, trata-se de um </w:t>
            </w:r>
            <w:r w:rsidRPr="00F842F1">
              <w:rPr>
                <w:rFonts w:ascii="Arial" w:hAnsi="Arial" w:cs="Arial"/>
                <w:sz w:val="18"/>
                <w:szCs w:val="18"/>
              </w:rPr>
              <w:lastRenderedPageBreak/>
              <w:t xml:space="preserve">imposto de cunho eminentemente social, que beneficia diretamente os cidadãos, pois se destina ao custeio das políticas públicas voltadas para a educação, saúde e segurança. </w:t>
            </w:r>
          </w:p>
          <w:p w14:paraId="6E5DF49E" w14:textId="77777777" w:rsidR="00F842F1" w:rsidRPr="00F842F1" w:rsidRDefault="00F842F1" w:rsidP="00F842F1">
            <w:pPr>
              <w:jc w:val="both"/>
              <w:rPr>
                <w:rFonts w:ascii="Arial" w:hAnsi="Arial" w:cs="Arial"/>
                <w:sz w:val="18"/>
                <w:szCs w:val="18"/>
              </w:rPr>
            </w:pPr>
            <w:r w:rsidRPr="00F842F1">
              <w:rPr>
                <w:rFonts w:ascii="Arial" w:hAnsi="Arial" w:cs="Arial"/>
                <w:sz w:val="18"/>
                <w:szCs w:val="18"/>
              </w:rPr>
              <w:t>2º) Aspecto referente a logística de entrega – como será garantida a entrega aos postos localizados nas regiões e/ou cidades mais remotas ou que não tenham usinas próximas ?</w:t>
            </w:r>
          </w:p>
          <w:p w14:paraId="257E3ECC" w14:textId="77777777" w:rsidR="00F842F1" w:rsidRPr="00F842F1" w:rsidRDefault="00F842F1" w:rsidP="00F842F1">
            <w:pPr>
              <w:jc w:val="both"/>
              <w:rPr>
                <w:rFonts w:ascii="Arial" w:hAnsi="Arial" w:cs="Arial"/>
                <w:sz w:val="18"/>
                <w:szCs w:val="18"/>
              </w:rPr>
            </w:pPr>
            <w:r w:rsidRPr="00F842F1">
              <w:rPr>
                <w:rFonts w:ascii="Arial" w:hAnsi="Arial" w:cs="Arial"/>
                <w:sz w:val="18"/>
                <w:szCs w:val="18"/>
              </w:rPr>
              <w:t>3º) Aspecto referente a composição do álcool hidratado – quem irá fazer a adição de água no etanol ? Como será feito o controle  de qualidade nestes casos?</w:t>
            </w:r>
          </w:p>
          <w:p w14:paraId="773BD313" w14:textId="77777777" w:rsidR="00F842F1" w:rsidRPr="00F842F1" w:rsidRDefault="00F842F1" w:rsidP="00F842F1">
            <w:pPr>
              <w:jc w:val="both"/>
              <w:rPr>
                <w:rFonts w:ascii="Arial" w:hAnsi="Arial" w:cs="Arial"/>
                <w:sz w:val="18"/>
                <w:szCs w:val="18"/>
              </w:rPr>
            </w:pPr>
            <w:r w:rsidRPr="00F842F1">
              <w:rPr>
                <w:rFonts w:ascii="Arial" w:hAnsi="Arial" w:cs="Arial"/>
                <w:sz w:val="18"/>
                <w:szCs w:val="18"/>
              </w:rPr>
              <w:t>4º) Aspecto referente ao desemprego – haverá uma natural concentração no setor com a consequente diminuição de postos de trabalho, como sempre acontece nesses casos, ainda mais se derrubarem a lei federal que proíbe o self-service nos postos, como já se aventou. Essa questão social foi levada em conta?</w:t>
            </w:r>
          </w:p>
          <w:p w14:paraId="4D1D7E3B" w14:textId="77777777" w:rsidR="00F842F1" w:rsidRPr="00F842F1" w:rsidRDefault="00F842F1" w:rsidP="00F842F1">
            <w:pPr>
              <w:jc w:val="both"/>
              <w:rPr>
                <w:rFonts w:ascii="Arial" w:hAnsi="Arial" w:cs="Arial"/>
                <w:sz w:val="18"/>
                <w:szCs w:val="18"/>
              </w:rPr>
            </w:pPr>
            <w:r w:rsidRPr="00F842F1">
              <w:rPr>
                <w:rFonts w:ascii="Arial" w:hAnsi="Arial" w:cs="Arial"/>
                <w:sz w:val="18"/>
                <w:szCs w:val="18"/>
              </w:rPr>
              <w:t>Por isso defendemos que sejam feitos mais estudos a respeito do tema, com mais audiências públicas pois houve um evidente comprometimento desse processo de consulta pública esse ano por conta da pandemia, nas quais todos os segmentos envolvidos estejam efetivamente presentes e possam se manifestar, além da elaboração de estudos técnicos detalhados para se medir, tanto quanto possível, os impactos se tais medidas forem adotadas.</w:t>
            </w:r>
          </w:p>
          <w:p w14:paraId="7F8080DC" w14:textId="77777777" w:rsidR="00F842F1" w:rsidRPr="00F842F1" w:rsidRDefault="00F842F1" w:rsidP="00F842F1">
            <w:pPr>
              <w:jc w:val="both"/>
              <w:rPr>
                <w:rFonts w:ascii="Arial" w:hAnsi="Arial" w:cs="Arial"/>
                <w:sz w:val="18"/>
                <w:szCs w:val="18"/>
              </w:rPr>
            </w:pPr>
            <w:r w:rsidRPr="00F842F1">
              <w:rPr>
                <w:rFonts w:ascii="Arial" w:hAnsi="Arial" w:cs="Arial"/>
                <w:sz w:val="18"/>
                <w:szCs w:val="18"/>
              </w:rPr>
              <w:t>Por fim, caso se libere a verticalização nesse segmento da comercialização do etanol hidratado, entendemos que deve-se atentar para as questões contratuais, como segue:</w:t>
            </w:r>
          </w:p>
          <w:p w14:paraId="7FDC798B" w14:textId="77777777" w:rsidR="00F842F1" w:rsidRPr="00F842F1" w:rsidRDefault="00F842F1" w:rsidP="00F842F1">
            <w:pPr>
              <w:jc w:val="both"/>
              <w:rPr>
                <w:rFonts w:ascii="Arial" w:hAnsi="Arial" w:cs="Arial"/>
                <w:sz w:val="18"/>
                <w:szCs w:val="18"/>
              </w:rPr>
            </w:pPr>
            <w:r w:rsidRPr="00F842F1">
              <w:rPr>
                <w:rFonts w:ascii="Arial" w:hAnsi="Arial" w:cs="Arial"/>
                <w:sz w:val="18"/>
                <w:szCs w:val="18"/>
              </w:rPr>
              <w:t xml:space="preserve">Contratos firmados entre as Distribuidoras e Postos Revendedores – com poucas mudanças, o formato remonta a época em que os produtos eram tabelados e o setor altamente regulado. Dessa forma, necessário que se analise essa situação para se restabelecer o necessário equilíbrio de forças entre esses dois segmentos, nesse sentido vale transcrever trecho do primeiro de uma série de estudos, intitulados “Cadernos do Cade”, publicado em 2014, que tratou do setor de “varejo de combustíveis automotivos”, com foco no produto gasolina mas que serve perfeitamente bem para o produto etanol hidratado: </w:t>
            </w:r>
            <w:r w:rsidRPr="00F842F1">
              <w:rPr>
                <w:rFonts w:ascii="Arial" w:hAnsi="Arial" w:cs="Arial"/>
                <w:i/>
                <w:sz w:val="18"/>
                <w:szCs w:val="18"/>
              </w:rPr>
              <w:t>“Os atos de concentração entre distribuidoras de combustíveis que demandaram análise dos efeitos concorrências no mercado relevante de varejo de combustíveis somaram dezenove. Este grupo, embora menor do que o anterior, apresentou o dobro de aprovações com restrições, refletindo a maior complexidade das análises.  Em dois casos, a restrição foi de adequação da cláusula de não concorrência. Nos demais, o objeto da restrição estava associado aos contratos de exclusividade entre distribuidoras e revendedores.  Nesses ACs, em que o Cade determinou o cancelamento, a não renovação, ou, ainda, que a distribuidora facultasse ao posto a possibilidade de rescindir o contrato de exclusividade antes do fim do seu prazo.  Tais restrições visavam criar oportunidades para que outras distribuidoras pudessem atuar naquele mercado considerado excessivamente concentrado, ou que os postos pudessem optar por atuar como ‘bandeira branca’ ”. (Cadernos do Cade – Varejo de Gasolina, 2014, página 42)</w:t>
            </w:r>
            <w:r w:rsidRPr="00F842F1">
              <w:rPr>
                <w:rFonts w:ascii="Arial" w:hAnsi="Arial" w:cs="Arial"/>
                <w:sz w:val="18"/>
                <w:szCs w:val="18"/>
              </w:rPr>
              <w:t>.</w:t>
            </w:r>
          </w:p>
          <w:p w14:paraId="482FD2FD" w14:textId="77777777" w:rsidR="00F842F1" w:rsidRPr="00F842F1" w:rsidRDefault="00F842F1" w:rsidP="00F842F1">
            <w:pPr>
              <w:jc w:val="both"/>
              <w:rPr>
                <w:rFonts w:ascii="Arial" w:hAnsi="Arial" w:cs="Arial"/>
                <w:sz w:val="18"/>
                <w:szCs w:val="18"/>
              </w:rPr>
            </w:pPr>
            <w:r w:rsidRPr="00F842F1">
              <w:rPr>
                <w:rFonts w:ascii="Arial" w:hAnsi="Arial" w:cs="Arial"/>
                <w:sz w:val="18"/>
                <w:szCs w:val="18"/>
              </w:rPr>
              <w:t xml:space="preserve">Entendemos ser perfeitamente possível tratar dessa relação comercial privada por meio de instrumento normativo competente e, para fundamentar nossa colocação, citamos como exemplo recente a lei 13.455/2017 que, ao autorizar a diferenciação de preços por parte do comerciante, dependendo do instrumento de pagamento utilizado pelo consumidor,  anulou as cláusulas contratuais que impediam essa diferenciação conforme previsto no seu artigo 1º, parágrafo único: </w:t>
            </w:r>
            <w:r w:rsidRPr="00F842F1">
              <w:rPr>
                <w:rFonts w:ascii="Arial" w:hAnsi="Arial" w:cs="Arial"/>
                <w:i/>
                <w:sz w:val="18"/>
                <w:szCs w:val="18"/>
              </w:rPr>
              <w:t xml:space="preserve">Art. 1º Fica autorizada a </w:t>
            </w:r>
            <w:r w:rsidRPr="00F842F1">
              <w:rPr>
                <w:rFonts w:ascii="Arial" w:hAnsi="Arial" w:cs="Arial"/>
                <w:i/>
                <w:sz w:val="18"/>
                <w:szCs w:val="18"/>
              </w:rPr>
              <w:lastRenderedPageBreak/>
              <w:t>diferenciação de preços de bens e serviços oferecidos ao público em função do prazo ou do instrumento de pagamento utilizado. Parágrafo único. É nula a cláusula contratual, estabelecida no âmbito de arranjos de pagamento ou de outros acordos para prestação de serviço de pagamento, que proíba ou restrinja a diferenciação de preços facultada no caput deste artigo.</w:t>
            </w:r>
            <w:r w:rsidRPr="00F842F1">
              <w:rPr>
                <w:rFonts w:ascii="Arial" w:hAnsi="Arial" w:cs="Arial"/>
                <w:sz w:val="18"/>
                <w:szCs w:val="18"/>
              </w:rPr>
              <w:t xml:space="preserve">  </w:t>
            </w:r>
          </w:p>
          <w:p w14:paraId="6DBE19BC" w14:textId="77777777" w:rsidR="00F842F1" w:rsidRPr="00F842F1" w:rsidRDefault="00F842F1" w:rsidP="00F842F1">
            <w:pPr>
              <w:rPr>
                <w:rFonts w:ascii="Arial" w:hAnsi="Arial" w:cs="Arial"/>
                <w:sz w:val="18"/>
                <w:szCs w:val="18"/>
              </w:rPr>
            </w:pPr>
            <w:r w:rsidRPr="00F842F1">
              <w:rPr>
                <w:rFonts w:ascii="Arial" w:hAnsi="Arial" w:cs="Arial"/>
                <w:sz w:val="18"/>
                <w:szCs w:val="18"/>
              </w:rPr>
              <w:t xml:space="preserve">Porém, ainda que não se pretenda adotar essas medidas de flexibilização dos contratos em vigor, que pelo menos se adote alguma medida que garanta aos revendedores vinculados, por força de contrato de exclusividade de compra, a uma única distribuidora, uma “isonomia” de condições, como ocorreu no início do processo de desregulamentação do setor, em 1996, diante do que previa a Portaria nº 63, de 29/03/1996, do Ministro de Estado da Fazenda, que, infelizmente, foi revogada em 1997: </w:t>
            </w:r>
            <w:r w:rsidRPr="00F842F1">
              <w:rPr>
                <w:rFonts w:ascii="Arial" w:hAnsi="Arial" w:cs="Arial"/>
                <w:i/>
                <w:sz w:val="18"/>
                <w:szCs w:val="18"/>
              </w:rPr>
              <w:t xml:space="preserve">Art. 1º Os preços praticados, em regime de liberdade, pelas distribuidoras de derivados de petróleo e álcool, nas vendas da gasolina automotiva e do álcool etílico hidratado para fins carburantes, inclusive dos aditivados, não poderão, no mesmo dia, apresentar um diferença superior a três por cento entre o maior e o menor preços praticados a seus clientes, para um mesmo produto, a partir de uma mesma base de distribuição.” </w:t>
            </w:r>
            <w:r w:rsidRPr="00F842F1">
              <w:rPr>
                <w:rFonts w:ascii="Arial" w:hAnsi="Arial" w:cs="Arial"/>
                <w:sz w:val="18"/>
                <w:szCs w:val="18"/>
              </w:rPr>
              <w:t xml:space="preserve">   Cabendo destacar que essa variação precisa ser revista e adaptada para a realidade atual do segmento da revenda, ou seja, seria muito menor e que seja levada em conta a área de influência das usinas também.</w:t>
            </w:r>
          </w:p>
          <w:p w14:paraId="5844FE31" w14:textId="77777777" w:rsidR="00C13A89" w:rsidRDefault="00C13A89" w:rsidP="000303C4">
            <w:pPr>
              <w:rPr>
                <w:rFonts w:ascii="Arial" w:eastAsia="Arial Unicode MS" w:hAnsi="Arial" w:cs="Arial"/>
                <w:sz w:val="24"/>
                <w:szCs w:val="24"/>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9D87504" w14:textId="77777777" w:rsidR="00C13A89" w:rsidRDefault="00C13A89" w:rsidP="000303C4">
            <w:pPr>
              <w:rPr>
                <w:rFonts w:ascii="Arial" w:eastAsia="Arial Unicode MS" w:hAnsi="Arial" w:cs="Arial"/>
                <w:sz w:val="24"/>
                <w:szCs w:val="24"/>
              </w:rPr>
            </w:pPr>
            <w:r>
              <w:rPr>
                <w:rFonts w:ascii="Arial" w:hAnsi="Arial" w:cs="Arial"/>
              </w:rPr>
              <w:lastRenderedPageBreak/>
              <w:t> </w:t>
            </w:r>
          </w:p>
        </w:tc>
      </w:tr>
      <w:tr w:rsidR="00C13A89" w14:paraId="6789B1DA" w14:textId="77777777" w:rsidTr="00C13A89">
        <w:trPr>
          <w:trHeight w:val="704"/>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4DA1678" w14:textId="77777777" w:rsidR="00C13A89" w:rsidRDefault="00C13A89" w:rsidP="000303C4">
            <w:pPr>
              <w:rPr>
                <w:rFonts w:ascii="Arial" w:eastAsia="Arial Unicode MS" w:hAnsi="Arial" w:cs="Arial"/>
              </w:rPr>
            </w:pPr>
            <w:r>
              <w:rPr>
                <w:rFonts w:ascii="Arial" w:hAnsi="Arial" w:cs="Arial"/>
              </w:rPr>
              <w:lastRenderedPageBreak/>
              <w:t> </w:t>
            </w:r>
          </w:p>
          <w:p w14:paraId="5D9CBAB4" w14:textId="77777777" w:rsidR="00C13A89" w:rsidRDefault="00C13A89" w:rsidP="000303C4">
            <w:pPr>
              <w:rPr>
                <w:rFonts w:ascii="Arial" w:eastAsia="Arial Unicode MS" w:hAnsi="Arial" w:cs="Arial"/>
                <w:b/>
                <w:bCs/>
              </w:rPr>
            </w:pPr>
            <w:r>
              <w:rPr>
                <w:rFonts w:ascii="Arial" w:hAnsi="Arial" w:cs="Arial"/>
                <w:b/>
                <w:bCs/>
              </w:rPr>
              <w:t> </w:t>
            </w: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0B385AC" w14:textId="77777777" w:rsidR="00C13A89" w:rsidRDefault="00C13A89" w:rsidP="000303C4">
            <w:pPr>
              <w:rPr>
                <w:rFonts w:ascii="Arial" w:eastAsia="Arial Unicode MS" w:hAnsi="Arial" w:cs="Arial"/>
              </w:rPr>
            </w:pPr>
            <w:r>
              <w:rPr>
                <w:rFonts w:ascii="Arial" w:hAnsi="Arial" w:cs="Arial"/>
              </w:rPr>
              <w:t> </w:t>
            </w: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21C021B" w14:textId="77777777" w:rsidR="00C13A89" w:rsidRDefault="00C13A89" w:rsidP="000303C4">
            <w:pPr>
              <w:rPr>
                <w:rFonts w:ascii="Arial" w:eastAsia="Arial Unicode MS" w:hAnsi="Arial" w:cs="Arial"/>
                <w:sz w:val="24"/>
                <w:szCs w:val="24"/>
              </w:rPr>
            </w:pPr>
            <w:r>
              <w:rPr>
                <w:rFonts w:ascii="Arial" w:hAnsi="Arial" w:cs="Arial"/>
              </w:rPr>
              <w:t> </w:t>
            </w:r>
          </w:p>
        </w:tc>
      </w:tr>
      <w:tr w:rsidR="00C13A89" w14:paraId="2AE82BF3" w14:textId="77777777" w:rsidTr="00C13A89">
        <w:trPr>
          <w:trHeight w:val="670"/>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878F58D" w14:textId="77777777" w:rsidR="00C13A89" w:rsidRDefault="00C13A89" w:rsidP="000303C4">
            <w:pPr>
              <w:rPr>
                <w:rFonts w:ascii="Arial" w:eastAsia="Arial Unicode MS" w:hAnsi="Arial" w:cs="Arial"/>
                <w:b/>
                <w:bCs/>
                <w:sz w:val="24"/>
                <w:szCs w:val="24"/>
              </w:rPr>
            </w:pPr>
            <w:r>
              <w:rPr>
                <w:rFonts w:ascii="Arial" w:hAnsi="Arial" w:cs="Arial"/>
                <w:b/>
                <w:bCs/>
              </w:rPr>
              <w:t> </w:t>
            </w:r>
          </w:p>
          <w:p w14:paraId="4370F7A4" w14:textId="77777777" w:rsidR="00C13A89" w:rsidRDefault="00C13A89" w:rsidP="000303C4">
            <w:pPr>
              <w:rPr>
                <w:rFonts w:ascii="Arial" w:eastAsia="Arial Unicode MS" w:hAnsi="Arial" w:cs="Arial"/>
                <w:b/>
                <w:bCs/>
                <w:sz w:val="24"/>
                <w:szCs w:val="24"/>
              </w:rPr>
            </w:pPr>
            <w:r>
              <w:rPr>
                <w:rFonts w:ascii="Arial" w:hAnsi="Arial" w:cs="Arial"/>
                <w:b/>
                <w:bCs/>
              </w:rPr>
              <w:t> </w:t>
            </w: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FD92B1D" w14:textId="77777777" w:rsidR="00C13A89" w:rsidRDefault="00C13A89" w:rsidP="000303C4">
            <w:pPr>
              <w:rPr>
                <w:rFonts w:ascii="Arial" w:eastAsia="Arial Unicode MS" w:hAnsi="Arial" w:cs="Arial"/>
                <w:sz w:val="24"/>
                <w:szCs w:val="24"/>
              </w:rPr>
            </w:pPr>
            <w:r>
              <w:rPr>
                <w:rFonts w:ascii="Arial" w:hAnsi="Arial" w:cs="Arial"/>
              </w:rPr>
              <w:t> </w:t>
            </w: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957DDE4" w14:textId="77777777" w:rsidR="00C13A89" w:rsidRDefault="00C13A89" w:rsidP="000303C4">
            <w:pPr>
              <w:rPr>
                <w:rFonts w:ascii="Arial" w:eastAsia="Arial Unicode MS" w:hAnsi="Arial" w:cs="Arial"/>
                <w:sz w:val="24"/>
                <w:szCs w:val="24"/>
              </w:rPr>
            </w:pPr>
            <w:r>
              <w:rPr>
                <w:rFonts w:ascii="Arial" w:hAnsi="Arial" w:cs="Arial"/>
              </w:rPr>
              <w:t> </w:t>
            </w:r>
          </w:p>
        </w:tc>
      </w:tr>
      <w:tr w:rsidR="00C13A89" w14:paraId="20F39429" w14:textId="77777777" w:rsidTr="00C13A89">
        <w:trPr>
          <w:trHeight w:val="667"/>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7EAE4FE" w14:textId="77777777" w:rsidR="00C13A89" w:rsidRDefault="00C13A89" w:rsidP="000303C4">
            <w:pPr>
              <w:rPr>
                <w:rFonts w:ascii="Arial" w:eastAsia="Arial Unicode MS" w:hAnsi="Arial" w:cs="Arial"/>
                <w:b/>
                <w:bCs/>
                <w:sz w:val="24"/>
                <w:szCs w:val="24"/>
              </w:rPr>
            </w:pPr>
            <w:r>
              <w:rPr>
                <w:rFonts w:ascii="Arial" w:hAnsi="Arial" w:cs="Arial"/>
                <w:b/>
                <w:bCs/>
              </w:rPr>
              <w:t> </w:t>
            </w:r>
          </w:p>
          <w:p w14:paraId="795FA455" w14:textId="77777777" w:rsidR="00C13A89" w:rsidRDefault="00C13A89" w:rsidP="000303C4">
            <w:pPr>
              <w:rPr>
                <w:rFonts w:ascii="Arial" w:eastAsia="Arial Unicode MS" w:hAnsi="Arial" w:cs="Arial"/>
                <w:b/>
                <w:bCs/>
                <w:color w:val="000000"/>
                <w:sz w:val="24"/>
                <w:szCs w:val="24"/>
              </w:rPr>
            </w:pPr>
            <w:r>
              <w:rPr>
                <w:rFonts w:ascii="Arial" w:hAnsi="Arial" w:cs="Arial"/>
                <w:b/>
                <w:bCs/>
                <w:color w:val="000000"/>
              </w:rPr>
              <w:t> </w:t>
            </w: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5305CB1" w14:textId="77777777" w:rsidR="00C13A89" w:rsidRDefault="00C13A89" w:rsidP="000303C4">
            <w:pPr>
              <w:rPr>
                <w:rFonts w:ascii="Arial" w:eastAsia="Arial Unicode MS" w:hAnsi="Arial" w:cs="Arial"/>
                <w:color w:val="000000"/>
                <w:sz w:val="24"/>
                <w:szCs w:val="24"/>
              </w:rPr>
            </w:pPr>
            <w:r>
              <w:rPr>
                <w:rFonts w:ascii="Arial" w:hAnsi="Arial" w:cs="Arial"/>
                <w:color w:val="000000"/>
              </w:rPr>
              <w:t> </w:t>
            </w: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B60F069" w14:textId="77777777" w:rsidR="00C13A89" w:rsidRDefault="00C13A89" w:rsidP="000303C4">
            <w:pPr>
              <w:rPr>
                <w:rFonts w:ascii="Arial" w:eastAsia="Arial Unicode MS" w:hAnsi="Arial" w:cs="Arial"/>
                <w:sz w:val="24"/>
                <w:szCs w:val="24"/>
              </w:rPr>
            </w:pPr>
            <w:r>
              <w:rPr>
                <w:rFonts w:ascii="Arial" w:hAnsi="Arial" w:cs="Arial"/>
              </w:rPr>
              <w:t> </w:t>
            </w:r>
          </w:p>
        </w:tc>
      </w:tr>
      <w:tr w:rsidR="00C13A89" w14:paraId="60138284"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B879C39" w14:textId="77777777" w:rsidR="00C13A89" w:rsidRDefault="00C13A89" w:rsidP="000303C4">
            <w:pPr>
              <w:rPr>
                <w:rFonts w:ascii="Arial" w:eastAsia="Arial Unicode MS" w:hAnsi="Arial" w:cs="Arial"/>
                <w:b/>
                <w:bCs/>
                <w:sz w:val="24"/>
                <w:szCs w:val="24"/>
              </w:rPr>
            </w:pPr>
            <w:r>
              <w:rPr>
                <w:rFonts w:ascii="Arial" w:hAnsi="Arial" w:cs="Arial"/>
                <w:b/>
                <w:bCs/>
              </w:rPr>
              <w:t> </w:t>
            </w:r>
          </w:p>
          <w:p w14:paraId="5C80FA71" w14:textId="77777777" w:rsidR="00C13A89" w:rsidRDefault="00C13A89" w:rsidP="000303C4">
            <w:pPr>
              <w:rPr>
                <w:rFonts w:ascii="Arial" w:eastAsia="Arial Unicode MS" w:hAnsi="Arial" w:cs="Arial"/>
                <w:b/>
                <w:bCs/>
                <w:sz w:val="24"/>
                <w:szCs w:val="24"/>
              </w:rPr>
            </w:pPr>
            <w:r>
              <w:rPr>
                <w:rFonts w:ascii="Arial" w:hAnsi="Arial" w:cs="Arial"/>
                <w:b/>
                <w:bCs/>
              </w:rPr>
              <w:t> </w:t>
            </w: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B14A2AE" w14:textId="77777777" w:rsidR="00C13A89" w:rsidRDefault="00C13A89" w:rsidP="000303C4">
            <w:pPr>
              <w:rPr>
                <w:rFonts w:ascii="Arial" w:eastAsia="Arial Unicode MS" w:hAnsi="Arial" w:cs="Arial"/>
                <w:sz w:val="24"/>
                <w:szCs w:val="24"/>
              </w:rPr>
            </w:pPr>
            <w:r>
              <w:rPr>
                <w:rFonts w:ascii="Arial" w:hAnsi="Arial" w:cs="Arial"/>
              </w:rPr>
              <w:t> </w:t>
            </w: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1B1E10D" w14:textId="77777777" w:rsidR="00C13A89" w:rsidRDefault="00C13A89" w:rsidP="000303C4">
            <w:pPr>
              <w:rPr>
                <w:rFonts w:ascii="Arial" w:eastAsia="Arial Unicode MS" w:hAnsi="Arial" w:cs="Arial"/>
                <w:sz w:val="24"/>
                <w:szCs w:val="24"/>
              </w:rPr>
            </w:pPr>
            <w:r>
              <w:rPr>
                <w:rFonts w:ascii="Arial" w:hAnsi="Arial" w:cs="Arial"/>
              </w:rPr>
              <w:t> </w:t>
            </w:r>
          </w:p>
        </w:tc>
      </w:tr>
      <w:tr w:rsidR="00C13A89" w14:paraId="22CB7E1D" w14:textId="77777777" w:rsidTr="00C13A89">
        <w:trPr>
          <w:trHeight w:val="607"/>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782F724" w14:textId="77777777" w:rsidR="00C13A89" w:rsidRPr="00C13A89" w:rsidRDefault="00C13A89" w:rsidP="000F43D7">
            <w:pPr>
              <w:rPr>
                <w:rFonts w:ascii="Arial" w:hAnsi="Arial" w:cs="Arial"/>
              </w:rPr>
            </w:pPr>
            <w:r>
              <w:rPr>
                <w:rFonts w:ascii="Arial" w:hAnsi="Arial" w:cs="Arial"/>
              </w:rPr>
              <w:t> </w:t>
            </w:r>
          </w:p>
          <w:p w14:paraId="264FFD37" w14:textId="77777777" w:rsidR="00C13A89" w:rsidRPr="00C13A89" w:rsidRDefault="00C13A89" w:rsidP="000F43D7">
            <w:pPr>
              <w:rPr>
                <w:rFonts w:ascii="Arial" w:hAnsi="Arial" w:cs="Arial"/>
                <w:b/>
                <w:bCs/>
              </w:rPr>
            </w:pPr>
            <w:r>
              <w:rPr>
                <w:rFonts w:ascii="Arial" w:hAnsi="Arial" w:cs="Arial"/>
                <w:b/>
                <w:bCs/>
              </w:rPr>
              <w: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5B1F85A" w14:textId="77777777" w:rsidR="00C13A89" w:rsidRPr="00C13A89" w:rsidRDefault="00C13A89" w:rsidP="000F43D7">
            <w:pPr>
              <w:rPr>
                <w:rFonts w:ascii="Arial" w:hAnsi="Arial" w:cs="Arial"/>
              </w:rPr>
            </w:pPr>
            <w:r>
              <w:rPr>
                <w:rFonts w:ascii="Arial" w:hAnsi="Arial" w:cs="Arial"/>
              </w:rPr>
              <w:t> </w:t>
            </w:r>
          </w:p>
        </w:tc>
        <w:tc>
          <w:tcPr>
            <w:tcW w:w="567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7917892" w14:textId="77777777" w:rsidR="00C13A89" w:rsidRPr="00C13A89" w:rsidRDefault="00C13A89" w:rsidP="000F43D7">
            <w:pPr>
              <w:rPr>
                <w:rFonts w:ascii="Arial" w:hAnsi="Arial" w:cs="Arial"/>
              </w:rPr>
            </w:pPr>
            <w:r>
              <w:rPr>
                <w:rFonts w:ascii="Arial" w:hAnsi="Arial" w:cs="Arial"/>
              </w:rPr>
              <w:t> </w:t>
            </w:r>
          </w:p>
        </w:tc>
      </w:tr>
    </w:tbl>
    <w:p w14:paraId="6DE1B648" w14:textId="2AB9473D" w:rsidR="005B5B0C" w:rsidRPr="006B1E64" w:rsidRDefault="00100689" w:rsidP="006B1E64">
      <w:pPr>
        <w:jc w:val="center"/>
        <w:rPr>
          <w:rFonts w:ascii="Arial" w:hAnsi="Arial" w:cs="Arial"/>
          <w:bCs/>
          <w:color w:val="0000FF"/>
          <w:sz w:val="24"/>
          <w:szCs w:val="24"/>
          <w:u w:val="single"/>
          <w:bdr w:val="none" w:sz="0" w:space="0" w:color="auto" w:frame="1"/>
          <w:shd w:val="clear" w:color="auto" w:fill="FFFFFF"/>
        </w:rPr>
      </w:pPr>
      <w:r>
        <w:rPr>
          <w:rFonts w:ascii="Arial" w:eastAsia="Arial Unicode MS" w:hAnsi="Arial" w:cs="Arial"/>
          <w:sz w:val="24"/>
          <w:szCs w:val="24"/>
        </w:rPr>
        <w:t xml:space="preserve">Este formulário deverá ser encaminhado à ANP para o endereço eletrônico: </w:t>
      </w:r>
      <w:bookmarkStart w:id="0" w:name="_GoBack"/>
      <w:bookmarkEnd w:id="0"/>
      <w:r w:rsidR="006B1E64">
        <w:rPr>
          <w:rStyle w:val="Hyperlink"/>
          <w:rFonts w:ascii="Arial" w:hAnsi="Arial" w:cs="Arial"/>
          <w:bCs/>
          <w:sz w:val="24"/>
          <w:szCs w:val="24"/>
          <w:bdr w:val="none" w:sz="0" w:space="0" w:color="auto" w:frame="1"/>
          <w:shd w:val="clear" w:color="auto" w:fill="FFFFFF"/>
        </w:rPr>
        <w:fldChar w:fldCharType="begin"/>
      </w:r>
      <w:r w:rsidR="006B1E64">
        <w:rPr>
          <w:rStyle w:val="Hyperlink"/>
          <w:rFonts w:ascii="Arial" w:hAnsi="Arial" w:cs="Arial"/>
          <w:bCs/>
          <w:sz w:val="24"/>
          <w:szCs w:val="24"/>
          <w:bdr w:val="none" w:sz="0" w:space="0" w:color="auto" w:frame="1"/>
          <w:shd w:val="clear" w:color="auto" w:fill="FFFFFF"/>
        </w:rPr>
        <w:instrText xml:space="preserve"> HYPERLINK "mailto:</w:instrText>
      </w:r>
      <w:r w:rsidR="006B1E64" w:rsidRPr="006B1E64">
        <w:rPr>
          <w:rStyle w:val="Hyperlink"/>
          <w:rFonts w:ascii="Arial" w:hAnsi="Arial" w:cs="Arial"/>
          <w:bCs/>
          <w:sz w:val="24"/>
          <w:szCs w:val="24"/>
          <w:bdr w:val="none" w:sz="0" w:space="0" w:color="auto" w:frame="1"/>
          <w:shd w:val="clear" w:color="auto" w:fill="FFFFFF"/>
        </w:rPr>
        <w:instrText>regulacao_sdl@anp.gov.br</w:instrText>
      </w:r>
      <w:r w:rsidR="006B1E64">
        <w:rPr>
          <w:rStyle w:val="Hyperlink"/>
          <w:rFonts w:ascii="Arial" w:hAnsi="Arial" w:cs="Arial"/>
          <w:bCs/>
          <w:sz w:val="24"/>
          <w:szCs w:val="24"/>
          <w:bdr w:val="none" w:sz="0" w:space="0" w:color="auto" w:frame="1"/>
          <w:shd w:val="clear" w:color="auto" w:fill="FFFFFF"/>
        </w:rPr>
        <w:instrText xml:space="preserve">" </w:instrText>
      </w:r>
      <w:r w:rsidR="006B1E64">
        <w:rPr>
          <w:rStyle w:val="Hyperlink"/>
          <w:rFonts w:ascii="Arial" w:hAnsi="Arial" w:cs="Arial"/>
          <w:bCs/>
          <w:sz w:val="24"/>
          <w:szCs w:val="24"/>
          <w:bdr w:val="none" w:sz="0" w:space="0" w:color="auto" w:frame="1"/>
          <w:shd w:val="clear" w:color="auto" w:fill="FFFFFF"/>
        </w:rPr>
        <w:fldChar w:fldCharType="separate"/>
      </w:r>
      <w:r w:rsidR="006B1E64" w:rsidRPr="00ED2FDF">
        <w:rPr>
          <w:rStyle w:val="Hyperlink"/>
          <w:rFonts w:ascii="Arial" w:hAnsi="Arial" w:cs="Arial"/>
          <w:bCs/>
          <w:sz w:val="24"/>
          <w:szCs w:val="24"/>
          <w:bdr w:val="none" w:sz="0" w:space="0" w:color="auto" w:frame="1"/>
          <w:shd w:val="clear" w:color="auto" w:fill="FFFFFF"/>
        </w:rPr>
        <w:t>regulacao_sdl@anp.gov.br</w:t>
      </w:r>
      <w:r w:rsidR="006B1E64">
        <w:rPr>
          <w:rStyle w:val="Hyperlink"/>
          <w:rFonts w:ascii="Arial" w:hAnsi="Arial" w:cs="Arial"/>
          <w:bCs/>
          <w:sz w:val="24"/>
          <w:szCs w:val="24"/>
          <w:bdr w:val="none" w:sz="0" w:space="0" w:color="auto" w:frame="1"/>
          <w:shd w:val="clear" w:color="auto" w:fill="FFFFFF"/>
        </w:rPr>
        <w:fldChar w:fldCharType="end"/>
      </w:r>
    </w:p>
    <w:p w14:paraId="79ABEB51" w14:textId="77777777" w:rsidR="005B5B0C" w:rsidRPr="005B5B0C" w:rsidRDefault="005B5B0C" w:rsidP="005B5B0C">
      <w:pPr>
        <w:jc w:val="center"/>
        <w:rPr>
          <w:rFonts w:ascii="Arial" w:hAnsi="Arial" w:cs="Arial"/>
          <w:bCs/>
          <w:sz w:val="24"/>
          <w:szCs w:val="24"/>
          <w:bdr w:val="none" w:sz="0" w:space="0" w:color="auto" w:frame="1"/>
          <w:shd w:val="clear" w:color="auto" w:fill="FFFFFF"/>
        </w:rPr>
      </w:pPr>
    </w:p>
    <w:sectPr w:rsidR="005B5B0C" w:rsidRPr="005B5B0C" w:rsidSect="00CF534B">
      <w:pgSz w:w="16840" w:h="11907" w:orient="landscape" w:code="9"/>
      <w:pgMar w:top="1418" w:right="1418"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71446"/>
    <w:multiLevelType w:val="multilevel"/>
    <w:tmpl w:val="7B283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41813C9"/>
    <w:multiLevelType w:val="multilevel"/>
    <w:tmpl w:val="DF6E21D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42C"/>
    <w:rsid w:val="00014029"/>
    <w:rsid w:val="000303C4"/>
    <w:rsid w:val="00080883"/>
    <w:rsid w:val="000840EB"/>
    <w:rsid w:val="00084755"/>
    <w:rsid w:val="000873C6"/>
    <w:rsid w:val="000B651B"/>
    <w:rsid w:val="000C742C"/>
    <w:rsid w:val="000F43D7"/>
    <w:rsid w:val="00100689"/>
    <w:rsid w:val="001D228B"/>
    <w:rsid w:val="001D400B"/>
    <w:rsid w:val="001F74A0"/>
    <w:rsid w:val="002109D6"/>
    <w:rsid w:val="00224CCF"/>
    <w:rsid w:val="00237E7F"/>
    <w:rsid w:val="002442D9"/>
    <w:rsid w:val="00245CC0"/>
    <w:rsid w:val="0026582D"/>
    <w:rsid w:val="002808DC"/>
    <w:rsid w:val="00287B41"/>
    <w:rsid w:val="002E55F5"/>
    <w:rsid w:val="00307D0A"/>
    <w:rsid w:val="00324800"/>
    <w:rsid w:val="003648E3"/>
    <w:rsid w:val="003B0512"/>
    <w:rsid w:val="003E05A7"/>
    <w:rsid w:val="004602FD"/>
    <w:rsid w:val="00471191"/>
    <w:rsid w:val="00482589"/>
    <w:rsid w:val="00482F43"/>
    <w:rsid w:val="00512DA8"/>
    <w:rsid w:val="00543CD6"/>
    <w:rsid w:val="00570C4C"/>
    <w:rsid w:val="00577F7C"/>
    <w:rsid w:val="00586DD3"/>
    <w:rsid w:val="005B5B0C"/>
    <w:rsid w:val="00630CF4"/>
    <w:rsid w:val="0066147C"/>
    <w:rsid w:val="00671FED"/>
    <w:rsid w:val="006A3478"/>
    <w:rsid w:val="006B1E64"/>
    <w:rsid w:val="006C7878"/>
    <w:rsid w:val="006E303D"/>
    <w:rsid w:val="006F3AC2"/>
    <w:rsid w:val="00735912"/>
    <w:rsid w:val="00762754"/>
    <w:rsid w:val="00792659"/>
    <w:rsid w:val="007D5704"/>
    <w:rsid w:val="0085243A"/>
    <w:rsid w:val="00852D24"/>
    <w:rsid w:val="00883ED4"/>
    <w:rsid w:val="008A2D46"/>
    <w:rsid w:val="008C0A6C"/>
    <w:rsid w:val="008E1D4F"/>
    <w:rsid w:val="008F2B69"/>
    <w:rsid w:val="00947621"/>
    <w:rsid w:val="00965928"/>
    <w:rsid w:val="009876F8"/>
    <w:rsid w:val="0099311B"/>
    <w:rsid w:val="009A7203"/>
    <w:rsid w:val="009E5AD5"/>
    <w:rsid w:val="009F1FEC"/>
    <w:rsid w:val="00A66F3B"/>
    <w:rsid w:val="00A94E85"/>
    <w:rsid w:val="00A97063"/>
    <w:rsid w:val="00AD3DD9"/>
    <w:rsid w:val="00AF1B3D"/>
    <w:rsid w:val="00B74C89"/>
    <w:rsid w:val="00BB004F"/>
    <w:rsid w:val="00BB737F"/>
    <w:rsid w:val="00BD5993"/>
    <w:rsid w:val="00BE5929"/>
    <w:rsid w:val="00C13A89"/>
    <w:rsid w:val="00C41D7B"/>
    <w:rsid w:val="00C47765"/>
    <w:rsid w:val="00C775A3"/>
    <w:rsid w:val="00CD4D94"/>
    <w:rsid w:val="00CD5922"/>
    <w:rsid w:val="00CD60C8"/>
    <w:rsid w:val="00CD7D9E"/>
    <w:rsid w:val="00CF2605"/>
    <w:rsid w:val="00CF534B"/>
    <w:rsid w:val="00D060D3"/>
    <w:rsid w:val="00D144DA"/>
    <w:rsid w:val="00D1573C"/>
    <w:rsid w:val="00D22549"/>
    <w:rsid w:val="00D40A8A"/>
    <w:rsid w:val="00D657AE"/>
    <w:rsid w:val="00D712D4"/>
    <w:rsid w:val="00D752E8"/>
    <w:rsid w:val="00D8067F"/>
    <w:rsid w:val="00DE5845"/>
    <w:rsid w:val="00E00C69"/>
    <w:rsid w:val="00E20C1F"/>
    <w:rsid w:val="00E51418"/>
    <w:rsid w:val="00E62C18"/>
    <w:rsid w:val="00E76B08"/>
    <w:rsid w:val="00EA591A"/>
    <w:rsid w:val="00ED7714"/>
    <w:rsid w:val="00EE067B"/>
    <w:rsid w:val="00EE5CA6"/>
    <w:rsid w:val="00F842F1"/>
    <w:rsid w:val="00FD2C11"/>
    <w:rsid w:val="00FF4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47D83C"/>
  <w15:chartTrackingRefBased/>
  <w15:docId w15:val="{C6AA864F-AEE3-401F-9EBA-B21E944E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CF2605"/>
    <w:pPr>
      <w:autoSpaceDE w:val="0"/>
      <w:autoSpaceDN w:val="0"/>
      <w:adjustRightInd w:val="0"/>
      <w:jc w:val="both"/>
    </w:pPr>
    <w:rPr>
      <w:color w:val="000000"/>
      <w:sz w:val="24"/>
      <w:szCs w:val="24"/>
    </w:rPr>
  </w:style>
  <w:style w:type="character" w:customStyle="1" w:styleId="CorpodetextoChar">
    <w:name w:val="Corpo de texto Char"/>
    <w:link w:val="Corpodetexto"/>
    <w:semiHidden/>
    <w:rsid w:val="00CF2605"/>
    <w:rPr>
      <w:color w:val="000000"/>
      <w:sz w:val="24"/>
      <w:szCs w:val="24"/>
    </w:rPr>
  </w:style>
  <w:style w:type="paragraph" w:styleId="Legenda">
    <w:name w:val="caption"/>
    <w:basedOn w:val="Normal"/>
    <w:next w:val="Normal"/>
    <w:qFormat/>
    <w:rsid w:val="00BD5993"/>
    <w:rPr>
      <w:rFonts w:ascii="Arial" w:hAnsi="Arial"/>
      <w:sz w:val="24"/>
    </w:rPr>
  </w:style>
  <w:style w:type="character" w:styleId="Hyperlink">
    <w:name w:val="Hyperlink"/>
    <w:uiPriority w:val="99"/>
    <w:unhideWhenUsed/>
    <w:rsid w:val="00100689"/>
    <w:rPr>
      <w:color w:val="0000FF"/>
      <w:u w:val="single"/>
    </w:rPr>
  </w:style>
  <w:style w:type="character" w:customStyle="1" w:styleId="MenoPendente1">
    <w:name w:val="Menção Pendente1"/>
    <w:uiPriority w:val="99"/>
    <w:semiHidden/>
    <w:unhideWhenUsed/>
    <w:rsid w:val="001D400B"/>
    <w:rPr>
      <w:color w:val="605E5C"/>
      <w:shd w:val="clear" w:color="auto" w:fill="E1DFDD"/>
    </w:rPr>
  </w:style>
  <w:style w:type="character" w:customStyle="1" w:styleId="UnresolvedMention">
    <w:name w:val="Unresolved Mention"/>
    <w:basedOn w:val="Fontepargpadro"/>
    <w:uiPriority w:val="99"/>
    <w:semiHidden/>
    <w:unhideWhenUsed/>
    <w:rsid w:val="00D40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922038">
      <w:bodyDiv w:val="1"/>
      <w:marLeft w:val="0"/>
      <w:marRight w:val="0"/>
      <w:marTop w:val="0"/>
      <w:marBottom w:val="0"/>
      <w:divBdr>
        <w:top w:val="none" w:sz="0" w:space="0" w:color="auto"/>
        <w:left w:val="none" w:sz="0" w:space="0" w:color="auto"/>
        <w:bottom w:val="none" w:sz="0" w:space="0" w:color="auto"/>
        <w:right w:val="none" w:sz="0" w:space="0" w:color="auto"/>
      </w:divBdr>
      <w:divsChild>
        <w:div w:id="889997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1177</Words>
  <Characters>6360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CONSULTA PÚBLICA PARA REVISÃO DA PORTARIA ANP 248/99</vt:lpstr>
    </vt:vector>
  </TitlesOfParts>
  <Company>Anp</Company>
  <LinksUpToDate>false</LinksUpToDate>
  <CharactersWithSpaces>7522</CharactersWithSpaces>
  <SharedDoc>false</SharedDoc>
  <HLinks>
    <vt:vector size="6" baseType="variant">
      <vt:variant>
        <vt:i4>6291511</vt:i4>
      </vt:variant>
      <vt:variant>
        <vt:i4>0</vt:i4>
      </vt:variant>
      <vt:variant>
        <vt:i4>0</vt:i4>
      </vt:variant>
      <vt:variant>
        <vt:i4>5</vt:i4>
      </vt:variant>
      <vt:variant>
        <vt:lpwstr>mailto:res_nominacao@anp.gov.br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 PÚBLICA PARA REVISÃO DA PORTARIA ANP 248/99</dc:title>
  <dc:subject/>
  <dc:creator>Anp</dc:creator>
  <cp:keywords/>
  <cp:lastModifiedBy>Claudia</cp:lastModifiedBy>
  <cp:revision>3</cp:revision>
  <cp:lastPrinted>2010-12-28T17:08:00Z</cp:lastPrinted>
  <dcterms:created xsi:type="dcterms:W3CDTF">2020-11-19T00:04:00Z</dcterms:created>
  <dcterms:modified xsi:type="dcterms:W3CDTF">2020-11-19T00:04:00Z</dcterms:modified>
</cp:coreProperties>
</file>