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C6034" w14:textId="77777777" w:rsidR="00C13A89" w:rsidRDefault="00C13A89" w:rsidP="00482F43">
      <w:pPr>
        <w:jc w:val="center"/>
        <w:rPr>
          <w:b/>
          <w:sz w:val="32"/>
          <w:szCs w:val="32"/>
          <w:u w:val="single"/>
        </w:rPr>
      </w:pPr>
      <w:r w:rsidRPr="00FD2C11">
        <w:rPr>
          <w:b/>
          <w:sz w:val="32"/>
          <w:szCs w:val="32"/>
          <w:u w:val="single"/>
        </w:rPr>
        <w:t xml:space="preserve">ANEXO </w:t>
      </w:r>
    </w:p>
    <w:p w14:paraId="43F39643" w14:textId="77777777" w:rsidR="00076733" w:rsidRDefault="00076733" w:rsidP="00482F43">
      <w:pPr>
        <w:jc w:val="center"/>
        <w:rPr>
          <w:b/>
          <w:sz w:val="32"/>
          <w:szCs w:val="32"/>
        </w:rPr>
      </w:pPr>
    </w:p>
    <w:p w14:paraId="72D86D57" w14:textId="77777777" w:rsidR="001F74A0" w:rsidRPr="00FD2C11" w:rsidRDefault="00D60BA3" w:rsidP="00482F43">
      <w:pPr>
        <w:jc w:val="center"/>
        <w:rPr>
          <w:sz w:val="32"/>
          <w:szCs w:val="32"/>
        </w:rPr>
      </w:pPr>
      <w:r>
        <w:rPr>
          <w:noProof/>
          <w:sz w:val="26"/>
          <w:szCs w:val="26"/>
        </w:rPr>
        <w:object w:dxaOrig="1440" w:dyaOrig="1440" w14:anchorId="71D7D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9264;mso-position-vertical-relative:page" o:allowincell="f">
            <v:imagedata r:id="rId5" o:title=""/>
            <w10:wrap type="square" anchory="page"/>
          </v:shape>
          <o:OLEObject Type="Embed" ProgID="MSPhotoEd.3" ShapeID="_x0000_s1026" DrawAspect="Content" ObjectID="_1664094060" r:id="rId6"/>
        </w:object>
      </w:r>
      <w:r w:rsidR="00482F43" w:rsidRPr="00FD2C11">
        <w:rPr>
          <w:sz w:val="32"/>
          <w:szCs w:val="32"/>
        </w:rPr>
        <w:t>FORMULÁRIO DE COMENTÁRIOS E SUGESTÕES</w:t>
      </w:r>
    </w:p>
    <w:p w14:paraId="73E79D1C" w14:textId="77777777" w:rsidR="001F74A0" w:rsidRDefault="002808DC" w:rsidP="00BB004F">
      <w:pPr>
        <w:jc w:val="center"/>
        <w:rPr>
          <w:sz w:val="26"/>
          <w:szCs w:val="26"/>
        </w:rPr>
      </w:pPr>
      <w:r w:rsidRPr="00BE5929">
        <w:rPr>
          <w:sz w:val="26"/>
          <w:szCs w:val="26"/>
        </w:rPr>
        <w:t>CONSULTA PÚ</w:t>
      </w:r>
      <w:r w:rsidR="00482F43" w:rsidRPr="00BE5929">
        <w:rPr>
          <w:sz w:val="26"/>
          <w:szCs w:val="26"/>
        </w:rPr>
        <w:t>BLICA N°</w:t>
      </w:r>
      <w:r w:rsidR="00C13A89" w:rsidRPr="00BE5929">
        <w:rPr>
          <w:sz w:val="26"/>
          <w:szCs w:val="26"/>
        </w:rPr>
        <w:t xml:space="preserve"> </w:t>
      </w:r>
      <w:r w:rsidR="005B578F">
        <w:rPr>
          <w:sz w:val="26"/>
          <w:szCs w:val="26"/>
        </w:rPr>
        <w:t>01</w:t>
      </w:r>
      <w:r w:rsidR="00BE5929" w:rsidRPr="00BE5929">
        <w:rPr>
          <w:sz w:val="26"/>
          <w:szCs w:val="26"/>
        </w:rPr>
        <w:t>/20</w:t>
      </w:r>
      <w:r w:rsidR="00D144DA">
        <w:rPr>
          <w:sz w:val="26"/>
          <w:szCs w:val="26"/>
        </w:rPr>
        <w:t>20</w:t>
      </w:r>
      <w:r w:rsidR="00EE5CA6" w:rsidRPr="00BE5929">
        <w:rPr>
          <w:sz w:val="26"/>
          <w:szCs w:val="26"/>
        </w:rPr>
        <w:t xml:space="preserve"> </w:t>
      </w:r>
      <w:r w:rsidR="00482F43" w:rsidRPr="00307D0A">
        <w:rPr>
          <w:sz w:val="26"/>
          <w:szCs w:val="26"/>
        </w:rPr>
        <w:t xml:space="preserve">- </w:t>
      </w:r>
      <w:r w:rsidR="00EA591A">
        <w:rPr>
          <w:sz w:val="26"/>
          <w:szCs w:val="26"/>
        </w:rPr>
        <w:t>DE</w:t>
      </w:r>
      <w:r w:rsidR="00BB004F" w:rsidRPr="00307D0A">
        <w:rPr>
          <w:sz w:val="26"/>
          <w:szCs w:val="26"/>
        </w:rPr>
        <w:t xml:space="preserve"> </w:t>
      </w:r>
      <w:r w:rsidR="0068308F">
        <w:rPr>
          <w:sz w:val="26"/>
          <w:szCs w:val="26"/>
        </w:rPr>
        <w:t>14</w:t>
      </w:r>
      <w:r w:rsidR="00EE5CA6" w:rsidRPr="00307D0A">
        <w:rPr>
          <w:sz w:val="26"/>
          <w:szCs w:val="26"/>
        </w:rPr>
        <w:t>/</w:t>
      </w:r>
      <w:r w:rsidR="00D144DA">
        <w:rPr>
          <w:sz w:val="26"/>
          <w:szCs w:val="26"/>
        </w:rPr>
        <w:t>0</w:t>
      </w:r>
      <w:r w:rsidR="0068308F">
        <w:rPr>
          <w:sz w:val="26"/>
          <w:szCs w:val="26"/>
        </w:rPr>
        <w:t>8</w:t>
      </w:r>
      <w:r w:rsidR="00EE5CA6" w:rsidRPr="00307D0A">
        <w:rPr>
          <w:sz w:val="26"/>
          <w:szCs w:val="26"/>
        </w:rPr>
        <w:t>/20</w:t>
      </w:r>
      <w:r w:rsidR="00D144DA">
        <w:rPr>
          <w:sz w:val="26"/>
          <w:szCs w:val="26"/>
        </w:rPr>
        <w:t>20</w:t>
      </w:r>
      <w:r w:rsidR="00BB004F" w:rsidRPr="00307D0A">
        <w:rPr>
          <w:sz w:val="26"/>
          <w:szCs w:val="26"/>
        </w:rPr>
        <w:t xml:space="preserve"> </w:t>
      </w:r>
      <w:r w:rsidR="00C13A89" w:rsidRPr="00307D0A">
        <w:rPr>
          <w:sz w:val="26"/>
          <w:szCs w:val="26"/>
        </w:rPr>
        <w:t>a</w:t>
      </w:r>
      <w:r w:rsidR="00BB004F" w:rsidRPr="00307D0A">
        <w:rPr>
          <w:sz w:val="26"/>
          <w:szCs w:val="26"/>
        </w:rPr>
        <w:t xml:space="preserve"> </w:t>
      </w:r>
      <w:r w:rsidR="0068308F">
        <w:rPr>
          <w:sz w:val="26"/>
          <w:szCs w:val="26"/>
        </w:rPr>
        <w:t>13</w:t>
      </w:r>
      <w:r w:rsidR="00BB004F" w:rsidRPr="00307D0A">
        <w:rPr>
          <w:sz w:val="26"/>
          <w:szCs w:val="26"/>
        </w:rPr>
        <w:t>/</w:t>
      </w:r>
      <w:r w:rsidR="005B578F">
        <w:rPr>
          <w:sz w:val="26"/>
          <w:szCs w:val="26"/>
        </w:rPr>
        <w:t>1</w:t>
      </w:r>
      <w:r w:rsidR="00307D0A" w:rsidRPr="00307D0A">
        <w:rPr>
          <w:sz w:val="26"/>
          <w:szCs w:val="26"/>
        </w:rPr>
        <w:t>0</w:t>
      </w:r>
      <w:r w:rsidR="00BB004F" w:rsidRPr="00307D0A">
        <w:rPr>
          <w:sz w:val="26"/>
          <w:szCs w:val="26"/>
        </w:rPr>
        <w:t>/</w:t>
      </w:r>
      <w:r w:rsidR="00EE5CA6" w:rsidRPr="00307D0A">
        <w:rPr>
          <w:sz w:val="26"/>
          <w:szCs w:val="26"/>
        </w:rPr>
        <w:t>20</w:t>
      </w:r>
      <w:r w:rsidR="00C775A3" w:rsidRPr="00307D0A">
        <w:rPr>
          <w:sz w:val="26"/>
          <w:szCs w:val="26"/>
        </w:rPr>
        <w:t>20</w:t>
      </w:r>
    </w:p>
    <w:p w14:paraId="17833AC7" w14:textId="77777777" w:rsidR="00C13A89" w:rsidRPr="00BB004F" w:rsidRDefault="00C13A89" w:rsidP="00BB004F">
      <w:pPr>
        <w:jc w:val="center"/>
        <w:rPr>
          <w:sz w:val="26"/>
          <w:szCs w:val="26"/>
        </w:rPr>
      </w:pPr>
    </w:p>
    <w:p w14:paraId="2072A4A9" w14:textId="77777777" w:rsidR="001F74A0" w:rsidRDefault="00BD5993" w:rsidP="00D60BA3">
      <w:pPr>
        <w:ind w:left="1701"/>
        <w:jc w:val="center"/>
        <w:rPr>
          <w:sz w:val="26"/>
          <w:szCs w:val="26"/>
        </w:rPr>
      </w:pPr>
      <w:r>
        <w:rPr>
          <w:sz w:val="26"/>
          <w:szCs w:val="26"/>
        </w:rPr>
        <w:t>NOME</w:t>
      </w:r>
      <w:r w:rsidR="00C13A89">
        <w:rPr>
          <w:sz w:val="26"/>
          <w:szCs w:val="26"/>
        </w:rPr>
        <w:t>:</w:t>
      </w:r>
      <w:r w:rsidR="00076733">
        <w:rPr>
          <w:sz w:val="26"/>
          <w:szCs w:val="26"/>
        </w:rPr>
        <w:t xml:space="preserve"> SINDIGÁS</w:t>
      </w:r>
    </w:p>
    <w:p w14:paraId="69239BFE" w14:textId="77777777" w:rsidR="00100689" w:rsidRDefault="00100689" w:rsidP="00CF534B">
      <w:pPr>
        <w:ind w:left="4111"/>
        <w:jc w:val="center"/>
        <w:rPr>
          <w:sz w:val="26"/>
          <w:szCs w:val="26"/>
        </w:rPr>
      </w:pPr>
    </w:p>
    <w:p w14:paraId="16244CBF" w14:textId="77777777" w:rsidR="00100689" w:rsidRDefault="00100689" w:rsidP="00CF534B">
      <w:pPr>
        <w:ind w:left="4111"/>
        <w:jc w:val="center"/>
        <w:rPr>
          <w:sz w:val="26"/>
          <w:szCs w:val="26"/>
        </w:rPr>
      </w:pPr>
    </w:p>
    <w:tbl>
      <w:tblPr>
        <w:tblW w:w="14317" w:type="dxa"/>
        <w:tblInd w:w="-122" w:type="dxa"/>
        <w:tblCellMar>
          <w:left w:w="0" w:type="dxa"/>
          <w:right w:w="0" w:type="dxa"/>
        </w:tblCellMar>
        <w:tblLook w:val="0000" w:firstRow="0" w:lastRow="0" w:firstColumn="0" w:lastColumn="0" w:noHBand="0" w:noVBand="0"/>
      </w:tblPr>
      <w:tblGrid>
        <w:gridCol w:w="1702"/>
        <w:gridCol w:w="3260"/>
        <w:gridCol w:w="2196"/>
        <w:gridCol w:w="7159"/>
      </w:tblGrid>
      <w:tr w:rsidR="00BD5993" w14:paraId="0539BBB8" w14:textId="77777777" w:rsidTr="00CF534B">
        <w:trPr>
          <w:trHeight w:val="375"/>
        </w:trPr>
        <w:tc>
          <w:tcPr>
            <w:tcW w:w="7158" w:type="dxa"/>
            <w:gridSpan w:val="3"/>
            <w:tcBorders>
              <w:top w:val="single" w:sz="4" w:space="0" w:color="auto"/>
              <w:left w:val="single" w:sz="4" w:space="0" w:color="auto"/>
              <w:bottom w:val="single" w:sz="4" w:space="0" w:color="auto"/>
            </w:tcBorders>
            <w:shd w:val="clear" w:color="auto" w:fill="FFFFFF"/>
            <w:tcMar>
              <w:top w:w="20" w:type="dxa"/>
              <w:left w:w="20" w:type="dxa"/>
              <w:bottom w:w="0" w:type="dxa"/>
              <w:right w:w="20" w:type="dxa"/>
            </w:tcMar>
            <w:vAlign w:val="center"/>
          </w:tcPr>
          <w:p w14:paraId="09A0FD54" w14:textId="77777777" w:rsidR="00BD5993" w:rsidRPr="00BD5993" w:rsidRDefault="00BD5993" w:rsidP="00BD5993">
            <w:pPr>
              <w:pStyle w:val="Legenda"/>
              <w:jc w:val="both"/>
              <w:rPr>
                <w:rFonts w:cs="Arial"/>
                <w:color w:val="000000"/>
                <w:szCs w:val="24"/>
              </w:rPr>
            </w:pPr>
            <w:r>
              <w:rPr>
                <w:rFonts w:cs="Arial"/>
                <w:color w:val="000000"/>
                <w:szCs w:val="24"/>
              </w:rPr>
              <w:t xml:space="preserve">  </w:t>
            </w:r>
            <w:r w:rsidRPr="00BD5993">
              <w:rPr>
                <w:rFonts w:cs="Arial"/>
                <w:color w:val="000000"/>
                <w:szCs w:val="24"/>
              </w:rPr>
              <w:t xml:space="preserve">(  ) agente econômico </w:t>
            </w:r>
          </w:p>
          <w:p w14:paraId="00232D00" w14:textId="77777777" w:rsidR="00BD5993" w:rsidRPr="00BD5993" w:rsidRDefault="00BD5993" w:rsidP="00CF534B">
            <w:pPr>
              <w:rPr>
                <w:rFonts w:cs="Calibri"/>
                <w:color w:val="000000"/>
                <w:szCs w:val="24"/>
              </w:rPr>
            </w:pPr>
            <w:r>
              <w:rPr>
                <w:rFonts w:ascii="Arial" w:hAnsi="Arial" w:cs="Arial"/>
                <w:color w:val="000000"/>
                <w:sz w:val="24"/>
                <w:szCs w:val="24"/>
              </w:rPr>
              <w:t xml:space="preserve">  </w:t>
            </w:r>
            <w:r w:rsidRPr="00BD5993">
              <w:rPr>
                <w:rFonts w:ascii="Arial" w:hAnsi="Arial" w:cs="Arial"/>
                <w:color w:val="000000"/>
                <w:sz w:val="24"/>
                <w:szCs w:val="24"/>
              </w:rPr>
              <w:t>(  ) consumidor ou usuário</w:t>
            </w:r>
          </w:p>
        </w:tc>
        <w:tc>
          <w:tcPr>
            <w:tcW w:w="7159" w:type="dxa"/>
            <w:tcBorders>
              <w:top w:val="single" w:sz="4" w:space="0" w:color="auto"/>
              <w:bottom w:val="single" w:sz="4" w:space="0" w:color="auto"/>
              <w:right w:val="single" w:sz="4" w:space="0" w:color="auto"/>
            </w:tcBorders>
            <w:shd w:val="clear" w:color="auto" w:fill="FFFFFF"/>
            <w:vAlign w:val="center"/>
          </w:tcPr>
          <w:p w14:paraId="6082164A" w14:textId="77777777" w:rsidR="00BD5993" w:rsidRPr="00BD5993" w:rsidRDefault="00BD5993" w:rsidP="00BD5993">
            <w:pPr>
              <w:pStyle w:val="Legenda"/>
              <w:ind w:left="23"/>
              <w:jc w:val="both"/>
              <w:rPr>
                <w:rFonts w:cs="Arial"/>
                <w:color w:val="000000"/>
                <w:szCs w:val="24"/>
              </w:rPr>
            </w:pPr>
            <w:r>
              <w:rPr>
                <w:rFonts w:cs="Arial"/>
                <w:color w:val="000000"/>
                <w:szCs w:val="24"/>
              </w:rPr>
              <w:t xml:space="preserve">  </w:t>
            </w:r>
            <w:r w:rsidRPr="00BD5993">
              <w:rPr>
                <w:rFonts w:cs="Arial"/>
                <w:color w:val="000000"/>
                <w:szCs w:val="24"/>
              </w:rPr>
              <w:t>(</w:t>
            </w:r>
            <w:r w:rsidR="00076733">
              <w:rPr>
                <w:rFonts w:cs="Arial"/>
                <w:color w:val="000000"/>
                <w:szCs w:val="24"/>
              </w:rPr>
              <w:t>X</w:t>
            </w:r>
            <w:r w:rsidRPr="00BD5993">
              <w:rPr>
                <w:rFonts w:cs="Arial"/>
                <w:color w:val="000000"/>
                <w:szCs w:val="24"/>
              </w:rPr>
              <w:t>) representante órgão de classe ou associação</w:t>
            </w:r>
          </w:p>
          <w:p w14:paraId="799E050C" w14:textId="77777777" w:rsidR="00BD5993" w:rsidRPr="00BD5993" w:rsidRDefault="00BD5993" w:rsidP="00BD5993">
            <w:pPr>
              <w:pStyle w:val="Legenda"/>
              <w:ind w:left="23"/>
              <w:jc w:val="both"/>
              <w:rPr>
                <w:rFonts w:cs="Arial"/>
                <w:color w:val="000000"/>
                <w:szCs w:val="24"/>
              </w:rPr>
            </w:pPr>
            <w:r>
              <w:rPr>
                <w:rFonts w:cs="Arial"/>
                <w:color w:val="000000"/>
                <w:szCs w:val="24"/>
              </w:rPr>
              <w:t xml:space="preserve">  </w:t>
            </w:r>
            <w:r w:rsidRPr="00BD5993">
              <w:rPr>
                <w:rFonts w:cs="Arial"/>
                <w:color w:val="000000"/>
                <w:szCs w:val="24"/>
              </w:rPr>
              <w:t>(  ) representante de instituição governamental</w:t>
            </w:r>
          </w:p>
          <w:p w14:paraId="3E34A8BA" w14:textId="77777777" w:rsidR="00BD5993" w:rsidRPr="00BD5993" w:rsidRDefault="00BD5993" w:rsidP="00100689">
            <w:pPr>
              <w:rPr>
                <w:rFonts w:cs="Calibri"/>
                <w:color w:val="000000"/>
                <w:szCs w:val="24"/>
              </w:rPr>
            </w:pPr>
            <w:r>
              <w:rPr>
                <w:rFonts w:ascii="Arial" w:hAnsi="Arial" w:cs="Arial"/>
                <w:color w:val="000000"/>
                <w:sz w:val="24"/>
                <w:szCs w:val="24"/>
              </w:rPr>
              <w:t xml:space="preserve">  </w:t>
            </w:r>
            <w:r w:rsidRPr="00BD5993">
              <w:rPr>
                <w:rFonts w:ascii="Arial" w:hAnsi="Arial" w:cs="Arial"/>
                <w:color w:val="000000"/>
                <w:sz w:val="24"/>
                <w:szCs w:val="24"/>
              </w:rPr>
              <w:t>(  ) representante de órgãos de defesa do consumido</w:t>
            </w:r>
            <w:r>
              <w:rPr>
                <w:rFonts w:ascii="Arial" w:hAnsi="Arial" w:cs="Arial"/>
                <w:color w:val="000000"/>
                <w:sz w:val="24"/>
                <w:szCs w:val="24"/>
              </w:rPr>
              <w:t>r</w:t>
            </w:r>
          </w:p>
        </w:tc>
      </w:tr>
      <w:tr w:rsidR="004602FD" w14:paraId="31677DA0" w14:textId="77777777" w:rsidTr="00CF534B">
        <w:trPr>
          <w:trHeight w:val="375"/>
        </w:trPr>
        <w:tc>
          <w:tcPr>
            <w:tcW w:w="14317" w:type="dxa"/>
            <w:gridSpan w:val="4"/>
            <w:tcBorders>
              <w:top w:val="single" w:sz="4" w:space="0" w:color="auto"/>
              <w:left w:val="single" w:sz="4" w:space="0" w:color="auto"/>
              <w:bottom w:val="single" w:sz="4" w:space="0" w:color="auto"/>
              <w:right w:val="single" w:sz="4" w:space="0" w:color="auto"/>
            </w:tcBorders>
            <w:shd w:val="clear" w:color="auto" w:fill="70B56B"/>
            <w:tcMar>
              <w:top w:w="20" w:type="dxa"/>
              <w:left w:w="20" w:type="dxa"/>
              <w:bottom w:w="0" w:type="dxa"/>
              <w:right w:w="20" w:type="dxa"/>
            </w:tcMar>
            <w:vAlign w:val="center"/>
          </w:tcPr>
          <w:p w14:paraId="12E334A6" w14:textId="77777777" w:rsidR="00BB004F" w:rsidRPr="00BD5993" w:rsidRDefault="004602FD" w:rsidP="00BD5993">
            <w:pPr>
              <w:autoSpaceDE w:val="0"/>
              <w:autoSpaceDN w:val="0"/>
              <w:adjustRightInd w:val="0"/>
              <w:jc w:val="center"/>
              <w:rPr>
                <w:rFonts w:ascii="Arial" w:hAnsi="Arial" w:cs="Arial"/>
                <w:bCs/>
                <w:sz w:val="28"/>
                <w:szCs w:val="28"/>
              </w:rPr>
            </w:pPr>
            <w:r w:rsidRPr="00BB004F">
              <w:rPr>
                <w:rFonts w:ascii="Arial" w:hAnsi="Arial" w:cs="Arial"/>
                <w:bCs/>
                <w:sz w:val="28"/>
                <w:szCs w:val="28"/>
              </w:rPr>
              <w:t>C</w:t>
            </w:r>
            <w:r w:rsidR="000C742C" w:rsidRPr="00BB004F">
              <w:rPr>
                <w:rFonts w:ascii="Arial" w:hAnsi="Arial" w:cs="Arial"/>
                <w:bCs/>
                <w:sz w:val="28"/>
                <w:szCs w:val="28"/>
              </w:rPr>
              <w:t xml:space="preserve">onsulta Pública </w:t>
            </w:r>
            <w:r w:rsidR="00852D24">
              <w:rPr>
                <w:rFonts w:ascii="Arial" w:hAnsi="Arial" w:cs="Arial"/>
                <w:bCs/>
                <w:sz w:val="28"/>
                <w:szCs w:val="28"/>
              </w:rPr>
              <w:t xml:space="preserve">sobre </w:t>
            </w:r>
            <w:r w:rsidR="00543CD6" w:rsidRPr="00543CD6">
              <w:rPr>
                <w:rFonts w:ascii="Arial" w:hAnsi="Arial" w:cs="Arial"/>
                <w:bCs/>
                <w:sz w:val="28"/>
                <w:szCs w:val="28"/>
              </w:rPr>
              <w:t>proposta de regulamentação associada a</w:t>
            </w:r>
            <w:r w:rsidR="00D144DA">
              <w:rPr>
                <w:rFonts w:ascii="Arial" w:hAnsi="Arial" w:cs="Arial"/>
                <w:bCs/>
                <w:sz w:val="28"/>
                <w:szCs w:val="28"/>
              </w:rPr>
              <w:t xml:space="preserve">o </w:t>
            </w:r>
            <w:r w:rsidR="00D144DA" w:rsidRPr="00D144DA">
              <w:rPr>
                <w:rFonts w:ascii="Arial" w:hAnsi="Arial" w:cs="Arial"/>
                <w:bCs/>
                <w:sz w:val="28"/>
                <w:szCs w:val="28"/>
              </w:rPr>
              <w:t>acesso não discriminatório, por terceiros interessados, aos terminais aquaviários, existentes ou a serem construídos, para movimentação de petróleo, seus derivados e de biocombustíveis</w:t>
            </w:r>
            <w:r w:rsidR="00D144DA" w:rsidRPr="00543CD6">
              <w:rPr>
                <w:rFonts w:ascii="Arial" w:hAnsi="Arial" w:cs="Arial"/>
                <w:bCs/>
                <w:sz w:val="28"/>
                <w:szCs w:val="28"/>
              </w:rPr>
              <w:t xml:space="preserve"> </w:t>
            </w:r>
          </w:p>
        </w:tc>
      </w:tr>
      <w:tr w:rsidR="00C13A89" w14:paraId="39002FC3" w14:textId="77777777" w:rsidTr="00076733">
        <w:trPr>
          <w:trHeight w:val="330"/>
        </w:trPr>
        <w:tc>
          <w:tcPr>
            <w:tcW w:w="1702"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14:paraId="6A4B3B3D"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ARTIGO DA MINUTA</w:t>
            </w:r>
          </w:p>
        </w:tc>
        <w:tc>
          <w:tcPr>
            <w:tcW w:w="3260"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632C8460"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PROPOSTA DE ALTERAÇÃO</w:t>
            </w:r>
          </w:p>
        </w:tc>
        <w:tc>
          <w:tcPr>
            <w:tcW w:w="9355" w:type="dxa"/>
            <w:gridSpan w:val="2"/>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3DDF4253"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JUSTIFICATIVA</w:t>
            </w:r>
          </w:p>
        </w:tc>
      </w:tr>
      <w:tr w:rsidR="00C13A89" w14:paraId="4CA646C9" w14:textId="77777777" w:rsidTr="00076733">
        <w:trPr>
          <w:trHeight w:val="568"/>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7351BDD" w14:textId="77777777" w:rsidR="00C13A89" w:rsidRPr="007918A7" w:rsidRDefault="00C13A89" w:rsidP="000303C4">
            <w:pPr>
              <w:rPr>
                <w:rFonts w:ascii="Arial" w:eastAsia="Arial Unicode MS" w:hAnsi="Arial" w:cs="Arial"/>
                <w:b/>
                <w:bCs/>
                <w:color w:val="000000"/>
                <w:sz w:val="22"/>
                <w:szCs w:val="22"/>
              </w:rPr>
            </w:pPr>
            <w:r w:rsidRPr="007918A7">
              <w:rPr>
                <w:rFonts w:ascii="Arial" w:hAnsi="Arial" w:cs="Arial"/>
                <w:b/>
                <w:bCs/>
                <w:color w:val="000000"/>
                <w:sz w:val="22"/>
                <w:szCs w:val="22"/>
              </w:rPr>
              <w:t> </w:t>
            </w:r>
          </w:p>
          <w:p w14:paraId="2B7AC6D3" w14:textId="77777777" w:rsidR="00C13A89" w:rsidRPr="007918A7" w:rsidRDefault="00076733" w:rsidP="00076733">
            <w:pPr>
              <w:jc w:val="center"/>
              <w:rPr>
                <w:rFonts w:ascii="Arial" w:eastAsia="Arial Unicode MS" w:hAnsi="Arial" w:cs="Arial"/>
                <w:b/>
                <w:bCs/>
                <w:sz w:val="22"/>
                <w:szCs w:val="22"/>
              </w:rPr>
            </w:pPr>
            <w:r w:rsidRPr="007918A7">
              <w:rPr>
                <w:rFonts w:ascii="Arial" w:hAnsi="Arial" w:cs="Arial"/>
                <w:b/>
                <w:bCs/>
                <w:sz w:val="22"/>
                <w:szCs w:val="22"/>
              </w:rPr>
              <w:t>Comentários</w:t>
            </w:r>
          </w:p>
        </w:tc>
        <w:tc>
          <w:tcPr>
            <w:tcW w:w="32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02A68D1" w14:textId="77777777" w:rsidR="00C13A89" w:rsidRDefault="00C13A89" w:rsidP="000303C4">
            <w:pPr>
              <w:rPr>
                <w:rFonts w:ascii="Arial" w:eastAsia="Arial Unicode MS" w:hAnsi="Arial" w:cs="Arial"/>
                <w:sz w:val="24"/>
                <w:szCs w:val="24"/>
              </w:rPr>
            </w:pPr>
            <w:r>
              <w:rPr>
                <w:rFonts w:ascii="Arial" w:hAnsi="Arial" w:cs="Arial"/>
              </w:rPr>
              <w:t> </w:t>
            </w:r>
          </w:p>
        </w:tc>
        <w:tc>
          <w:tcPr>
            <w:tcW w:w="935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603DD70" w14:textId="77777777" w:rsidR="007918A7" w:rsidRDefault="00076733" w:rsidP="007E5A78">
            <w:pPr>
              <w:ind w:left="118" w:right="127"/>
              <w:jc w:val="both"/>
              <w:rPr>
                <w:rFonts w:ascii="Arial" w:hAnsi="Arial" w:cs="Arial"/>
                <w:sz w:val="22"/>
                <w:szCs w:val="22"/>
              </w:rPr>
            </w:pPr>
            <w:r w:rsidRPr="007918A7">
              <w:rPr>
                <w:rFonts w:ascii="Arial" w:hAnsi="Arial" w:cs="Arial"/>
                <w:sz w:val="22"/>
                <w:szCs w:val="22"/>
              </w:rPr>
              <w:t xml:space="preserve">O Sindigás, como entidade de classe que reúne diversas empresas distribuidoras de GLP, </w:t>
            </w:r>
            <w:r w:rsidR="007918A7" w:rsidRPr="007918A7">
              <w:rPr>
                <w:rFonts w:ascii="Arial" w:hAnsi="Arial" w:cs="Arial"/>
                <w:sz w:val="22"/>
                <w:szCs w:val="22"/>
              </w:rPr>
              <w:t>no espírito contributivo que norteia suas ações, principalmente buscando contribuir com a Consulta Pública ANP 01/2020, apresentará em sequência alguns pontos para análise da ANP, considerando inclusive reforçar pontos já apresentados na ocasião da</w:t>
            </w:r>
            <w:r w:rsidRPr="007918A7">
              <w:rPr>
                <w:rFonts w:ascii="Arial" w:hAnsi="Arial" w:cs="Arial"/>
                <w:sz w:val="22"/>
                <w:szCs w:val="22"/>
              </w:rPr>
              <w:t xml:space="preserve"> Consulta Prévia </w:t>
            </w:r>
            <w:r w:rsidR="00712EF1">
              <w:rPr>
                <w:rFonts w:ascii="Arial" w:hAnsi="Arial" w:cs="Arial"/>
                <w:sz w:val="22"/>
                <w:szCs w:val="22"/>
              </w:rPr>
              <w:t>da Agência</w:t>
            </w:r>
            <w:r w:rsidR="00712EF1" w:rsidRPr="007918A7">
              <w:rPr>
                <w:rFonts w:ascii="Arial" w:hAnsi="Arial" w:cs="Arial"/>
                <w:sz w:val="22"/>
                <w:szCs w:val="22"/>
              </w:rPr>
              <w:t xml:space="preserve"> </w:t>
            </w:r>
            <w:r w:rsidR="007918A7" w:rsidRPr="007918A7">
              <w:rPr>
                <w:rFonts w:ascii="Arial" w:hAnsi="Arial" w:cs="Arial"/>
                <w:sz w:val="22"/>
                <w:szCs w:val="22"/>
              </w:rPr>
              <w:t xml:space="preserve">sobre a </w:t>
            </w:r>
            <w:r w:rsidRPr="007918A7">
              <w:rPr>
                <w:rFonts w:ascii="Arial" w:hAnsi="Arial" w:cs="Arial"/>
                <w:sz w:val="22"/>
                <w:szCs w:val="22"/>
              </w:rPr>
              <w:t>R.ANP 251/2020</w:t>
            </w:r>
            <w:r w:rsidR="007918A7" w:rsidRPr="007918A7">
              <w:rPr>
                <w:rFonts w:ascii="Arial" w:hAnsi="Arial" w:cs="Arial"/>
                <w:sz w:val="22"/>
                <w:szCs w:val="22"/>
              </w:rPr>
              <w:t>.</w:t>
            </w:r>
          </w:p>
          <w:p w14:paraId="2D52DE6A" w14:textId="77777777" w:rsidR="003711DF" w:rsidRDefault="003711DF" w:rsidP="007E5A78">
            <w:pPr>
              <w:ind w:left="118" w:right="127"/>
              <w:jc w:val="both"/>
              <w:rPr>
                <w:rFonts w:ascii="Arial" w:hAnsi="Arial" w:cs="Arial"/>
                <w:sz w:val="22"/>
                <w:szCs w:val="22"/>
              </w:rPr>
            </w:pPr>
          </w:p>
          <w:p w14:paraId="5F2B6258" w14:textId="77777777" w:rsidR="003711DF" w:rsidRDefault="003711DF" w:rsidP="007E5A78">
            <w:pPr>
              <w:ind w:left="118" w:right="127"/>
              <w:jc w:val="both"/>
              <w:rPr>
                <w:rFonts w:ascii="Arial" w:hAnsi="Arial" w:cs="Arial"/>
                <w:sz w:val="22"/>
                <w:szCs w:val="22"/>
              </w:rPr>
            </w:pPr>
            <w:r>
              <w:rPr>
                <w:rFonts w:ascii="Arial" w:hAnsi="Arial" w:cs="Arial"/>
                <w:sz w:val="22"/>
                <w:szCs w:val="22"/>
              </w:rPr>
              <w:t>Os 3 principais pontos de nossa manifestação visam</w:t>
            </w:r>
            <w:r w:rsidR="00712EF1">
              <w:rPr>
                <w:rFonts w:ascii="Arial" w:hAnsi="Arial" w:cs="Arial"/>
                <w:sz w:val="22"/>
                <w:szCs w:val="22"/>
              </w:rPr>
              <w:t xml:space="preserve"> destacar que</w:t>
            </w:r>
            <w:r>
              <w:rPr>
                <w:rFonts w:ascii="Arial" w:hAnsi="Arial" w:cs="Arial"/>
                <w:sz w:val="22"/>
                <w:szCs w:val="22"/>
              </w:rPr>
              <w:t>:</w:t>
            </w:r>
          </w:p>
          <w:p w14:paraId="1E68C202" w14:textId="77777777" w:rsidR="00B10733" w:rsidRDefault="00B10733" w:rsidP="003711DF">
            <w:pPr>
              <w:numPr>
                <w:ilvl w:val="0"/>
                <w:numId w:val="4"/>
              </w:numPr>
              <w:ind w:right="127"/>
              <w:jc w:val="both"/>
              <w:rPr>
                <w:rFonts w:ascii="Arial" w:hAnsi="Arial" w:cs="Arial"/>
                <w:sz w:val="22"/>
                <w:szCs w:val="22"/>
              </w:rPr>
            </w:pPr>
            <w:r>
              <w:rPr>
                <w:rFonts w:ascii="Arial" w:hAnsi="Arial" w:cs="Arial"/>
                <w:sz w:val="22"/>
                <w:szCs w:val="22"/>
              </w:rPr>
              <w:t xml:space="preserve">A minuta proposta não pode apresentar uma só solução para todos os produtos derivados de petróleo que utilizam os Terminais. Cada produto </w:t>
            </w:r>
            <w:r w:rsidR="00712EF1">
              <w:rPr>
                <w:rFonts w:ascii="Arial" w:hAnsi="Arial" w:cs="Arial"/>
                <w:sz w:val="22"/>
                <w:szCs w:val="22"/>
              </w:rPr>
              <w:t>possui</w:t>
            </w:r>
            <w:r>
              <w:rPr>
                <w:rFonts w:ascii="Arial" w:hAnsi="Arial" w:cs="Arial"/>
                <w:sz w:val="22"/>
                <w:szCs w:val="22"/>
              </w:rPr>
              <w:t xml:space="preserve"> suas </w:t>
            </w:r>
            <w:r w:rsidR="00712EF1">
              <w:rPr>
                <w:rFonts w:ascii="Arial" w:hAnsi="Arial" w:cs="Arial"/>
                <w:sz w:val="22"/>
                <w:szCs w:val="22"/>
              </w:rPr>
              <w:t>especificidades</w:t>
            </w:r>
            <w:r>
              <w:rPr>
                <w:rFonts w:ascii="Arial" w:hAnsi="Arial" w:cs="Arial"/>
                <w:sz w:val="22"/>
                <w:szCs w:val="22"/>
              </w:rPr>
              <w:t xml:space="preserve"> na armazenagem e utilização dos Terminais;</w:t>
            </w:r>
          </w:p>
          <w:p w14:paraId="33E779C1" w14:textId="77777777" w:rsidR="003711DF" w:rsidRDefault="00712EF1" w:rsidP="003711DF">
            <w:pPr>
              <w:numPr>
                <w:ilvl w:val="0"/>
                <w:numId w:val="4"/>
              </w:numPr>
              <w:ind w:right="127"/>
              <w:jc w:val="both"/>
              <w:rPr>
                <w:rFonts w:ascii="Arial" w:hAnsi="Arial" w:cs="Arial"/>
                <w:sz w:val="22"/>
                <w:szCs w:val="22"/>
              </w:rPr>
            </w:pPr>
            <w:r>
              <w:rPr>
                <w:rFonts w:ascii="Arial" w:hAnsi="Arial" w:cs="Arial"/>
                <w:sz w:val="22"/>
                <w:szCs w:val="22"/>
              </w:rPr>
              <w:t>Necessidade de g</w:t>
            </w:r>
            <w:r w:rsidR="003711DF">
              <w:rPr>
                <w:rFonts w:ascii="Arial" w:hAnsi="Arial" w:cs="Arial"/>
                <w:sz w:val="22"/>
                <w:szCs w:val="22"/>
              </w:rPr>
              <w:t xml:space="preserve">arantir investimentos privados em </w:t>
            </w:r>
            <w:r w:rsidR="00B10733">
              <w:rPr>
                <w:rFonts w:ascii="Arial" w:hAnsi="Arial" w:cs="Arial"/>
                <w:sz w:val="22"/>
                <w:szCs w:val="22"/>
              </w:rPr>
              <w:t>infraestrutura</w:t>
            </w:r>
            <w:r w:rsidR="003711DF">
              <w:rPr>
                <w:rFonts w:ascii="Arial" w:hAnsi="Arial" w:cs="Arial"/>
                <w:sz w:val="22"/>
                <w:szCs w:val="22"/>
              </w:rPr>
              <w:t xml:space="preserve"> mediante uma </w:t>
            </w:r>
            <w:r w:rsidR="00B10733">
              <w:rPr>
                <w:rFonts w:ascii="Arial" w:hAnsi="Arial" w:cs="Arial"/>
                <w:sz w:val="22"/>
                <w:szCs w:val="22"/>
              </w:rPr>
              <w:t>estabilidade regulatória;</w:t>
            </w:r>
          </w:p>
          <w:p w14:paraId="5236AF56" w14:textId="77777777" w:rsidR="00B10733" w:rsidRDefault="00712EF1" w:rsidP="003711DF">
            <w:pPr>
              <w:numPr>
                <w:ilvl w:val="0"/>
                <w:numId w:val="4"/>
              </w:numPr>
              <w:ind w:right="127"/>
              <w:jc w:val="both"/>
              <w:rPr>
                <w:rFonts w:ascii="Arial" w:hAnsi="Arial" w:cs="Arial"/>
                <w:sz w:val="22"/>
                <w:szCs w:val="22"/>
              </w:rPr>
            </w:pPr>
            <w:r>
              <w:rPr>
                <w:rFonts w:ascii="Arial" w:hAnsi="Arial" w:cs="Arial"/>
                <w:sz w:val="22"/>
                <w:szCs w:val="22"/>
              </w:rPr>
              <w:t>Deve ser</w:t>
            </w:r>
            <w:r w:rsidR="00B10733">
              <w:rPr>
                <w:rFonts w:ascii="Arial" w:hAnsi="Arial" w:cs="Arial"/>
                <w:sz w:val="22"/>
                <w:szCs w:val="22"/>
              </w:rPr>
              <w:t xml:space="preserve"> realizada uma Análise de Impacto </w:t>
            </w:r>
            <w:r>
              <w:rPr>
                <w:rFonts w:ascii="Arial" w:hAnsi="Arial" w:cs="Arial"/>
                <w:sz w:val="22"/>
                <w:szCs w:val="22"/>
              </w:rPr>
              <w:t>Regulatório</w:t>
            </w:r>
            <w:r w:rsidR="00B10733">
              <w:rPr>
                <w:rFonts w:ascii="Arial" w:hAnsi="Arial" w:cs="Arial"/>
                <w:sz w:val="22"/>
                <w:szCs w:val="22"/>
              </w:rPr>
              <w:t xml:space="preserve"> (AIR) para se apurar se existe um problema em relação ao segmento do GLP e se a solução proposta é benéfica à sociedade;</w:t>
            </w:r>
          </w:p>
          <w:p w14:paraId="16F1685C" w14:textId="77777777" w:rsidR="007918A7" w:rsidRDefault="007918A7" w:rsidP="007E5A78">
            <w:pPr>
              <w:ind w:left="118" w:right="127"/>
              <w:jc w:val="both"/>
              <w:rPr>
                <w:rFonts w:ascii="Arial" w:hAnsi="Arial" w:cs="Arial"/>
                <w:sz w:val="22"/>
                <w:szCs w:val="22"/>
              </w:rPr>
            </w:pPr>
          </w:p>
          <w:p w14:paraId="463D5D66" w14:textId="77777777" w:rsidR="007918A7" w:rsidRDefault="007918A7" w:rsidP="007E5A78">
            <w:pPr>
              <w:ind w:left="118" w:right="127"/>
              <w:jc w:val="both"/>
              <w:rPr>
                <w:rFonts w:ascii="Arial" w:hAnsi="Arial" w:cs="Arial"/>
                <w:sz w:val="22"/>
                <w:szCs w:val="22"/>
              </w:rPr>
            </w:pPr>
            <w:r>
              <w:rPr>
                <w:rFonts w:ascii="Arial" w:hAnsi="Arial" w:cs="Arial"/>
                <w:sz w:val="22"/>
                <w:szCs w:val="22"/>
              </w:rPr>
              <w:t xml:space="preserve">Como apresentado por esta entidade, </w:t>
            </w:r>
            <w:r w:rsidRPr="007918A7">
              <w:rPr>
                <w:rFonts w:ascii="Arial" w:hAnsi="Arial" w:cs="Arial"/>
                <w:sz w:val="22"/>
                <w:szCs w:val="22"/>
              </w:rPr>
              <w:t>a construção do abastecimento nacional foi feito sob um monopólio estatal, convergente com</w:t>
            </w:r>
            <w:r>
              <w:rPr>
                <w:rFonts w:ascii="Arial" w:hAnsi="Arial" w:cs="Arial"/>
                <w:sz w:val="22"/>
                <w:szCs w:val="22"/>
              </w:rPr>
              <w:t xml:space="preserve"> </w:t>
            </w:r>
            <w:r w:rsidRPr="007918A7">
              <w:rPr>
                <w:rFonts w:ascii="Arial" w:hAnsi="Arial" w:cs="Arial"/>
                <w:sz w:val="22"/>
                <w:szCs w:val="22"/>
              </w:rPr>
              <w:t xml:space="preserve">políticas públicas de longa data. Como resultado o </w:t>
            </w:r>
            <w:r w:rsidRPr="007918A7">
              <w:rPr>
                <w:rFonts w:ascii="Arial" w:hAnsi="Arial" w:cs="Arial"/>
                <w:sz w:val="22"/>
                <w:szCs w:val="22"/>
              </w:rPr>
              <w:lastRenderedPageBreak/>
              <w:t>abastecimento primário dos terminais marítimos, para o caso de</w:t>
            </w:r>
            <w:r>
              <w:rPr>
                <w:rFonts w:ascii="Arial" w:hAnsi="Arial" w:cs="Arial"/>
                <w:sz w:val="22"/>
                <w:szCs w:val="22"/>
              </w:rPr>
              <w:t xml:space="preserve"> </w:t>
            </w:r>
            <w:r w:rsidRPr="007918A7">
              <w:rPr>
                <w:rFonts w:ascii="Arial" w:hAnsi="Arial" w:cs="Arial"/>
                <w:sz w:val="22"/>
                <w:szCs w:val="22"/>
              </w:rPr>
              <w:t>GLP, possui, na sua totalidade, baseado na capacidade instalada pela Petrobras/Transpetro/subsidiarias.</w:t>
            </w:r>
            <w:r>
              <w:rPr>
                <w:rFonts w:ascii="Arial" w:hAnsi="Arial" w:cs="Arial"/>
                <w:sz w:val="22"/>
                <w:szCs w:val="22"/>
              </w:rPr>
              <w:t xml:space="preserve"> </w:t>
            </w:r>
            <w:r w:rsidRPr="007918A7">
              <w:rPr>
                <w:rFonts w:ascii="Arial" w:hAnsi="Arial" w:cs="Arial"/>
                <w:sz w:val="22"/>
                <w:szCs w:val="22"/>
              </w:rPr>
              <w:t>Como</w:t>
            </w:r>
            <w:r>
              <w:rPr>
                <w:rFonts w:ascii="Arial" w:hAnsi="Arial" w:cs="Arial"/>
                <w:sz w:val="22"/>
                <w:szCs w:val="22"/>
              </w:rPr>
              <w:t xml:space="preserve"> </w:t>
            </w:r>
            <w:r w:rsidRPr="007918A7">
              <w:rPr>
                <w:rFonts w:ascii="Arial" w:hAnsi="Arial" w:cs="Arial"/>
                <w:sz w:val="22"/>
                <w:szCs w:val="22"/>
              </w:rPr>
              <w:t xml:space="preserve">consequência, </w:t>
            </w:r>
            <w:r>
              <w:rPr>
                <w:rFonts w:ascii="Arial" w:hAnsi="Arial" w:cs="Arial"/>
                <w:sz w:val="22"/>
                <w:szCs w:val="22"/>
              </w:rPr>
              <w:t>há dificuldades impostas as empresas privadas</w:t>
            </w:r>
            <w:r w:rsidRPr="007918A7">
              <w:rPr>
                <w:rFonts w:ascii="Arial" w:hAnsi="Arial" w:cs="Arial"/>
                <w:sz w:val="22"/>
                <w:szCs w:val="22"/>
              </w:rPr>
              <w:t>, que desejem entrar</w:t>
            </w:r>
            <w:r w:rsidR="00FD6325">
              <w:rPr>
                <w:rFonts w:ascii="Arial" w:hAnsi="Arial" w:cs="Arial"/>
                <w:sz w:val="22"/>
                <w:szCs w:val="22"/>
              </w:rPr>
              <w:t xml:space="preserve"> </w:t>
            </w:r>
            <w:r w:rsidRPr="007918A7">
              <w:rPr>
                <w:rFonts w:ascii="Arial" w:hAnsi="Arial" w:cs="Arial"/>
                <w:sz w:val="22"/>
                <w:szCs w:val="22"/>
              </w:rPr>
              <w:t>nesses mercados</w:t>
            </w:r>
            <w:r>
              <w:rPr>
                <w:rFonts w:ascii="Arial" w:hAnsi="Arial" w:cs="Arial"/>
                <w:sz w:val="22"/>
                <w:szCs w:val="22"/>
              </w:rPr>
              <w:t xml:space="preserve">. </w:t>
            </w:r>
          </w:p>
          <w:p w14:paraId="3B34F2F0" w14:textId="77777777" w:rsidR="007918A7" w:rsidRDefault="007918A7" w:rsidP="007E5A78">
            <w:pPr>
              <w:ind w:left="118" w:right="127"/>
              <w:jc w:val="both"/>
              <w:rPr>
                <w:rFonts w:ascii="Arial" w:hAnsi="Arial" w:cs="Arial"/>
                <w:sz w:val="22"/>
                <w:szCs w:val="22"/>
              </w:rPr>
            </w:pPr>
          </w:p>
          <w:p w14:paraId="7958B5B4" w14:textId="77777777" w:rsidR="00FD6325" w:rsidRDefault="00FD6325" w:rsidP="007E5A78">
            <w:pPr>
              <w:ind w:left="118" w:right="127"/>
              <w:jc w:val="both"/>
              <w:rPr>
                <w:rFonts w:ascii="Arial" w:hAnsi="Arial" w:cs="Arial"/>
                <w:sz w:val="22"/>
                <w:szCs w:val="22"/>
              </w:rPr>
            </w:pPr>
            <w:r>
              <w:rPr>
                <w:rFonts w:ascii="Arial" w:hAnsi="Arial" w:cs="Arial"/>
                <w:sz w:val="22"/>
                <w:szCs w:val="22"/>
              </w:rPr>
              <w:t>Consideramos ser d</w:t>
            </w:r>
            <w:r w:rsidR="007918A7" w:rsidRPr="007918A7">
              <w:rPr>
                <w:rFonts w:ascii="Arial" w:hAnsi="Arial" w:cs="Arial"/>
                <w:sz w:val="22"/>
                <w:szCs w:val="22"/>
              </w:rPr>
              <w:t>e suma importância</w:t>
            </w:r>
            <w:r>
              <w:rPr>
                <w:rFonts w:ascii="Arial" w:hAnsi="Arial" w:cs="Arial"/>
                <w:sz w:val="22"/>
                <w:szCs w:val="22"/>
              </w:rPr>
              <w:t xml:space="preserve"> que</w:t>
            </w:r>
            <w:r w:rsidR="007918A7" w:rsidRPr="007918A7">
              <w:rPr>
                <w:rFonts w:ascii="Arial" w:hAnsi="Arial" w:cs="Arial"/>
                <w:sz w:val="22"/>
                <w:szCs w:val="22"/>
              </w:rPr>
              <w:t xml:space="preserve"> marcos infralegais estabeleçam, nos terminais onde os investimentos privados sejam definidos como prioritários,</w:t>
            </w:r>
            <w:r>
              <w:rPr>
                <w:rFonts w:ascii="Arial" w:hAnsi="Arial" w:cs="Arial"/>
                <w:sz w:val="22"/>
                <w:szCs w:val="22"/>
              </w:rPr>
              <w:t xml:space="preserve"> </w:t>
            </w:r>
            <w:r w:rsidR="007918A7" w:rsidRPr="007918A7">
              <w:rPr>
                <w:rFonts w:ascii="Arial" w:hAnsi="Arial" w:cs="Arial"/>
                <w:sz w:val="22"/>
                <w:szCs w:val="22"/>
              </w:rPr>
              <w:t>um ambiente estimulante, competitivo e leal entre os novos agentes, a Petrobras e suas subsidiarias</w:t>
            </w:r>
            <w:r>
              <w:rPr>
                <w:rFonts w:ascii="Arial" w:hAnsi="Arial" w:cs="Arial"/>
                <w:sz w:val="22"/>
                <w:szCs w:val="22"/>
              </w:rPr>
              <w:t>.</w:t>
            </w:r>
          </w:p>
          <w:p w14:paraId="5B3FB665" w14:textId="77777777" w:rsidR="00FD6325" w:rsidRDefault="00FD6325" w:rsidP="007E5A78">
            <w:pPr>
              <w:ind w:left="118" w:right="127"/>
              <w:jc w:val="both"/>
              <w:rPr>
                <w:rFonts w:ascii="Arial" w:hAnsi="Arial" w:cs="Arial"/>
                <w:sz w:val="22"/>
                <w:szCs w:val="22"/>
              </w:rPr>
            </w:pPr>
          </w:p>
          <w:p w14:paraId="36453235" w14:textId="77777777" w:rsidR="00FD6325" w:rsidRDefault="00FD6325" w:rsidP="007E5A78">
            <w:pPr>
              <w:ind w:left="118" w:right="127"/>
              <w:jc w:val="both"/>
              <w:rPr>
                <w:rFonts w:ascii="Arial" w:hAnsi="Arial" w:cs="Arial"/>
                <w:sz w:val="22"/>
                <w:szCs w:val="22"/>
              </w:rPr>
            </w:pPr>
            <w:r>
              <w:rPr>
                <w:rFonts w:ascii="Arial" w:hAnsi="Arial" w:cs="Arial"/>
                <w:sz w:val="22"/>
                <w:szCs w:val="22"/>
              </w:rPr>
              <w:t>Nesse sentido, apresentamos que existe grande preocupação quanto ao abastecimento nacional e atração de capital privado, quando observamos que os debates relacionados à norma 251/2020 e propostas de revisão buscam prever, por parte da ANP, situações futuras, ainda incertas e, consequentemente, impossíveis de serem realizadas. Assim, resulta apenas em afugentar o capital privado e instauração de maior insegurança jurídica e regulatória quanto ao tema em comento.</w:t>
            </w:r>
          </w:p>
          <w:p w14:paraId="17A3FC37" w14:textId="77777777" w:rsidR="00FD6325" w:rsidRDefault="00FD6325" w:rsidP="007E5A78">
            <w:pPr>
              <w:ind w:left="118" w:right="127"/>
              <w:jc w:val="both"/>
              <w:rPr>
                <w:rFonts w:ascii="Arial" w:hAnsi="Arial" w:cs="Arial"/>
                <w:sz w:val="22"/>
                <w:szCs w:val="22"/>
              </w:rPr>
            </w:pPr>
          </w:p>
          <w:p w14:paraId="090F7F1C" w14:textId="77777777" w:rsidR="00FD6325" w:rsidRDefault="00C16410" w:rsidP="007E5A78">
            <w:pPr>
              <w:ind w:left="118" w:right="127"/>
              <w:jc w:val="both"/>
              <w:rPr>
                <w:rFonts w:ascii="Arial" w:hAnsi="Arial" w:cs="Arial"/>
                <w:sz w:val="22"/>
                <w:szCs w:val="22"/>
              </w:rPr>
            </w:pPr>
            <w:r>
              <w:rPr>
                <w:rFonts w:ascii="Arial" w:hAnsi="Arial" w:cs="Arial"/>
                <w:sz w:val="22"/>
                <w:szCs w:val="22"/>
              </w:rPr>
              <w:t xml:space="preserve">Consideramos que as medidas propostas pela ANP podem resultar que os investimentos necessários no </w:t>
            </w:r>
            <w:r w:rsidRPr="00A67471">
              <w:rPr>
                <w:rFonts w:ascii="Arial" w:hAnsi="Arial" w:cs="Arial"/>
                <w:i/>
                <w:iCs/>
                <w:sz w:val="22"/>
                <w:szCs w:val="22"/>
              </w:rPr>
              <w:t>midstream</w:t>
            </w:r>
            <w:r>
              <w:rPr>
                <w:rFonts w:ascii="Arial" w:hAnsi="Arial" w:cs="Arial"/>
                <w:sz w:val="22"/>
                <w:szCs w:val="22"/>
              </w:rPr>
              <w:t xml:space="preserve"> não ocorram, sendo necessário na realidade que a ANP incentive atração de investimento, atração do capital privado, que somente se dará com transparência, previsibilidade e segurança jurídica/regulatória.</w:t>
            </w:r>
          </w:p>
          <w:p w14:paraId="328C0055" w14:textId="77777777" w:rsidR="00C16410" w:rsidRDefault="00C16410" w:rsidP="007E5A78">
            <w:pPr>
              <w:ind w:left="118" w:right="127"/>
              <w:jc w:val="both"/>
              <w:rPr>
                <w:rFonts w:ascii="Arial" w:hAnsi="Arial" w:cs="Arial"/>
                <w:sz w:val="22"/>
                <w:szCs w:val="22"/>
              </w:rPr>
            </w:pPr>
          </w:p>
          <w:p w14:paraId="3FF58855" w14:textId="77777777" w:rsidR="009243D6" w:rsidRPr="00055A20" w:rsidRDefault="00C16410" w:rsidP="007E5A78">
            <w:pPr>
              <w:ind w:left="118" w:right="127"/>
              <w:jc w:val="both"/>
              <w:rPr>
                <w:rFonts w:ascii="Arial" w:hAnsi="Arial" w:cs="Arial"/>
                <w:sz w:val="22"/>
                <w:szCs w:val="22"/>
              </w:rPr>
            </w:pPr>
            <w:r>
              <w:rPr>
                <w:rFonts w:ascii="Arial" w:hAnsi="Arial" w:cs="Arial"/>
                <w:sz w:val="22"/>
                <w:szCs w:val="22"/>
              </w:rPr>
              <w:t xml:space="preserve">Vale ainda destacar que, no caso do GLP, não existindo situação de sobreoferta, não há possibilidade de se discutir critérios de </w:t>
            </w:r>
            <w:r w:rsidR="00D1059E">
              <w:rPr>
                <w:rFonts w:ascii="Arial" w:hAnsi="Arial" w:cs="Arial"/>
                <w:sz w:val="22"/>
                <w:szCs w:val="22"/>
              </w:rPr>
              <w:t>o</w:t>
            </w:r>
            <w:r w:rsidR="00D1059E" w:rsidRPr="00D1059E">
              <w:rPr>
                <w:rFonts w:ascii="Arial" w:hAnsi="Arial" w:cs="Arial"/>
                <w:i/>
                <w:iCs/>
                <w:sz w:val="22"/>
                <w:szCs w:val="22"/>
              </w:rPr>
              <w:t>p</w:t>
            </w:r>
            <w:r w:rsidRPr="00D1059E">
              <w:rPr>
                <w:rFonts w:ascii="Arial" w:hAnsi="Arial" w:cs="Arial"/>
                <w:i/>
                <w:iCs/>
                <w:sz w:val="22"/>
                <w:szCs w:val="22"/>
              </w:rPr>
              <w:t xml:space="preserve">en </w:t>
            </w:r>
            <w:r w:rsidR="00D1059E">
              <w:rPr>
                <w:rFonts w:ascii="Arial" w:hAnsi="Arial" w:cs="Arial"/>
                <w:i/>
                <w:iCs/>
                <w:sz w:val="22"/>
                <w:szCs w:val="22"/>
              </w:rPr>
              <w:t>a</w:t>
            </w:r>
            <w:r w:rsidRPr="00D1059E">
              <w:rPr>
                <w:rFonts w:ascii="Arial" w:hAnsi="Arial" w:cs="Arial"/>
                <w:i/>
                <w:iCs/>
                <w:sz w:val="22"/>
                <w:szCs w:val="22"/>
              </w:rPr>
              <w:t>ccess</w:t>
            </w:r>
            <w:r w:rsidR="00D1059E">
              <w:rPr>
                <w:rFonts w:ascii="Arial" w:hAnsi="Arial" w:cs="Arial"/>
                <w:i/>
                <w:iCs/>
                <w:sz w:val="22"/>
                <w:szCs w:val="22"/>
              </w:rPr>
              <w:t xml:space="preserve"> </w:t>
            </w:r>
            <w:r w:rsidR="00D1059E">
              <w:rPr>
                <w:rFonts w:ascii="Arial" w:hAnsi="Arial" w:cs="Arial"/>
                <w:sz w:val="22"/>
                <w:szCs w:val="22"/>
              </w:rPr>
              <w:t xml:space="preserve">e </w:t>
            </w:r>
            <w:r w:rsidR="009243D6">
              <w:rPr>
                <w:rFonts w:ascii="Arial" w:hAnsi="Arial" w:cs="Arial"/>
                <w:sz w:val="22"/>
                <w:szCs w:val="22"/>
              </w:rPr>
              <w:t xml:space="preserve">ociosidade, que tratados pela norma somente servem como forma de afastar atração de capital privado. Isto porque primeiro, deve-se superar o déficit operacional existente e a partir daí, debater e analisar caso a caso. Contudo, quando se normatiza sem análise de casos concretos, os riscos instaurados pela </w:t>
            </w:r>
            <w:r w:rsidR="009243D6" w:rsidRPr="00055A20">
              <w:rPr>
                <w:rFonts w:ascii="Arial" w:hAnsi="Arial" w:cs="Arial"/>
                <w:sz w:val="22"/>
                <w:szCs w:val="22"/>
              </w:rPr>
              <w:t>falta de motivação apenas afastam os investimentos.</w:t>
            </w:r>
          </w:p>
          <w:p w14:paraId="497BFB59" w14:textId="77777777" w:rsidR="009243D6" w:rsidRPr="00D60BA3" w:rsidRDefault="009243D6" w:rsidP="007E5A78">
            <w:pPr>
              <w:ind w:left="118" w:right="127"/>
              <w:jc w:val="both"/>
              <w:rPr>
                <w:rFonts w:ascii="Arial" w:hAnsi="Arial" w:cs="Arial"/>
                <w:sz w:val="22"/>
                <w:szCs w:val="22"/>
              </w:rPr>
            </w:pPr>
          </w:p>
          <w:p w14:paraId="34665056" w14:textId="77777777" w:rsidR="00712EF1" w:rsidRPr="00D60BA3" w:rsidRDefault="00A67471" w:rsidP="007E5A78">
            <w:pPr>
              <w:ind w:left="118" w:right="127"/>
              <w:jc w:val="both"/>
              <w:rPr>
                <w:rFonts w:ascii="Arial" w:hAnsi="Arial" w:cs="Arial"/>
                <w:sz w:val="22"/>
                <w:szCs w:val="22"/>
              </w:rPr>
            </w:pPr>
            <w:r w:rsidRPr="00D60BA3">
              <w:rPr>
                <w:rFonts w:ascii="Arial" w:hAnsi="Arial" w:cs="Arial"/>
                <w:sz w:val="22"/>
                <w:szCs w:val="22"/>
              </w:rPr>
              <w:t>Reforçamos a preocupação do setor de que o GLP esteja sendo tratado como</w:t>
            </w:r>
            <w:r w:rsidR="00873D18" w:rsidRPr="00D60BA3">
              <w:rPr>
                <w:rFonts w:ascii="Arial" w:hAnsi="Arial" w:cs="Arial"/>
                <w:sz w:val="22"/>
                <w:szCs w:val="22"/>
              </w:rPr>
              <w:t xml:space="preserve"> os demais produtos regulados por essa </w:t>
            </w:r>
            <w:r w:rsidR="009137B5" w:rsidRPr="00D60BA3">
              <w:rPr>
                <w:rFonts w:ascii="Arial" w:hAnsi="Arial" w:cs="Arial"/>
                <w:sz w:val="22"/>
                <w:szCs w:val="22"/>
              </w:rPr>
              <w:t>A</w:t>
            </w:r>
            <w:r w:rsidR="00873D18" w:rsidRPr="00D60BA3">
              <w:rPr>
                <w:rFonts w:ascii="Arial" w:hAnsi="Arial" w:cs="Arial"/>
                <w:sz w:val="22"/>
                <w:szCs w:val="22"/>
              </w:rPr>
              <w:t>gência</w:t>
            </w:r>
            <w:r w:rsidRPr="00D60BA3">
              <w:rPr>
                <w:rFonts w:ascii="Arial" w:hAnsi="Arial" w:cs="Arial"/>
                <w:sz w:val="22"/>
                <w:szCs w:val="22"/>
              </w:rPr>
              <w:t>. Na verdade observa-se que todos os combustíveis são tratados em bloco, sem considerar suas peculiaridades.</w:t>
            </w:r>
            <w:r w:rsidR="007E0C44" w:rsidRPr="00D60BA3">
              <w:rPr>
                <w:rFonts w:ascii="Arial" w:hAnsi="Arial" w:cs="Arial"/>
                <w:sz w:val="22"/>
                <w:szCs w:val="22"/>
              </w:rPr>
              <w:t xml:space="preserve"> Podemos citar como exemplo que no caso do GLP, em relação a capacidade do terminal/disponibilidade, a capacidade nominal instalada</w:t>
            </w:r>
            <w:r w:rsidR="00E80D44" w:rsidRPr="00D60BA3">
              <w:rPr>
                <w:rFonts w:ascii="Arial" w:hAnsi="Arial" w:cs="Arial"/>
                <w:sz w:val="22"/>
                <w:szCs w:val="22"/>
              </w:rPr>
              <w:t xml:space="preserve"> está </w:t>
            </w:r>
            <w:r w:rsidR="003D583C" w:rsidRPr="00D60BA3">
              <w:rPr>
                <w:rFonts w:ascii="Arial" w:hAnsi="Arial" w:cs="Arial"/>
                <w:sz w:val="22"/>
                <w:szCs w:val="22"/>
              </w:rPr>
              <w:t xml:space="preserve">compatível ao modelo de mercado atual, em que a Petrobras </w:t>
            </w:r>
            <w:r w:rsidR="007E60DA" w:rsidRPr="00D60BA3">
              <w:rPr>
                <w:rFonts w:ascii="Arial" w:hAnsi="Arial" w:cs="Arial"/>
                <w:sz w:val="22"/>
                <w:szCs w:val="22"/>
              </w:rPr>
              <w:t xml:space="preserve">assume a logística </w:t>
            </w:r>
            <w:r w:rsidR="00420B5E" w:rsidRPr="00D60BA3">
              <w:rPr>
                <w:rFonts w:ascii="Arial" w:hAnsi="Arial" w:cs="Arial"/>
                <w:sz w:val="22"/>
                <w:szCs w:val="22"/>
              </w:rPr>
              <w:t xml:space="preserve">baseada em ciclos menores de </w:t>
            </w:r>
            <w:r w:rsidR="00453DA3" w:rsidRPr="00D60BA3">
              <w:rPr>
                <w:rFonts w:ascii="Arial" w:hAnsi="Arial" w:cs="Arial"/>
                <w:sz w:val="22"/>
                <w:szCs w:val="22"/>
              </w:rPr>
              <w:t>ressuprimento</w:t>
            </w:r>
            <w:r w:rsidR="00420B5E" w:rsidRPr="00D60BA3">
              <w:rPr>
                <w:rFonts w:ascii="Arial" w:hAnsi="Arial" w:cs="Arial"/>
                <w:sz w:val="22"/>
                <w:szCs w:val="22"/>
              </w:rPr>
              <w:t>.</w:t>
            </w:r>
            <w:r w:rsidR="00DD5C2E" w:rsidRPr="00D60BA3">
              <w:rPr>
                <w:rFonts w:ascii="Arial" w:hAnsi="Arial" w:cs="Arial"/>
                <w:sz w:val="22"/>
                <w:szCs w:val="22"/>
              </w:rPr>
              <w:t xml:space="preserve"> Esse modelo de negócio há muito não mais </w:t>
            </w:r>
            <w:r w:rsidR="002F0332" w:rsidRPr="00D60BA3">
              <w:rPr>
                <w:rFonts w:ascii="Arial" w:hAnsi="Arial" w:cs="Arial"/>
                <w:sz w:val="22"/>
                <w:szCs w:val="22"/>
              </w:rPr>
              <w:t>se aplica, por exemplo, para a gasolina</w:t>
            </w:r>
            <w:r w:rsidR="00382DF3" w:rsidRPr="00D60BA3">
              <w:rPr>
                <w:rFonts w:ascii="Arial" w:hAnsi="Arial" w:cs="Arial"/>
                <w:sz w:val="22"/>
                <w:szCs w:val="22"/>
              </w:rPr>
              <w:t xml:space="preserve">, </w:t>
            </w:r>
            <w:r w:rsidR="00A20602" w:rsidRPr="00D60BA3">
              <w:rPr>
                <w:rFonts w:ascii="Arial" w:hAnsi="Arial" w:cs="Arial"/>
                <w:sz w:val="22"/>
                <w:szCs w:val="22"/>
              </w:rPr>
              <w:t>produto</w:t>
            </w:r>
            <w:r w:rsidR="00382DF3" w:rsidRPr="00D60BA3">
              <w:rPr>
                <w:rFonts w:ascii="Arial" w:hAnsi="Arial" w:cs="Arial"/>
                <w:sz w:val="22"/>
                <w:szCs w:val="22"/>
              </w:rPr>
              <w:t xml:space="preserve"> para o qual</w:t>
            </w:r>
            <w:r w:rsidR="00420B5E" w:rsidRPr="00D60BA3">
              <w:rPr>
                <w:rFonts w:ascii="Arial" w:hAnsi="Arial" w:cs="Arial"/>
                <w:sz w:val="22"/>
                <w:szCs w:val="22"/>
              </w:rPr>
              <w:t xml:space="preserve"> </w:t>
            </w:r>
            <w:r w:rsidR="00A20602" w:rsidRPr="00D60BA3">
              <w:rPr>
                <w:rFonts w:ascii="Arial" w:hAnsi="Arial" w:cs="Arial"/>
                <w:sz w:val="22"/>
                <w:szCs w:val="22"/>
              </w:rPr>
              <w:t xml:space="preserve">o mercado já </w:t>
            </w:r>
            <w:r w:rsidR="00AB5AD1" w:rsidRPr="00D60BA3">
              <w:rPr>
                <w:rFonts w:ascii="Arial" w:hAnsi="Arial" w:cs="Arial"/>
                <w:sz w:val="22"/>
                <w:szCs w:val="22"/>
              </w:rPr>
              <w:t xml:space="preserve">conta </w:t>
            </w:r>
            <w:r w:rsidR="00AC0576" w:rsidRPr="00D60BA3">
              <w:rPr>
                <w:rFonts w:ascii="Arial" w:hAnsi="Arial" w:cs="Arial"/>
                <w:sz w:val="22"/>
                <w:szCs w:val="22"/>
              </w:rPr>
              <w:t>com maior estrutura de armazenamento</w:t>
            </w:r>
            <w:r w:rsidR="007E0C44" w:rsidRPr="00D60BA3">
              <w:rPr>
                <w:rFonts w:ascii="Arial" w:hAnsi="Arial" w:cs="Arial"/>
                <w:sz w:val="22"/>
                <w:szCs w:val="22"/>
              </w:rPr>
              <w:t>.</w:t>
            </w:r>
            <w:r w:rsidRPr="00D60BA3">
              <w:rPr>
                <w:rFonts w:ascii="Arial" w:hAnsi="Arial" w:cs="Arial"/>
                <w:sz w:val="22"/>
                <w:szCs w:val="22"/>
              </w:rPr>
              <w:t xml:space="preserve"> </w:t>
            </w:r>
          </w:p>
          <w:p w14:paraId="5424C643" w14:textId="77777777" w:rsidR="00712EF1" w:rsidRDefault="00712EF1" w:rsidP="007E5A78">
            <w:pPr>
              <w:ind w:left="118" w:right="127"/>
              <w:jc w:val="both"/>
              <w:rPr>
                <w:rFonts w:ascii="Arial" w:hAnsi="Arial" w:cs="Arial"/>
                <w:sz w:val="22"/>
                <w:szCs w:val="22"/>
              </w:rPr>
            </w:pPr>
          </w:p>
          <w:p w14:paraId="21D6DC12" w14:textId="77777777" w:rsidR="003711DF" w:rsidRPr="00055A20" w:rsidRDefault="003711DF" w:rsidP="00712EF1">
            <w:pPr>
              <w:ind w:left="118" w:right="127"/>
              <w:jc w:val="both"/>
              <w:rPr>
                <w:rFonts w:ascii="Arial" w:hAnsi="Arial" w:cs="Arial"/>
                <w:sz w:val="22"/>
                <w:szCs w:val="22"/>
              </w:rPr>
            </w:pPr>
            <w:r>
              <w:rPr>
                <w:rFonts w:ascii="Arial" w:hAnsi="Arial" w:cs="Arial"/>
                <w:sz w:val="22"/>
                <w:szCs w:val="22"/>
              </w:rPr>
              <w:lastRenderedPageBreak/>
              <w:t>Em virtude das características do Setor de GLP</w:t>
            </w:r>
            <w:r w:rsidR="006921EA">
              <w:rPr>
                <w:rFonts w:ascii="Arial" w:hAnsi="Arial" w:cs="Arial"/>
                <w:sz w:val="22"/>
                <w:szCs w:val="22"/>
              </w:rPr>
              <w:t xml:space="preserve"> e</w:t>
            </w:r>
            <w:r>
              <w:rPr>
                <w:rFonts w:ascii="Arial" w:hAnsi="Arial" w:cs="Arial"/>
                <w:sz w:val="22"/>
                <w:szCs w:val="22"/>
              </w:rPr>
              <w:t xml:space="preserve"> suas particularidades</w:t>
            </w:r>
            <w:r w:rsidR="006921EA">
              <w:rPr>
                <w:rFonts w:ascii="Arial" w:hAnsi="Arial" w:cs="Arial"/>
                <w:sz w:val="22"/>
                <w:szCs w:val="22"/>
              </w:rPr>
              <w:t>,</w:t>
            </w:r>
            <w:r>
              <w:rPr>
                <w:rFonts w:ascii="Arial" w:hAnsi="Arial" w:cs="Arial"/>
                <w:sz w:val="22"/>
                <w:szCs w:val="22"/>
              </w:rPr>
              <w:t xml:space="preserve"> onde, atualmente, 100% do suprimento nacional é </w:t>
            </w:r>
            <w:r w:rsidR="00712EF1">
              <w:rPr>
                <w:rFonts w:ascii="Arial" w:hAnsi="Arial" w:cs="Arial"/>
                <w:sz w:val="22"/>
                <w:szCs w:val="22"/>
              </w:rPr>
              <w:t>garantido</w:t>
            </w:r>
            <w:r>
              <w:rPr>
                <w:rFonts w:ascii="Arial" w:hAnsi="Arial" w:cs="Arial"/>
                <w:sz w:val="22"/>
                <w:szCs w:val="22"/>
              </w:rPr>
              <w:t xml:space="preserve"> pela Petrobras que opera, por si ou pela Transpetro, os Terminais existentes, fato que torna o segmento de GLP ainda mais excepcional</w:t>
            </w:r>
            <w:r w:rsidR="00712EF1">
              <w:rPr>
                <w:rFonts w:ascii="Arial" w:hAnsi="Arial" w:cs="Arial"/>
                <w:sz w:val="22"/>
                <w:szCs w:val="22"/>
              </w:rPr>
              <w:t>. Assim, e</w:t>
            </w:r>
            <w:r>
              <w:rPr>
                <w:rFonts w:ascii="Arial" w:hAnsi="Arial" w:cs="Arial"/>
                <w:sz w:val="22"/>
                <w:szCs w:val="22"/>
              </w:rPr>
              <w:t>ntendemos que o segmento de GLP deve ser tratado de forma separada</w:t>
            </w:r>
            <w:r w:rsidR="00712EF1">
              <w:rPr>
                <w:rFonts w:ascii="Arial" w:hAnsi="Arial" w:cs="Arial"/>
                <w:sz w:val="22"/>
                <w:szCs w:val="22"/>
              </w:rPr>
              <w:t>,</w:t>
            </w:r>
            <w:r>
              <w:rPr>
                <w:rFonts w:ascii="Arial" w:hAnsi="Arial" w:cs="Arial"/>
                <w:sz w:val="22"/>
                <w:szCs w:val="22"/>
              </w:rPr>
              <w:t xml:space="preserve"> em um outro momento que não nesta revisão, garantindo, neste primeiro momento em que se experimenta o desinvestimento da Petrobras e a possibilidade de operadores de Terminais atuarem no segmento</w:t>
            </w:r>
            <w:r w:rsidR="006921EA">
              <w:rPr>
                <w:rFonts w:ascii="Arial" w:hAnsi="Arial" w:cs="Arial"/>
                <w:sz w:val="22"/>
                <w:szCs w:val="22"/>
              </w:rPr>
              <w:t xml:space="preserve"> de GLP</w:t>
            </w:r>
            <w:r>
              <w:rPr>
                <w:rFonts w:ascii="Arial" w:hAnsi="Arial" w:cs="Arial"/>
                <w:sz w:val="22"/>
                <w:szCs w:val="22"/>
              </w:rPr>
              <w:t>, que investimentos se realizem sem as condicionantes existentes na minuta sob consulta</w:t>
            </w:r>
            <w:r w:rsidR="006921EA">
              <w:rPr>
                <w:rFonts w:ascii="Arial" w:hAnsi="Arial" w:cs="Arial"/>
                <w:sz w:val="22"/>
                <w:szCs w:val="22"/>
              </w:rPr>
              <w:t>, excepcionando o GLP</w:t>
            </w:r>
            <w:r w:rsidR="00712EF1">
              <w:rPr>
                <w:rFonts w:ascii="Arial" w:hAnsi="Arial" w:cs="Arial"/>
                <w:sz w:val="22"/>
                <w:szCs w:val="22"/>
              </w:rPr>
              <w:t>.</w:t>
            </w:r>
            <w:r>
              <w:rPr>
                <w:rFonts w:ascii="Arial" w:hAnsi="Arial" w:cs="Arial"/>
                <w:sz w:val="22"/>
                <w:szCs w:val="22"/>
              </w:rPr>
              <w:t xml:space="preserve"> </w:t>
            </w:r>
          </w:p>
          <w:p w14:paraId="4AC56F50" w14:textId="77777777" w:rsidR="00D11F5B" w:rsidRPr="00055A20" w:rsidRDefault="00D11F5B" w:rsidP="007E5A78">
            <w:pPr>
              <w:ind w:left="118" w:right="127"/>
              <w:jc w:val="both"/>
              <w:rPr>
                <w:rFonts w:ascii="Arial" w:hAnsi="Arial" w:cs="Arial"/>
                <w:sz w:val="22"/>
                <w:szCs w:val="22"/>
              </w:rPr>
            </w:pPr>
          </w:p>
          <w:p w14:paraId="134C2290" w14:textId="77777777" w:rsidR="00573AD7" w:rsidRDefault="00712EF1" w:rsidP="007E5A78">
            <w:pPr>
              <w:ind w:left="118" w:right="127"/>
              <w:jc w:val="both"/>
              <w:rPr>
                <w:rFonts w:ascii="Arial" w:hAnsi="Arial" w:cs="Arial"/>
                <w:sz w:val="22"/>
                <w:szCs w:val="22"/>
              </w:rPr>
            </w:pPr>
            <w:r>
              <w:rPr>
                <w:rFonts w:ascii="Arial" w:hAnsi="Arial" w:cs="Arial"/>
                <w:sz w:val="22"/>
                <w:szCs w:val="22"/>
              </w:rPr>
              <w:t xml:space="preserve">Nesse sentido, acreditamos ser </w:t>
            </w:r>
            <w:r w:rsidR="007E0C44" w:rsidRPr="00055A20">
              <w:rPr>
                <w:rFonts w:ascii="Arial" w:hAnsi="Arial" w:cs="Arial"/>
                <w:sz w:val="22"/>
                <w:szCs w:val="22"/>
              </w:rPr>
              <w:t xml:space="preserve">crucial, </w:t>
            </w:r>
            <w:r w:rsidR="00D11F5B" w:rsidRPr="00055A20">
              <w:rPr>
                <w:rFonts w:ascii="Arial" w:hAnsi="Arial" w:cs="Arial"/>
                <w:sz w:val="22"/>
                <w:szCs w:val="22"/>
              </w:rPr>
              <w:t>considerando todo o contexto e cenário de transitoriedade</w:t>
            </w:r>
            <w:r w:rsidR="007E0C44" w:rsidRPr="00055A20">
              <w:rPr>
                <w:rFonts w:ascii="Arial" w:hAnsi="Arial" w:cs="Arial"/>
                <w:sz w:val="22"/>
                <w:szCs w:val="22"/>
              </w:rPr>
              <w:t>,</w:t>
            </w:r>
            <w:r w:rsidR="00D11F5B" w:rsidRPr="00055A20">
              <w:rPr>
                <w:rFonts w:ascii="Arial" w:hAnsi="Arial" w:cs="Arial"/>
                <w:sz w:val="22"/>
                <w:szCs w:val="22"/>
              </w:rPr>
              <w:t xml:space="preserve"> que </w:t>
            </w:r>
            <w:r w:rsidR="00573AD7">
              <w:rPr>
                <w:rFonts w:ascii="Arial" w:hAnsi="Arial" w:cs="Arial"/>
                <w:sz w:val="22"/>
                <w:szCs w:val="22"/>
              </w:rPr>
              <w:t>haja</w:t>
            </w:r>
            <w:r w:rsidR="00573AD7" w:rsidRPr="00055A20">
              <w:rPr>
                <w:rFonts w:ascii="Arial" w:hAnsi="Arial" w:cs="Arial"/>
                <w:sz w:val="22"/>
                <w:szCs w:val="22"/>
              </w:rPr>
              <w:t xml:space="preserve"> </w:t>
            </w:r>
            <w:r w:rsidR="00D11F5B" w:rsidRPr="00055A20">
              <w:rPr>
                <w:rFonts w:ascii="Arial" w:hAnsi="Arial" w:cs="Arial"/>
                <w:sz w:val="22"/>
                <w:szCs w:val="22"/>
              </w:rPr>
              <w:t>incentiv</w:t>
            </w:r>
            <w:r w:rsidR="00573AD7">
              <w:rPr>
                <w:rFonts w:ascii="Arial" w:hAnsi="Arial" w:cs="Arial"/>
                <w:sz w:val="22"/>
                <w:szCs w:val="22"/>
              </w:rPr>
              <w:t xml:space="preserve">o para </w:t>
            </w:r>
            <w:r w:rsidR="007E0C44" w:rsidRPr="00055A20">
              <w:rPr>
                <w:rFonts w:ascii="Arial" w:hAnsi="Arial" w:cs="Arial"/>
                <w:sz w:val="22"/>
                <w:szCs w:val="22"/>
              </w:rPr>
              <w:t>cria</w:t>
            </w:r>
            <w:r w:rsidR="00D11F5B" w:rsidRPr="00055A20">
              <w:rPr>
                <w:rFonts w:ascii="Arial" w:hAnsi="Arial" w:cs="Arial"/>
                <w:sz w:val="22"/>
                <w:szCs w:val="22"/>
              </w:rPr>
              <w:t>ção de</w:t>
            </w:r>
            <w:r w:rsidR="007E0C44" w:rsidRPr="00055A20">
              <w:rPr>
                <w:rFonts w:ascii="Arial" w:hAnsi="Arial" w:cs="Arial"/>
                <w:sz w:val="22"/>
                <w:szCs w:val="22"/>
              </w:rPr>
              <w:t xml:space="preserve"> um ambiente propício a investimentos, em que regras claras e transparência no processo decisório sejam ingredientes fundamentais.</w:t>
            </w:r>
            <w:r w:rsidR="00573AD7">
              <w:rPr>
                <w:rFonts w:ascii="Arial" w:hAnsi="Arial" w:cs="Arial"/>
                <w:sz w:val="22"/>
                <w:szCs w:val="22"/>
              </w:rPr>
              <w:t xml:space="preserve"> </w:t>
            </w:r>
          </w:p>
          <w:p w14:paraId="6AD6A143" w14:textId="77777777" w:rsidR="00573AD7" w:rsidRPr="00055A20" w:rsidRDefault="00573AD7" w:rsidP="007E5A78">
            <w:pPr>
              <w:ind w:left="118" w:right="127"/>
              <w:jc w:val="both"/>
              <w:rPr>
                <w:rFonts w:ascii="Arial" w:hAnsi="Arial" w:cs="Arial"/>
                <w:sz w:val="22"/>
                <w:szCs w:val="22"/>
              </w:rPr>
            </w:pPr>
          </w:p>
          <w:p w14:paraId="46F574F6" w14:textId="77777777" w:rsidR="00CF1CCB" w:rsidRPr="00055A20" w:rsidRDefault="00573AD7" w:rsidP="00573AD7">
            <w:pPr>
              <w:ind w:left="118" w:right="127"/>
              <w:jc w:val="both"/>
              <w:rPr>
                <w:rFonts w:ascii="Arial" w:hAnsi="Arial" w:cs="Arial"/>
                <w:sz w:val="22"/>
                <w:szCs w:val="22"/>
              </w:rPr>
            </w:pPr>
            <w:r>
              <w:rPr>
                <w:rFonts w:ascii="Arial" w:hAnsi="Arial" w:cs="Arial"/>
                <w:sz w:val="22"/>
                <w:szCs w:val="22"/>
              </w:rPr>
              <w:t xml:space="preserve">Deste modo, entendemos que </w:t>
            </w:r>
            <w:r w:rsidR="00CF1CCB" w:rsidRPr="00055A20">
              <w:rPr>
                <w:rFonts w:ascii="Arial" w:hAnsi="Arial" w:cs="Arial"/>
                <w:sz w:val="22"/>
                <w:szCs w:val="22"/>
              </w:rPr>
              <w:t xml:space="preserve">para a construção de um ambiente de negócios favorável a investimentos, mudanças regulatórias que tenham a capacidade de alterar o funcionamento de um mercado devem ser previamente estudadas em profundidade pelo poder público quanto ao seu propósito, mecanismo, custos e benefícios, </w:t>
            </w:r>
            <w:r w:rsidR="00D11F5B" w:rsidRPr="00055A20">
              <w:rPr>
                <w:rFonts w:ascii="Arial" w:hAnsi="Arial" w:cs="Arial"/>
                <w:sz w:val="22"/>
                <w:szCs w:val="22"/>
              </w:rPr>
              <w:t>utilizando um</w:t>
            </w:r>
            <w:r w:rsidR="00CF1CCB" w:rsidRPr="00055A20">
              <w:rPr>
                <w:rFonts w:ascii="Arial" w:hAnsi="Arial" w:cs="Arial"/>
                <w:sz w:val="22"/>
                <w:szCs w:val="22"/>
              </w:rPr>
              <w:t xml:space="preserve"> processo denominado</w:t>
            </w:r>
            <w:r w:rsidR="00D11F5B" w:rsidRPr="00055A20">
              <w:rPr>
                <w:rFonts w:ascii="Arial" w:hAnsi="Arial" w:cs="Arial"/>
                <w:sz w:val="22"/>
                <w:szCs w:val="22"/>
              </w:rPr>
              <w:t>:</w:t>
            </w:r>
            <w:r w:rsidR="00CF1CCB" w:rsidRPr="00055A20">
              <w:rPr>
                <w:rFonts w:ascii="Arial" w:hAnsi="Arial" w:cs="Arial"/>
                <w:sz w:val="22"/>
                <w:szCs w:val="22"/>
              </w:rPr>
              <w:t xml:space="preserve"> Análise de Impacto Regulatório (AIR).</w:t>
            </w:r>
          </w:p>
          <w:p w14:paraId="5194D151" w14:textId="77777777" w:rsidR="00D11F5B" w:rsidRPr="00055A20" w:rsidRDefault="00D11F5B" w:rsidP="007E5A78">
            <w:pPr>
              <w:ind w:left="118" w:right="127"/>
              <w:jc w:val="both"/>
              <w:rPr>
                <w:rFonts w:ascii="Arial" w:hAnsi="Arial" w:cs="Arial"/>
                <w:sz w:val="22"/>
                <w:szCs w:val="22"/>
              </w:rPr>
            </w:pPr>
          </w:p>
          <w:p w14:paraId="552EE2FF" w14:textId="77777777" w:rsidR="007E5A78" w:rsidRPr="00055A20" w:rsidRDefault="007E0C44" w:rsidP="007E5A78">
            <w:pPr>
              <w:ind w:left="118" w:right="127"/>
              <w:jc w:val="both"/>
              <w:rPr>
                <w:rFonts w:ascii="Arial" w:hAnsi="Arial" w:cs="Arial"/>
                <w:sz w:val="22"/>
                <w:szCs w:val="22"/>
              </w:rPr>
            </w:pPr>
            <w:r w:rsidRPr="00055A20">
              <w:rPr>
                <w:rFonts w:ascii="Arial" w:hAnsi="Arial" w:cs="Arial"/>
                <w:sz w:val="22"/>
                <w:szCs w:val="22"/>
              </w:rPr>
              <w:t xml:space="preserve">A AIR de qualquer ato regulatório </w:t>
            </w:r>
            <w:r w:rsidR="00D11F5B" w:rsidRPr="00055A20">
              <w:rPr>
                <w:rFonts w:ascii="Arial" w:hAnsi="Arial" w:cs="Arial"/>
                <w:sz w:val="22"/>
                <w:szCs w:val="22"/>
              </w:rPr>
              <w:t xml:space="preserve">encontra previsão a partir do Capítulo IV, art. 22 e </w:t>
            </w:r>
            <w:r w:rsidR="00055A20">
              <w:rPr>
                <w:rFonts w:ascii="Arial" w:hAnsi="Arial" w:cs="Arial"/>
                <w:sz w:val="22"/>
                <w:szCs w:val="22"/>
              </w:rPr>
              <w:t>seguintes</w:t>
            </w:r>
            <w:r w:rsidR="00D11F5B" w:rsidRPr="00055A20">
              <w:rPr>
                <w:rFonts w:ascii="Arial" w:hAnsi="Arial" w:cs="Arial"/>
                <w:sz w:val="22"/>
                <w:szCs w:val="22"/>
              </w:rPr>
              <w:t xml:space="preserve"> da Portaria nº 265/2020, que </w:t>
            </w:r>
            <w:r w:rsidR="007E5A78" w:rsidRPr="00055A20">
              <w:rPr>
                <w:rFonts w:ascii="Arial" w:hAnsi="Arial" w:cs="Arial"/>
                <w:sz w:val="22"/>
                <w:szCs w:val="22"/>
              </w:rPr>
              <w:t>estabelece</w:t>
            </w:r>
            <w:r w:rsidR="00D11F5B" w:rsidRPr="00055A20">
              <w:rPr>
                <w:rFonts w:ascii="Arial" w:hAnsi="Arial" w:cs="Arial"/>
                <w:sz w:val="22"/>
                <w:szCs w:val="22"/>
              </w:rPr>
              <w:t xml:space="preserve"> o novo Regimento </w:t>
            </w:r>
            <w:r w:rsidR="007E5A78" w:rsidRPr="00055A20">
              <w:rPr>
                <w:rFonts w:ascii="Arial" w:hAnsi="Arial" w:cs="Arial"/>
                <w:sz w:val="22"/>
                <w:szCs w:val="22"/>
              </w:rPr>
              <w:t>Interno</w:t>
            </w:r>
            <w:r w:rsidR="00D11F5B" w:rsidRPr="00055A20">
              <w:rPr>
                <w:rFonts w:ascii="Arial" w:hAnsi="Arial" w:cs="Arial"/>
                <w:sz w:val="22"/>
                <w:szCs w:val="22"/>
              </w:rPr>
              <w:t xml:space="preserve"> da ANP (antes o RI citava AIR nos  </w:t>
            </w:r>
            <w:r w:rsidRPr="00055A20">
              <w:rPr>
                <w:rFonts w:ascii="Arial" w:hAnsi="Arial" w:cs="Arial"/>
                <w:sz w:val="22"/>
                <w:szCs w:val="22"/>
              </w:rPr>
              <w:t>artigo</w:t>
            </w:r>
            <w:r w:rsidR="00D11F5B" w:rsidRPr="00055A20">
              <w:rPr>
                <w:rFonts w:ascii="Arial" w:hAnsi="Arial" w:cs="Arial"/>
                <w:sz w:val="22"/>
                <w:szCs w:val="22"/>
              </w:rPr>
              <w:t>s</w:t>
            </w:r>
            <w:r w:rsidRPr="00055A20">
              <w:rPr>
                <w:rFonts w:ascii="Arial" w:hAnsi="Arial" w:cs="Arial"/>
                <w:sz w:val="22"/>
                <w:szCs w:val="22"/>
              </w:rPr>
              <w:t xml:space="preserve"> 12, inciso XXI, e o artigo 30-A, inciso IX</w:t>
            </w:r>
            <w:r w:rsidR="00D11F5B" w:rsidRPr="00055A20">
              <w:rPr>
                <w:rFonts w:ascii="Arial" w:hAnsi="Arial" w:cs="Arial"/>
                <w:sz w:val="22"/>
                <w:szCs w:val="22"/>
              </w:rPr>
              <w:t>). Também encontramos previsão des</w:t>
            </w:r>
            <w:r w:rsidR="00573AD7">
              <w:rPr>
                <w:rFonts w:ascii="Arial" w:hAnsi="Arial" w:cs="Arial"/>
                <w:sz w:val="22"/>
                <w:szCs w:val="22"/>
              </w:rPr>
              <w:t>t</w:t>
            </w:r>
            <w:r w:rsidR="00D11F5B" w:rsidRPr="00055A20">
              <w:rPr>
                <w:rFonts w:ascii="Arial" w:hAnsi="Arial" w:cs="Arial"/>
                <w:sz w:val="22"/>
                <w:szCs w:val="22"/>
              </w:rPr>
              <w:t xml:space="preserve">e importante processo </w:t>
            </w:r>
            <w:r w:rsidR="007E5A78" w:rsidRPr="00055A20">
              <w:rPr>
                <w:rFonts w:ascii="Arial" w:hAnsi="Arial" w:cs="Arial"/>
                <w:sz w:val="22"/>
                <w:szCs w:val="22"/>
              </w:rPr>
              <w:t xml:space="preserve">no </w:t>
            </w:r>
            <w:r w:rsidR="007E5A78" w:rsidRPr="00B365DA">
              <w:rPr>
                <w:rFonts w:ascii="Arial" w:hAnsi="Arial" w:cs="Arial"/>
                <w:sz w:val="21"/>
                <w:szCs w:val="21"/>
                <w:shd w:val="clear" w:color="auto" w:fill="FFFFFF"/>
              </w:rPr>
              <w:t>Decreto nº 10.411/2020</w:t>
            </w:r>
            <w:r w:rsidR="007E5A78" w:rsidRPr="00055A20">
              <w:rPr>
                <w:rFonts w:ascii="Arial" w:hAnsi="Arial" w:cs="Arial"/>
                <w:color w:val="172938"/>
                <w:sz w:val="21"/>
                <w:szCs w:val="21"/>
                <w:shd w:val="clear" w:color="auto" w:fill="FFFFFF"/>
              </w:rPr>
              <w:t>, que regulamenta a análise de impacto regulatório (AIR), prevista na </w:t>
            </w:r>
            <w:r w:rsidR="007E5A78" w:rsidRPr="00B365DA">
              <w:rPr>
                <w:rFonts w:ascii="Arial" w:hAnsi="Arial" w:cs="Arial"/>
                <w:sz w:val="21"/>
                <w:szCs w:val="21"/>
                <w:shd w:val="clear" w:color="auto" w:fill="FFFFFF"/>
              </w:rPr>
              <w:t>Lei nº 13.848/2019</w:t>
            </w:r>
            <w:r w:rsidR="007E5A78" w:rsidRPr="00055A20">
              <w:t xml:space="preserve">, </w:t>
            </w:r>
            <w:r w:rsidRPr="00055A20">
              <w:rPr>
                <w:rFonts w:ascii="Arial" w:hAnsi="Arial" w:cs="Arial"/>
                <w:sz w:val="22"/>
                <w:szCs w:val="22"/>
              </w:rPr>
              <w:t>denominada Lei das Agências Reguladoras</w:t>
            </w:r>
            <w:r w:rsidR="007E5A78" w:rsidRPr="00055A20">
              <w:rPr>
                <w:rFonts w:ascii="Arial" w:hAnsi="Arial" w:cs="Arial"/>
                <w:sz w:val="22"/>
                <w:szCs w:val="22"/>
              </w:rPr>
              <w:t>.</w:t>
            </w:r>
          </w:p>
          <w:p w14:paraId="02C730EC" w14:textId="77777777" w:rsidR="007E5A78" w:rsidRPr="00055A20" w:rsidRDefault="007E5A78" w:rsidP="007E5A78">
            <w:pPr>
              <w:ind w:left="118" w:right="127"/>
              <w:jc w:val="both"/>
              <w:rPr>
                <w:rFonts w:ascii="Arial" w:hAnsi="Arial" w:cs="Arial"/>
                <w:sz w:val="22"/>
                <w:szCs w:val="22"/>
              </w:rPr>
            </w:pPr>
          </w:p>
          <w:p w14:paraId="2EAC90DF" w14:textId="77777777" w:rsidR="007E5A78" w:rsidRPr="00055A20" w:rsidRDefault="007E5A78" w:rsidP="007E5A78">
            <w:pPr>
              <w:ind w:left="118" w:right="127"/>
              <w:jc w:val="both"/>
              <w:rPr>
                <w:rFonts w:ascii="Arial" w:hAnsi="Arial" w:cs="Arial"/>
                <w:sz w:val="22"/>
                <w:szCs w:val="22"/>
              </w:rPr>
            </w:pPr>
            <w:r w:rsidRPr="00055A20">
              <w:rPr>
                <w:rFonts w:ascii="Arial" w:hAnsi="Arial" w:cs="Arial"/>
                <w:sz w:val="22"/>
                <w:szCs w:val="22"/>
              </w:rPr>
              <w:t xml:space="preserve">Como pode-se observar o artigo 6º da Lei das Agências Reguladoras determina </w:t>
            </w:r>
            <w:r w:rsidRPr="00B365DA">
              <w:rPr>
                <w:rFonts w:ascii="Arial" w:hAnsi="Arial" w:cs="Arial"/>
                <w:i/>
                <w:iCs/>
                <w:sz w:val="22"/>
                <w:szCs w:val="22"/>
              </w:rPr>
              <w:t>“[a] adoção e as propostas de alteração de atos normativos de interesse geral dos agentes econômicos, consumidores ou usuários dos serviços prestados serão, nos termos de regulamento, precedidas da realização de Análise de Impacto Regulatório (AIR), que conterá informações e dados sobre os possíveis efeitos do ato normativo.”</w:t>
            </w:r>
          </w:p>
          <w:p w14:paraId="2D3E8B44" w14:textId="77777777" w:rsidR="007E5A78" w:rsidRPr="00055A20" w:rsidRDefault="007E5A78" w:rsidP="007E5A78">
            <w:pPr>
              <w:ind w:left="118" w:right="127"/>
              <w:jc w:val="both"/>
              <w:rPr>
                <w:rFonts w:ascii="Arial" w:hAnsi="Arial" w:cs="Arial"/>
                <w:sz w:val="22"/>
                <w:szCs w:val="22"/>
              </w:rPr>
            </w:pPr>
          </w:p>
          <w:p w14:paraId="5371686C" w14:textId="77777777" w:rsidR="007E5A78" w:rsidRPr="00055A20" w:rsidRDefault="007E5A78" w:rsidP="007E5A78">
            <w:pPr>
              <w:ind w:left="118" w:right="127"/>
              <w:jc w:val="both"/>
              <w:rPr>
                <w:rFonts w:ascii="Arial" w:hAnsi="Arial" w:cs="Arial"/>
                <w:sz w:val="22"/>
                <w:szCs w:val="22"/>
              </w:rPr>
            </w:pPr>
            <w:r w:rsidRPr="00055A20">
              <w:rPr>
                <w:rFonts w:ascii="Arial" w:hAnsi="Arial" w:cs="Arial"/>
                <w:sz w:val="22"/>
                <w:szCs w:val="22"/>
              </w:rPr>
              <w:t>Ainda, d</w:t>
            </w:r>
            <w:r w:rsidR="00CF1CCB" w:rsidRPr="00055A20">
              <w:rPr>
                <w:rFonts w:ascii="Arial" w:hAnsi="Arial" w:cs="Arial"/>
                <w:sz w:val="22"/>
                <w:szCs w:val="22"/>
              </w:rPr>
              <w:t>e acordo com artigo 5</w:t>
            </w:r>
            <w:r w:rsidRPr="00055A20">
              <w:rPr>
                <w:rFonts w:ascii="Arial" w:hAnsi="Arial" w:cs="Arial"/>
                <w:sz w:val="22"/>
                <w:szCs w:val="22"/>
              </w:rPr>
              <w:t>º</w:t>
            </w:r>
            <w:r w:rsidR="00CF1CCB" w:rsidRPr="00055A20">
              <w:rPr>
                <w:rFonts w:ascii="Arial" w:hAnsi="Arial" w:cs="Arial"/>
                <w:sz w:val="22"/>
                <w:szCs w:val="22"/>
              </w:rPr>
              <w:t xml:space="preserve"> da </w:t>
            </w:r>
            <w:r w:rsidRPr="00055A20">
              <w:rPr>
                <w:rFonts w:ascii="Arial" w:hAnsi="Arial" w:cs="Arial"/>
                <w:sz w:val="22"/>
                <w:szCs w:val="22"/>
              </w:rPr>
              <w:t xml:space="preserve">Lei nº 13.874/2019, conhecida como Lei de Liberdade Econômica, </w:t>
            </w:r>
            <w:r w:rsidRPr="00B365DA">
              <w:rPr>
                <w:rFonts w:ascii="Arial" w:hAnsi="Arial" w:cs="Arial"/>
                <w:i/>
                <w:iCs/>
                <w:sz w:val="22"/>
                <w:szCs w:val="22"/>
              </w:rPr>
              <w:t>“</w:t>
            </w:r>
            <w:r w:rsidR="00B365DA">
              <w:rPr>
                <w:rFonts w:ascii="Arial" w:hAnsi="Arial" w:cs="Arial"/>
                <w:i/>
                <w:iCs/>
                <w:sz w:val="22"/>
                <w:szCs w:val="22"/>
              </w:rPr>
              <w:t>[a]</w:t>
            </w:r>
            <w:r w:rsidRPr="00B365DA">
              <w:rPr>
                <w:rFonts w:ascii="Arial" w:hAnsi="Arial" w:cs="Arial"/>
                <w:i/>
                <w:iCs/>
                <w:sz w:val="22"/>
                <w:szCs w:val="22"/>
              </w:rPr>
              <w:t xml:space="preserve">s propostas de edição e de alteração de atos normativos de interesse geral de agentes econômicos ou de usuários dos serviços prestados, editadas por órgão ou entidade da administração pública federal, incluídas as autarquias e as fundações públicas, serão precedidas da realização de análise de impacto regulatório, que conterá informações e dados </w:t>
            </w:r>
            <w:r w:rsidRPr="00B365DA">
              <w:rPr>
                <w:rFonts w:ascii="Arial" w:hAnsi="Arial" w:cs="Arial"/>
                <w:i/>
                <w:iCs/>
                <w:sz w:val="22"/>
                <w:szCs w:val="22"/>
              </w:rPr>
              <w:lastRenderedPageBreak/>
              <w:t>sobre os possíveis efeitos do ato normativo para verificar a razoabilidade do seu impacto econômico.”</w:t>
            </w:r>
          </w:p>
          <w:p w14:paraId="40BFE455" w14:textId="77777777" w:rsidR="007E5A78" w:rsidRPr="00055A20" w:rsidRDefault="007E5A78" w:rsidP="007E5A78">
            <w:pPr>
              <w:ind w:left="118" w:right="127"/>
              <w:jc w:val="both"/>
              <w:rPr>
                <w:rFonts w:ascii="Arial" w:hAnsi="Arial" w:cs="Arial"/>
                <w:sz w:val="22"/>
                <w:szCs w:val="22"/>
              </w:rPr>
            </w:pPr>
          </w:p>
          <w:p w14:paraId="1CA75657" w14:textId="77777777" w:rsidR="00B365DA" w:rsidRDefault="00CF1CCB" w:rsidP="007E5A78">
            <w:pPr>
              <w:ind w:left="118" w:right="127"/>
              <w:jc w:val="both"/>
              <w:rPr>
                <w:rFonts w:ascii="Arial" w:hAnsi="Arial" w:cs="Arial"/>
                <w:sz w:val="22"/>
                <w:szCs w:val="22"/>
              </w:rPr>
            </w:pPr>
            <w:r w:rsidRPr="00055A20">
              <w:rPr>
                <w:rFonts w:ascii="Arial" w:hAnsi="Arial" w:cs="Arial"/>
                <w:sz w:val="22"/>
                <w:szCs w:val="22"/>
              </w:rPr>
              <w:t>Além das previsões legais acima, a realização de AIR também é considerada pelo próprio Poder Executivo Federal como melhor prática de política pública. Para tanto, basta observar que a Casa Civil da Presidência da República editou, em junho de 2018, os documentos denominados Diretrizes Gerais (“Diretrizes”) e Guia Orientativo para Elaboração de Análise de Impacto Regulatório (“Guia”). Não realizar uma profunda AIR seria, portanto, não apenas indesejável do ponto de vista da segurança jurídica, mas também infração ao artigo 50, parágrafo 1, da Lei n. 9.784/99, pois representa nítida ausência de motivação explícita, clara e congruente por parte das autoridades públicas.</w:t>
            </w:r>
          </w:p>
          <w:p w14:paraId="5AA809B1" w14:textId="77777777" w:rsidR="00B365DA" w:rsidRDefault="00B365DA" w:rsidP="007E5A78">
            <w:pPr>
              <w:ind w:left="118" w:right="127"/>
              <w:jc w:val="both"/>
              <w:rPr>
                <w:rFonts w:ascii="Arial" w:hAnsi="Arial" w:cs="Arial"/>
                <w:sz w:val="22"/>
                <w:szCs w:val="22"/>
              </w:rPr>
            </w:pPr>
          </w:p>
          <w:p w14:paraId="7B88AD14" w14:textId="77777777" w:rsidR="00CF1CCB" w:rsidRPr="00055A20" w:rsidRDefault="00B365DA" w:rsidP="007E5A78">
            <w:pPr>
              <w:ind w:left="118" w:right="127"/>
              <w:jc w:val="both"/>
              <w:rPr>
                <w:rFonts w:ascii="Arial" w:hAnsi="Arial" w:cs="Arial"/>
                <w:sz w:val="22"/>
                <w:szCs w:val="22"/>
              </w:rPr>
            </w:pPr>
            <w:r>
              <w:rPr>
                <w:rFonts w:ascii="Arial" w:hAnsi="Arial" w:cs="Arial"/>
                <w:sz w:val="22"/>
                <w:szCs w:val="22"/>
              </w:rPr>
              <w:t xml:space="preserve">Verificamos ainda que o legislador na Lei do Petróleo (Lei 9487/97), </w:t>
            </w:r>
            <w:r w:rsidRPr="00B365DA">
              <w:rPr>
                <w:rFonts w:ascii="Arial" w:hAnsi="Arial" w:cs="Arial"/>
                <w:sz w:val="22"/>
                <w:szCs w:val="22"/>
              </w:rPr>
              <w:t>já indicava que para estoques e capacidade de armazenamento a ANP deveria apresentar razões econômicas sustentáveis (art. 8º, parágrafo único), isto em 1997</w:t>
            </w:r>
            <w:r>
              <w:rPr>
                <w:rFonts w:ascii="Arial" w:hAnsi="Arial" w:cs="Arial"/>
                <w:sz w:val="22"/>
                <w:szCs w:val="22"/>
              </w:rPr>
              <w:t>. Portanto</w:t>
            </w:r>
            <w:r w:rsidRPr="00B365DA">
              <w:rPr>
                <w:rFonts w:ascii="Arial" w:hAnsi="Arial" w:cs="Arial"/>
                <w:sz w:val="22"/>
                <w:szCs w:val="22"/>
              </w:rPr>
              <w:t xml:space="preserve"> o qu</w:t>
            </w:r>
            <w:r>
              <w:rPr>
                <w:rFonts w:ascii="Arial" w:hAnsi="Arial" w:cs="Arial"/>
                <w:sz w:val="22"/>
                <w:szCs w:val="22"/>
              </w:rPr>
              <w:t xml:space="preserve">ando desejado pelo legislador somente </w:t>
            </w:r>
            <w:r w:rsidRPr="00B365DA">
              <w:rPr>
                <w:rFonts w:ascii="Arial" w:hAnsi="Arial" w:cs="Arial"/>
                <w:sz w:val="22"/>
                <w:szCs w:val="22"/>
              </w:rPr>
              <w:t xml:space="preserve">corrobora </w:t>
            </w:r>
            <w:r>
              <w:rPr>
                <w:rFonts w:ascii="Arial" w:hAnsi="Arial" w:cs="Arial"/>
                <w:sz w:val="22"/>
                <w:szCs w:val="22"/>
              </w:rPr>
              <w:t>com o instrumento de</w:t>
            </w:r>
            <w:r w:rsidRPr="00B365DA">
              <w:rPr>
                <w:rFonts w:ascii="Arial" w:hAnsi="Arial" w:cs="Arial"/>
                <w:sz w:val="22"/>
                <w:szCs w:val="22"/>
              </w:rPr>
              <w:t xml:space="preserve"> AIR</w:t>
            </w:r>
            <w:r>
              <w:rPr>
                <w:rFonts w:ascii="Arial" w:hAnsi="Arial" w:cs="Arial"/>
                <w:sz w:val="22"/>
                <w:szCs w:val="22"/>
              </w:rPr>
              <w:t xml:space="preserve">. Em outras palavras, a AIR </w:t>
            </w:r>
            <w:r w:rsidRPr="00B365DA">
              <w:rPr>
                <w:rFonts w:ascii="Arial" w:hAnsi="Arial" w:cs="Arial"/>
                <w:sz w:val="22"/>
                <w:szCs w:val="22"/>
              </w:rPr>
              <w:t xml:space="preserve">não </w:t>
            </w:r>
            <w:r>
              <w:rPr>
                <w:rFonts w:ascii="Arial" w:hAnsi="Arial" w:cs="Arial"/>
                <w:sz w:val="22"/>
                <w:szCs w:val="22"/>
              </w:rPr>
              <w:t>se trata de uma</w:t>
            </w:r>
            <w:r w:rsidRPr="00B365DA">
              <w:rPr>
                <w:rFonts w:ascii="Arial" w:hAnsi="Arial" w:cs="Arial"/>
                <w:sz w:val="22"/>
                <w:szCs w:val="22"/>
              </w:rPr>
              <w:t xml:space="preserve"> simples formalidade legal, </w:t>
            </w:r>
            <w:r>
              <w:rPr>
                <w:rFonts w:ascii="Arial" w:hAnsi="Arial" w:cs="Arial"/>
                <w:sz w:val="22"/>
                <w:szCs w:val="22"/>
              </w:rPr>
              <w:t xml:space="preserve">ou documento optativo, </w:t>
            </w:r>
            <w:r w:rsidRPr="00B365DA">
              <w:rPr>
                <w:rFonts w:ascii="Arial" w:hAnsi="Arial" w:cs="Arial"/>
                <w:sz w:val="22"/>
                <w:szCs w:val="22"/>
              </w:rPr>
              <w:t xml:space="preserve">mas sim uma </w:t>
            </w:r>
            <w:r>
              <w:rPr>
                <w:rFonts w:ascii="Arial" w:hAnsi="Arial" w:cs="Arial"/>
                <w:sz w:val="22"/>
                <w:szCs w:val="22"/>
              </w:rPr>
              <w:t xml:space="preserve">obrigação e </w:t>
            </w:r>
            <w:r w:rsidRPr="00B365DA">
              <w:rPr>
                <w:rFonts w:ascii="Arial" w:hAnsi="Arial" w:cs="Arial"/>
                <w:sz w:val="22"/>
                <w:szCs w:val="22"/>
              </w:rPr>
              <w:t>oportunidade do regulador</w:t>
            </w:r>
            <w:r>
              <w:rPr>
                <w:rFonts w:ascii="Arial" w:hAnsi="Arial" w:cs="Arial"/>
                <w:sz w:val="22"/>
                <w:szCs w:val="22"/>
              </w:rPr>
              <w:t>, que poderá através dele</w:t>
            </w:r>
            <w:r w:rsidRPr="00B365DA">
              <w:rPr>
                <w:rFonts w:ascii="Arial" w:hAnsi="Arial" w:cs="Arial"/>
                <w:sz w:val="22"/>
                <w:szCs w:val="22"/>
              </w:rPr>
              <w:t xml:space="preserve"> </w:t>
            </w:r>
            <w:r>
              <w:rPr>
                <w:rFonts w:ascii="Arial" w:hAnsi="Arial" w:cs="Arial"/>
                <w:sz w:val="22"/>
                <w:szCs w:val="22"/>
              </w:rPr>
              <w:t>indicar a motivação do ato, além de demonstrar</w:t>
            </w:r>
            <w:r w:rsidRPr="00B365DA">
              <w:rPr>
                <w:rFonts w:ascii="Arial" w:hAnsi="Arial" w:cs="Arial"/>
                <w:sz w:val="22"/>
                <w:szCs w:val="22"/>
              </w:rPr>
              <w:t xml:space="preserve"> a existência de ganho social</w:t>
            </w:r>
            <w:r>
              <w:rPr>
                <w:rFonts w:ascii="Arial" w:hAnsi="Arial" w:cs="Arial"/>
                <w:sz w:val="22"/>
                <w:szCs w:val="22"/>
              </w:rPr>
              <w:t xml:space="preserve"> real</w:t>
            </w:r>
            <w:r w:rsidRPr="00B365DA">
              <w:rPr>
                <w:rFonts w:ascii="Arial" w:hAnsi="Arial" w:cs="Arial"/>
                <w:sz w:val="22"/>
                <w:szCs w:val="22"/>
              </w:rPr>
              <w:t xml:space="preserve"> com a medida adotada.</w:t>
            </w:r>
          </w:p>
          <w:p w14:paraId="4564DA0B" w14:textId="77777777" w:rsidR="007E5A78" w:rsidRPr="00055A20" w:rsidRDefault="007E5A78" w:rsidP="007E5A78">
            <w:pPr>
              <w:ind w:left="118" w:right="127"/>
              <w:jc w:val="both"/>
              <w:rPr>
                <w:rFonts w:ascii="Arial" w:hAnsi="Arial" w:cs="Arial"/>
                <w:sz w:val="22"/>
                <w:szCs w:val="22"/>
              </w:rPr>
            </w:pPr>
          </w:p>
          <w:p w14:paraId="490DA28D" w14:textId="77777777" w:rsidR="00CF1CCB" w:rsidRPr="00055A20" w:rsidRDefault="00B365DA" w:rsidP="007E5A78">
            <w:pPr>
              <w:ind w:left="118" w:right="127"/>
              <w:jc w:val="both"/>
              <w:rPr>
                <w:rFonts w:ascii="Arial" w:hAnsi="Arial" w:cs="Arial"/>
                <w:sz w:val="22"/>
                <w:szCs w:val="22"/>
              </w:rPr>
            </w:pPr>
            <w:r>
              <w:rPr>
                <w:rFonts w:ascii="Arial" w:hAnsi="Arial" w:cs="Arial"/>
                <w:sz w:val="22"/>
                <w:szCs w:val="22"/>
              </w:rPr>
              <w:t xml:space="preserve">Cumpre pontuar que o </w:t>
            </w:r>
            <w:r w:rsidR="007F37CA" w:rsidRPr="00055A20">
              <w:rPr>
                <w:rFonts w:ascii="Arial" w:hAnsi="Arial" w:cs="Arial"/>
                <w:sz w:val="22"/>
                <w:szCs w:val="22"/>
              </w:rPr>
              <w:t>Sindigás sempre defendeu e apresenta as autoridades públicas</w:t>
            </w:r>
            <w:r w:rsidR="00016F0D" w:rsidRPr="00055A20">
              <w:rPr>
                <w:rFonts w:ascii="Arial" w:hAnsi="Arial" w:cs="Arial"/>
                <w:sz w:val="22"/>
                <w:szCs w:val="22"/>
              </w:rPr>
              <w:t>/</w:t>
            </w:r>
            <w:r w:rsidR="007F37CA" w:rsidRPr="00055A20">
              <w:rPr>
                <w:rFonts w:ascii="Arial" w:hAnsi="Arial" w:cs="Arial"/>
                <w:sz w:val="22"/>
                <w:szCs w:val="22"/>
              </w:rPr>
              <w:t xml:space="preserve">reguladores que </w:t>
            </w:r>
            <w:r w:rsidR="00CF1CCB" w:rsidRPr="00055A20">
              <w:rPr>
                <w:rFonts w:ascii="Arial" w:hAnsi="Arial" w:cs="Arial"/>
                <w:sz w:val="22"/>
                <w:szCs w:val="22"/>
              </w:rPr>
              <w:t xml:space="preserve">uma AIR, </w:t>
            </w:r>
            <w:r w:rsidR="007F37CA" w:rsidRPr="00055A20">
              <w:rPr>
                <w:rFonts w:ascii="Arial" w:hAnsi="Arial" w:cs="Arial"/>
                <w:sz w:val="22"/>
                <w:szCs w:val="22"/>
              </w:rPr>
              <w:t xml:space="preserve">deve </w:t>
            </w:r>
            <w:r w:rsidR="00CF1CCB" w:rsidRPr="00055A20">
              <w:rPr>
                <w:rFonts w:ascii="Arial" w:hAnsi="Arial" w:cs="Arial"/>
                <w:sz w:val="22"/>
                <w:szCs w:val="22"/>
              </w:rPr>
              <w:t>ter, ao início, o enunciado sobre o problema identificado</w:t>
            </w:r>
            <w:r w:rsidR="007F37CA" w:rsidRPr="00055A20">
              <w:rPr>
                <w:rFonts w:ascii="Arial" w:hAnsi="Arial" w:cs="Arial"/>
                <w:sz w:val="22"/>
                <w:szCs w:val="22"/>
              </w:rPr>
              <w:t>,</w:t>
            </w:r>
            <w:r w:rsidR="00CF1CCB" w:rsidRPr="00055A20">
              <w:rPr>
                <w:rFonts w:ascii="Arial" w:hAnsi="Arial" w:cs="Arial"/>
                <w:sz w:val="22"/>
                <w:szCs w:val="22"/>
              </w:rPr>
              <w:t xml:space="preserve"> bem como qual o alvo pretendido com a política</w:t>
            </w:r>
            <w:r w:rsidR="007F37CA" w:rsidRPr="00055A20">
              <w:rPr>
                <w:rFonts w:ascii="Arial" w:hAnsi="Arial" w:cs="Arial"/>
                <w:sz w:val="22"/>
                <w:szCs w:val="22"/>
              </w:rPr>
              <w:t>/alteração</w:t>
            </w:r>
            <w:r w:rsidR="00016F0D" w:rsidRPr="00055A20">
              <w:rPr>
                <w:rFonts w:ascii="Arial" w:hAnsi="Arial" w:cs="Arial"/>
                <w:sz w:val="22"/>
                <w:szCs w:val="22"/>
              </w:rPr>
              <w:t xml:space="preserve"> pretendida</w:t>
            </w:r>
            <w:r w:rsidR="007F37CA" w:rsidRPr="00055A20">
              <w:rPr>
                <w:rFonts w:ascii="Arial" w:hAnsi="Arial" w:cs="Arial"/>
                <w:sz w:val="22"/>
                <w:szCs w:val="22"/>
              </w:rPr>
              <w:t>.</w:t>
            </w:r>
            <w:r w:rsidR="00CF1CCB" w:rsidRPr="00055A20">
              <w:rPr>
                <w:rFonts w:ascii="Arial" w:hAnsi="Arial" w:cs="Arial"/>
                <w:sz w:val="22"/>
                <w:szCs w:val="22"/>
              </w:rPr>
              <w:t xml:space="preserve"> Só assim é possível ter clareza sobre a real necessidade da </w:t>
            </w:r>
            <w:r w:rsidR="00016F0D" w:rsidRPr="00055A20">
              <w:rPr>
                <w:rFonts w:ascii="Arial" w:hAnsi="Arial" w:cs="Arial"/>
                <w:sz w:val="22"/>
                <w:szCs w:val="22"/>
              </w:rPr>
              <w:t>regulação</w:t>
            </w:r>
            <w:r w:rsidR="00CF1CCB" w:rsidRPr="00055A20">
              <w:rPr>
                <w:rFonts w:ascii="Arial" w:hAnsi="Arial" w:cs="Arial"/>
                <w:sz w:val="22"/>
                <w:szCs w:val="22"/>
              </w:rPr>
              <w:t xml:space="preserve"> proposta e avaliar se esta é, de fato, a melhor forma de se atingir os objetivos pretendidos. Isso possibilita aferir os custos e benefícios da proposição, do ponto de vista da sociedade como um todo, conferindo aos agentes as diretrizes adequadas para a tomada de decisão.</w:t>
            </w:r>
          </w:p>
          <w:p w14:paraId="2B21CACC" w14:textId="77777777" w:rsidR="00520AC0" w:rsidRPr="00055A20" w:rsidRDefault="00520AC0" w:rsidP="007E5A78">
            <w:pPr>
              <w:ind w:left="118" w:right="127"/>
              <w:jc w:val="both"/>
              <w:rPr>
                <w:rFonts w:ascii="Arial" w:hAnsi="Arial" w:cs="Arial"/>
                <w:sz w:val="22"/>
                <w:szCs w:val="22"/>
              </w:rPr>
            </w:pPr>
          </w:p>
          <w:p w14:paraId="4A6DCA34" w14:textId="77777777" w:rsidR="00520AC0" w:rsidRPr="00055A20" w:rsidRDefault="00520AC0" w:rsidP="007E5A78">
            <w:pPr>
              <w:ind w:left="118" w:right="127"/>
              <w:jc w:val="both"/>
              <w:rPr>
                <w:rFonts w:ascii="Arial" w:hAnsi="Arial" w:cs="Arial"/>
                <w:sz w:val="22"/>
                <w:szCs w:val="22"/>
              </w:rPr>
            </w:pPr>
            <w:r w:rsidRPr="00055A20">
              <w:rPr>
                <w:rFonts w:ascii="Arial" w:hAnsi="Arial" w:cs="Arial"/>
                <w:sz w:val="22"/>
                <w:szCs w:val="22"/>
              </w:rPr>
              <w:t>Cumpre ressaltar</w:t>
            </w:r>
            <w:r w:rsidR="00B365DA">
              <w:rPr>
                <w:rFonts w:ascii="Arial" w:hAnsi="Arial" w:cs="Arial"/>
                <w:sz w:val="22"/>
                <w:szCs w:val="22"/>
              </w:rPr>
              <w:t xml:space="preserve"> ainda</w:t>
            </w:r>
            <w:r w:rsidRPr="00055A20">
              <w:rPr>
                <w:rFonts w:ascii="Arial" w:hAnsi="Arial" w:cs="Arial"/>
                <w:sz w:val="22"/>
                <w:szCs w:val="22"/>
              </w:rPr>
              <w:t xml:space="preserve"> que houve preocupação com o quanto alegado pela ANP nos workshops sobre o tema da revisão da 251. Isto porque uma Nota Técnica sobre </w:t>
            </w:r>
            <w:r w:rsidR="00B365DA">
              <w:rPr>
                <w:rFonts w:ascii="Arial" w:hAnsi="Arial" w:cs="Arial"/>
                <w:sz w:val="22"/>
                <w:szCs w:val="22"/>
              </w:rPr>
              <w:t xml:space="preserve">o tema da consulta pública e eventuais edições, </w:t>
            </w:r>
            <w:r w:rsidRPr="00055A20">
              <w:rPr>
                <w:rFonts w:ascii="Arial" w:hAnsi="Arial" w:cs="Arial"/>
                <w:sz w:val="22"/>
                <w:szCs w:val="22"/>
              </w:rPr>
              <w:t>não substitui a necessidade de AIR</w:t>
            </w:r>
            <w:r w:rsidR="00B365DA">
              <w:rPr>
                <w:rFonts w:ascii="Arial" w:hAnsi="Arial" w:cs="Arial"/>
                <w:sz w:val="22"/>
                <w:szCs w:val="22"/>
              </w:rPr>
              <w:t>. O</w:t>
            </w:r>
            <w:r w:rsidRPr="00055A20">
              <w:rPr>
                <w:rFonts w:ascii="Arial" w:hAnsi="Arial" w:cs="Arial"/>
                <w:sz w:val="22"/>
                <w:szCs w:val="22"/>
              </w:rPr>
              <w:t>s documentos não se confundem e não possuem similaridade</w:t>
            </w:r>
            <w:r w:rsidR="00B365DA">
              <w:rPr>
                <w:rFonts w:ascii="Arial" w:hAnsi="Arial" w:cs="Arial"/>
                <w:sz w:val="22"/>
                <w:szCs w:val="22"/>
              </w:rPr>
              <w:t xml:space="preserve">, </w:t>
            </w:r>
            <w:r w:rsidR="007257CD">
              <w:rPr>
                <w:rFonts w:ascii="Arial" w:hAnsi="Arial" w:cs="Arial"/>
                <w:sz w:val="22"/>
                <w:szCs w:val="22"/>
              </w:rPr>
              <w:t>e tal entendimento é temerário</w:t>
            </w:r>
            <w:r w:rsidRPr="00055A20">
              <w:rPr>
                <w:rFonts w:ascii="Arial" w:hAnsi="Arial" w:cs="Arial"/>
                <w:sz w:val="22"/>
                <w:szCs w:val="22"/>
              </w:rPr>
              <w:t>. Ademais, sustentar uma revisão relevante</w:t>
            </w:r>
            <w:r w:rsidR="007257CD">
              <w:rPr>
                <w:rFonts w:ascii="Arial" w:hAnsi="Arial" w:cs="Arial"/>
                <w:sz w:val="22"/>
                <w:szCs w:val="22"/>
              </w:rPr>
              <w:t xml:space="preserve"> como esta</w:t>
            </w:r>
            <w:r w:rsidRPr="00055A20">
              <w:rPr>
                <w:rFonts w:ascii="Arial" w:hAnsi="Arial" w:cs="Arial"/>
                <w:sz w:val="22"/>
                <w:szCs w:val="22"/>
              </w:rPr>
              <w:t>, num cenário delicado como o atual,</w:t>
            </w:r>
            <w:r w:rsidR="007257CD">
              <w:rPr>
                <w:rFonts w:ascii="Arial" w:hAnsi="Arial" w:cs="Arial"/>
                <w:sz w:val="22"/>
                <w:szCs w:val="22"/>
              </w:rPr>
              <w:t xml:space="preserve"> sem ter por uma AIR julgamos ser prejudicial para todos</w:t>
            </w:r>
            <w:r w:rsidRPr="00055A20">
              <w:rPr>
                <w:rFonts w:ascii="Arial" w:hAnsi="Arial" w:cs="Arial"/>
                <w:sz w:val="22"/>
                <w:szCs w:val="22"/>
              </w:rPr>
              <w:t>.</w:t>
            </w:r>
          </w:p>
          <w:p w14:paraId="70F2FB6A" w14:textId="77777777" w:rsidR="007F37CA" w:rsidRPr="00055A20" w:rsidRDefault="007F37CA" w:rsidP="007E5A78">
            <w:pPr>
              <w:ind w:left="118" w:right="127"/>
              <w:jc w:val="both"/>
              <w:rPr>
                <w:rFonts w:ascii="Arial" w:hAnsi="Arial" w:cs="Arial"/>
                <w:sz w:val="22"/>
                <w:szCs w:val="22"/>
              </w:rPr>
            </w:pPr>
          </w:p>
          <w:p w14:paraId="34A3F922" w14:textId="77777777" w:rsidR="007918A7" w:rsidRDefault="007F37CA" w:rsidP="007E5A78">
            <w:pPr>
              <w:ind w:left="118" w:right="127"/>
              <w:jc w:val="both"/>
              <w:rPr>
                <w:rFonts w:ascii="Arial" w:hAnsi="Arial" w:cs="Arial"/>
                <w:sz w:val="22"/>
                <w:szCs w:val="22"/>
              </w:rPr>
            </w:pPr>
            <w:r w:rsidRPr="00055A20">
              <w:rPr>
                <w:rFonts w:ascii="Arial" w:hAnsi="Arial" w:cs="Arial"/>
                <w:sz w:val="22"/>
                <w:szCs w:val="22"/>
              </w:rPr>
              <w:t>Por todo exposto, consideramos</w:t>
            </w:r>
            <w:r w:rsidR="00520AC0" w:rsidRPr="00055A20">
              <w:rPr>
                <w:rFonts w:ascii="Arial" w:hAnsi="Arial" w:cs="Arial"/>
                <w:sz w:val="22"/>
                <w:szCs w:val="22"/>
              </w:rPr>
              <w:t xml:space="preserve"> </w:t>
            </w:r>
            <w:r w:rsidR="007257CD">
              <w:rPr>
                <w:rFonts w:ascii="Arial" w:hAnsi="Arial" w:cs="Arial"/>
                <w:sz w:val="22"/>
                <w:szCs w:val="22"/>
              </w:rPr>
              <w:t xml:space="preserve">que </w:t>
            </w:r>
            <w:r w:rsidR="00520AC0" w:rsidRPr="00055A20">
              <w:rPr>
                <w:rFonts w:ascii="Arial" w:hAnsi="Arial" w:cs="Arial"/>
                <w:sz w:val="22"/>
                <w:szCs w:val="22"/>
              </w:rPr>
              <w:t>existem marcos legais suficientes para demonstrar</w:t>
            </w:r>
            <w:r w:rsidRPr="00055A20">
              <w:rPr>
                <w:rFonts w:ascii="Arial" w:hAnsi="Arial" w:cs="Arial"/>
                <w:sz w:val="22"/>
                <w:szCs w:val="22"/>
              </w:rPr>
              <w:t xml:space="preserve"> que a AIR, dentre tantos valores, </w:t>
            </w:r>
            <w:r w:rsidR="00CF1CCB" w:rsidRPr="00055A20">
              <w:rPr>
                <w:rFonts w:ascii="Arial" w:hAnsi="Arial" w:cs="Arial"/>
                <w:sz w:val="22"/>
                <w:szCs w:val="22"/>
              </w:rPr>
              <w:t xml:space="preserve">confere ao ambiente de negócios a necessária estabilidade para </w:t>
            </w:r>
            <w:r w:rsidR="00CF1CCB" w:rsidRPr="00055A20">
              <w:rPr>
                <w:rFonts w:ascii="Arial" w:hAnsi="Arial" w:cs="Arial"/>
                <w:sz w:val="22"/>
                <w:szCs w:val="22"/>
              </w:rPr>
              <w:lastRenderedPageBreak/>
              <w:t>atração de investimentos</w:t>
            </w:r>
            <w:r w:rsidR="00520AC0" w:rsidRPr="00055A20">
              <w:rPr>
                <w:rFonts w:ascii="Arial" w:hAnsi="Arial" w:cs="Arial"/>
                <w:sz w:val="22"/>
                <w:szCs w:val="22"/>
              </w:rPr>
              <w:t xml:space="preserve">. Mais que isto, a </w:t>
            </w:r>
            <w:r w:rsidR="00CF1CCB" w:rsidRPr="00055A20">
              <w:rPr>
                <w:rFonts w:ascii="Arial" w:hAnsi="Arial" w:cs="Arial"/>
                <w:sz w:val="22"/>
                <w:szCs w:val="22"/>
              </w:rPr>
              <w:t xml:space="preserve">AIR auxilia no desafio de se fazer mudanças e, ao mesmo tempo, manter estabilidade, conferindo </w:t>
            </w:r>
            <w:r w:rsidR="00520AC0" w:rsidRPr="00055A20">
              <w:rPr>
                <w:rFonts w:ascii="Arial" w:hAnsi="Arial" w:cs="Arial"/>
                <w:sz w:val="22"/>
                <w:szCs w:val="22"/>
              </w:rPr>
              <w:t>legitimidade</w:t>
            </w:r>
            <w:r w:rsidR="00520AC0">
              <w:rPr>
                <w:rFonts w:ascii="Arial" w:hAnsi="Arial" w:cs="Arial"/>
                <w:sz w:val="22"/>
                <w:szCs w:val="22"/>
              </w:rPr>
              <w:t xml:space="preserve"> às tomadas de decisão e à própria norma, além de considerarmos que há uma questão de responsabilidade relacionada com o ato de gestão do regulador.</w:t>
            </w:r>
          </w:p>
          <w:p w14:paraId="11996F49" w14:textId="77777777" w:rsidR="00520AC0" w:rsidRDefault="00520AC0" w:rsidP="007E5A78">
            <w:pPr>
              <w:ind w:left="118" w:right="127"/>
              <w:jc w:val="both"/>
              <w:rPr>
                <w:rFonts w:ascii="Arial" w:hAnsi="Arial" w:cs="Arial"/>
                <w:sz w:val="22"/>
                <w:szCs w:val="22"/>
              </w:rPr>
            </w:pPr>
          </w:p>
          <w:p w14:paraId="464F0681" w14:textId="77777777" w:rsidR="00520AC0" w:rsidRPr="00520AC0" w:rsidRDefault="00520AC0" w:rsidP="00520AC0">
            <w:pPr>
              <w:ind w:left="118" w:right="127"/>
              <w:jc w:val="both"/>
              <w:rPr>
                <w:rFonts w:ascii="Arial" w:hAnsi="Arial" w:cs="Arial"/>
                <w:sz w:val="22"/>
                <w:szCs w:val="22"/>
              </w:rPr>
            </w:pPr>
            <w:r>
              <w:rPr>
                <w:rFonts w:ascii="Arial" w:hAnsi="Arial" w:cs="Arial"/>
                <w:sz w:val="22"/>
                <w:szCs w:val="22"/>
              </w:rPr>
              <w:t>Por fim, apresentamos à título de contribuição, trazemos para o debate pontos levantados pelo</w:t>
            </w:r>
            <w:r w:rsidRPr="00520AC0">
              <w:rPr>
                <w:rFonts w:ascii="Arial" w:hAnsi="Arial" w:cs="Arial"/>
                <w:sz w:val="22"/>
                <w:szCs w:val="22"/>
              </w:rPr>
              <w:t xml:space="preserve"> Sindigás</w:t>
            </w:r>
            <w:r>
              <w:rPr>
                <w:rFonts w:ascii="Arial" w:hAnsi="Arial" w:cs="Arial"/>
                <w:sz w:val="22"/>
                <w:szCs w:val="22"/>
              </w:rPr>
              <w:t xml:space="preserve"> sobre o período de </w:t>
            </w:r>
            <w:r w:rsidRPr="0049646E">
              <w:rPr>
                <w:rFonts w:ascii="Arial" w:hAnsi="Arial" w:cs="Arial"/>
                <w:sz w:val="22"/>
                <w:szCs w:val="22"/>
              </w:rPr>
              <w:t>transitoriedade,</w:t>
            </w:r>
            <w:r w:rsidR="0049646E">
              <w:rPr>
                <w:rFonts w:ascii="Arial" w:hAnsi="Arial" w:cs="Arial"/>
                <w:sz w:val="22"/>
                <w:szCs w:val="22"/>
              </w:rPr>
              <w:t xml:space="preserve"> considerando o cenário de “saída” da Petrobras. A</w:t>
            </w:r>
            <w:r w:rsidRPr="00520AC0">
              <w:rPr>
                <w:rFonts w:ascii="Arial" w:hAnsi="Arial" w:cs="Arial"/>
                <w:sz w:val="22"/>
                <w:szCs w:val="22"/>
              </w:rPr>
              <w:t xml:space="preserve"> </w:t>
            </w:r>
            <w:hyperlink r:id="rId7" w:history="1">
              <w:r w:rsidRPr="00520AC0">
                <w:rPr>
                  <w:rStyle w:val="Hyperlink"/>
                  <w:rFonts w:ascii="Arial" w:hAnsi="Arial" w:cs="Arial"/>
                  <w:sz w:val="22"/>
                  <w:szCs w:val="22"/>
                </w:rPr>
                <w:t>manifestação</w:t>
              </w:r>
            </w:hyperlink>
            <w:r w:rsidRPr="00520AC0">
              <w:rPr>
                <w:rFonts w:ascii="Arial" w:hAnsi="Arial" w:cs="Arial"/>
                <w:sz w:val="22"/>
                <w:szCs w:val="22"/>
              </w:rPr>
              <w:t xml:space="preserve"> do Sindigás </w:t>
            </w:r>
            <w:r w:rsidR="0049646E">
              <w:rPr>
                <w:rFonts w:ascii="Arial" w:hAnsi="Arial" w:cs="Arial"/>
                <w:sz w:val="22"/>
                <w:szCs w:val="22"/>
              </w:rPr>
              <w:t>ocorreu no</w:t>
            </w:r>
            <w:r w:rsidRPr="00520AC0">
              <w:rPr>
                <w:rFonts w:ascii="Arial" w:hAnsi="Arial" w:cs="Arial"/>
                <w:sz w:val="22"/>
                <w:szCs w:val="22"/>
              </w:rPr>
              <w:t xml:space="preserve"> âmbito do Subcomitê Novo Cenário </w:t>
            </w:r>
            <w:r w:rsidRPr="00055A20">
              <w:rPr>
                <w:rFonts w:ascii="Arial" w:hAnsi="Arial" w:cs="Arial"/>
                <w:i/>
                <w:iCs/>
                <w:sz w:val="22"/>
                <w:szCs w:val="22"/>
              </w:rPr>
              <w:t>Downstream</w:t>
            </w:r>
            <w:r w:rsidRPr="00520AC0">
              <w:rPr>
                <w:rFonts w:ascii="Arial" w:hAnsi="Arial" w:cs="Arial"/>
                <w:sz w:val="22"/>
                <w:szCs w:val="22"/>
              </w:rPr>
              <w:t xml:space="preserve"> do Abastece Brasil (doc. ref. PRES/SBM/055/2020),</w:t>
            </w:r>
            <w:r w:rsidR="0049646E">
              <w:rPr>
                <w:rFonts w:ascii="Arial" w:hAnsi="Arial" w:cs="Arial"/>
                <w:sz w:val="22"/>
                <w:szCs w:val="22"/>
              </w:rPr>
              <w:t xml:space="preserve"> e julgamos conveniente </w:t>
            </w:r>
            <w:r w:rsidRPr="00520AC0">
              <w:rPr>
                <w:rFonts w:ascii="Arial" w:hAnsi="Arial" w:cs="Arial"/>
                <w:sz w:val="22"/>
                <w:szCs w:val="22"/>
              </w:rPr>
              <w:t xml:space="preserve"> destaca</w:t>
            </w:r>
            <w:r w:rsidR="0049646E">
              <w:rPr>
                <w:rFonts w:ascii="Arial" w:hAnsi="Arial" w:cs="Arial"/>
                <w:sz w:val="22"/>
                <w:szCs w:val="22"/>
              </w:rPr>
              <w:t>r</w:t>
            </w:r>
            <w:r w:rsidRPr="00520AC0">
              <w:rPr>
                <w:rFonts w:ascii="Arial" w:hAnsi="Arial" w:cs="Arial"/>
                <w:sz w:val="22"/>
                <w:szCs w:val="22"/>
              </w:rPr>
              <w:t xml:space="preserve"> abaixo </w:t>
            </w:r>
            <w:r w:rsidR="0049646E">
              <w:rPr>
                <w:rFonts w:ascii="Arial" w:hAnsi="Arial" w:cs="Arial"/>
                <w:sz w:val="22"/>
                <w:szCs w:val="22"/>
              </w:rPr>
              <w:t xml:space="preserve">os principais </w:t>
            </w:r>
            <w:r w:rsidRPr="00520AC0">
              <w:rPr>
                <w:rFonts w:ascii="Arial" w:hAnsi="Arial" w:cs="Arial"/>
                <w:sz w:val="22"/>
                <w:szCs w:val="22"/>
              </w:rPr>
              <w:t>aspectos para tratamento, que se relacionam com o tema:</w:t>
            </w:r>
          </w:p>
          <w:p w14:paraId="60B96B89" w14:textId="77777777" w:rsidR="00520AC0" w:rsidRPr="00520AC0" w:rsidRDefault="00520AC0" w:rsidP="0049646E">
            <w:pPr>
              <w:numPr>
                <w:ilvl w:val="0"/>
                <w:numId w:val="3"/>
              </w:numPr>
              <w:ind w:right="127"/>
              <w:jc w:val="both"/>
              <w:rPr>
                <w:rFonts w:ascii="Arial" w:hAnsi="Arial" w:cs="Arial"/>
                <w:sz w:val="22"/>
                <w:szCs w:val="22"/>
              </w:rPr>
            </w:pPr>
            <w:r w:rsidRPr="00520AC0">
              <w:rPr>
                <w:rFonts w:ascii="Arial" w:hAnsi="Arial" w:cs="Arial"/>
                <w:sz w:val="22"/>
                <w:szCs w:val="22"/>
              </w:rPr>
              <w:t>Importante estabelecer um prazo de transitoriedade para segurança do abastecimento primário;</w:t>
            </w:r>
          </w:p>
          <w:p w14:paraId="445F5D75" w14:textId="77777777" w:rsidR="00520AC0" w:rsidRPr="00520AC0" w:rsidRDefault="00520AC0" w:rsidP="0049646E">
            <w:pPr>
              <w:numPr>
                <w:ilvl w:val="0"/>
                <w:numId w:val="3"/>
              </w:numPr>
              <w:ind w:right="127"/>
              <w:jc w:val="both"/>
              <w:rPr>
                <w:rFonts w:ascii="Arial" w:hAnsi="Arial" w:cs="Arial"/>
                <w:sz w:val="22"/>
                <w:szCs w:val="22"/>
              </w:rPr>
            </w:pPr>
            <w:r w:rsidRPr="00520AC0">
              <w:rPr>
                <w:rFonts w:ascii="Arial" w:hAnsi="Arial" w:cs="Arial"/>
                <w:sz w:val="22"/>
                <w:szCs w:val="22"/>
              </w:rPr>
              <w:t>Recomenda-se estabelecer uma espécie de “sala de situação” para consultar, levar demandas e informações;</w:t>
            </w:r>
          </w:p>
          <w:p w14:paraId="1991208E" w14:textId="77777777" w:rsidR="00520AC0" w:rsidRPr="00520AC0" w:rsidRDefault="00520AC0" w:rsidP="0049646E">
            <w:pPr>
              <w:numPr>
                <w:ilvl w:val="0"/>
                <w:numId w:val="3"/>
              </w:numPr>
              <w:ind w:right="127"/>
              <w:jc w:val="both"/>
              <w:rPr>
                <w:rFonts w:ascii="Arial" w:hAnsi="Arial" w:cs="Arial"/>
                <w:sz w:val="22"/>
                <w:szCs w:val="22"/>
              </w:rPr>
            </w:pPr>
            <w:r w:rsidRPr="00520AC0">
              <w:rPr>
                <w:rFonts w:ascii="Arial" w:hAnsi="Arial" w:cs="Arial"/>
                <w:sz w:val="22"/>
                <w:szCs w:val="22"/>
              </w:rPr>
              <w:t>Ideal que “sala de situação” trate os dados de maneira regionalizada, de forma mais transparente, célere e eficaz, para acompanhamento das ações estabelecidas;</w:t>
            </w:r>
          </w:p>
          <w:p w14:paraId="6F9AB343" w14:textId="77777777" w:rsidR="00520AC0" w:rsidRPr="00520AC0" w:rsidRDefault="00520AC0" w:rsidP="0049646E">
            <w:pPr>
              <w:numPr>
                <w:ilvl w:val="0"/>
                <w:numId w:val="3"/>
              </w:numPr>
              <w:ind w:right="127"/>
              <w:jc w:val="both"/>
              <w:rPr>
                <w:rFonts w:ascii="Arial" w:hAnsi="Arial" w:cs="Arial"/>
                <w:sz w:val="22"/>
                <w:szCs w:val="22"/>
              </w:rPr>
            </w:pPr>
            <w:r w:rsidRPr="00520AC0">
              <w:rPr>
                <w:rFonts w:ascii="Arial" w:hAnsi="Arial" w:cs="Arial"/>
                <w:sz w:val="22"/>
                <w:szCs w:val="22"/>
              </w:rPr>
              <w:t>Agentes que estiverem operando no abastecimento primário somente devem descontinuar ou reduzir suas ofertas se apresentarem fontes alternativas;</w:t>
            </w:r>
          </w:p>
          <w:p w14:paraId="1CDBFCB7" w14:textId="77777777" w:rsidR="00520AC0" w:rsidRPr="00520AC0" w:rsidRDefault="00520AC0" w:rsidP="0049646E">
            <w:pPr>
              <w:numPr>
                <w:ilvl w:val="0"/>
                <w:numId w:val="3"/>
              </w:numPr>
              <w:ind w:right="127"/>
              <w:jc w:val="both"/>
              <w:rPr>
                <w:rFonts w:ascii="Arial" w:hAnsi="Arial" w:cs="Arial"/>
                <w:sz w:val="22"/>
                <w:szCs w:val="22"/>
              </w:rPr>
            </w:pPr>
            <w:r w:rsidRPr="00520AC0">
              <w:rPr>
                <w:rFonts w:ascii="Arial" w:hAnsi="Arial" w:cs="Arial"/>
                <w:sz w:val="22"/>
                <w:szCs w:val="22"/>
              </w:rPr>
              <w:t>Regulação deve prever a utilização, por terceiros, dos ativos/serviços da Petrobras para importação;</w:t>
            </w:r>
          </w:p>
          <w:p w14:paraId="3E7AB732" w14:textId="77777777" w:rsidR="00520AC0" w:rsidRPr="00520AC0" w:rsidRDefault="00520AC0" w:rsidP="0049646E">
            <w:pPr>
              <w:numPr>
                <w:ilvl w:val="0"/>
                <w:numId w:val="3"/>
              </w:numPr>
              <w:ind w:right="127"/>
              <w:jc w:val="both"/>
              <w:rPr>
                <w:rFonts w:ascii="Arial" w:hAnsi="Arial" w:cs="Arial"/>
                <w:sz w:val="22"/>
                <w:szCs w:val="22"/>
              </w:rPr>
            </w:pPr>
            <w:r w:rsidRPr="00520AC0">
              <w:rPr>
                <w:rFonts w:ascii="Arial" w:hAnsi="Arial" w:cs="Arial"/>
                <w:sz w:val="22"/>
                <w:szCs w:val="22"/>
              </w:rPr>
              <w:t>Investimentos em infraestrutura em geral tomam tempo para estarem operativos;</w:t>
            </w:r>
          </w:p>
          <w:p w14:paraId="04D2D448" w14:textId="77777777" w:rsidR="00520AC0" w:rsidRPr="00520AC0" w:rsidRDefault="00520AC0" w:rsidP="0049646E">
            <w:pPr>
              <w:numPr>
                <w:ilvl w:val="0"/>
                <w:numId w:val="3"/>
              </w:numPr>
              <w:ind w:right="127"/>
              <w:jc w:val="both"/>
              <w:rPr>
                <w:rFonts w:ascii="Arial" w:hAnsi="Arial" w:cs="Arial"/>
                <w:sz w:val="22"/>
                <w:szCs w:val="22"/>
              </w:rPr>
            </w:pPr>
            <w:r w:rsidRPr="00520AC0">
              <w:rPr>
                <w:rFonts w:ascii="Arial" w:hAnsi="Arial" w:cs="Arial"/>
                <w:sz w:val="22"/>
                <w:szCs w:val="22"/>
              </w:rPr>
              <w:t>Não confundir estoques estratégicos com operacionais;</w:t>
            </w:r>
          </w:p>
          <w:p w14:paraId="27267CD7" w14:textId="77777777" w:rsidR="00520AC0" w:rsidRPr="00520AC0" w:rsidRDefault="00520AC0" w:rsidP="0049646E">
            <w:pPr>
              <w:numPr>
                <w:ilvl w:val="0"/>
                <w:numId w:val="3"/>
              </w:numPr>
              <w:ind w:right="127"/>
              <w:jc w:val="both"/>
              <w:rPr>
                <w:rFonts w:ascii="Arial" w:hAnsi="Arial" w:cs="Arial"/>
                <w:sz w:val="22"/>
                <w:szCs w:val="22"/>
              </w:rPr>
            </w:pPr>
            <w:r w:rsidRPr="00520AC0">
              <w:rPr>
                <w:rFonts w:ascii="Arial" w:hAnsi="Arial" w:cs="Arial"/>
                <w:sz w:val="22"/>
                <w:szCs w:val="22"/>
              </w:rPr>
              <w:t>Debates sobre propostas devem ser sustentados economicamente (AIR).</w:t>
            </w:r>
          </w:p>
          <w:p w14:paraId="0A8FFDCE" w14:textId="77777777" w:rsidR="007918A7" w:rsidRDefault="007918A7" w:rsidP="007E5A78">
            <w:pPr>
              <w:ind w:left="118" w:right="127"/>
              <w:rPr>
                <w:rFonts w:ascii="Arial" w:eastAsia="Arial Unicode MS" w:hAnsi="Arial" w:cs="Arial"/>
                <w:sz w:val="24"/>
                <w:szCs w:val="24"/>
              </w:rPr>
            </w:pPr>
          </w:p>
          <w:p w14:paraId="51087611" w14:textId="77777777" w:rsidR="0049646E" w:rsidRDefault="0049646E" w:rsidP="0049646E">
            <w:pPr>
              <w:ind w:left="118" w:right="127"/>
              <w:jc w:val="both"/>
              <w:rPr>
                <w:rFonts w:ascii="Arial" w:eastAsia="Arial Unicode MS" w:hAnsi="Arial" w:cs="Arial"/>
                <w:sz w:val="24"/>
                <w:szCs w:val="24"/>
              </w:rPr>
            </w:pPr>
          </w:p>
        </w:tc>
      </w:tr>
      <w:tr w:rsidR="00C13A89" w14:paraId="22BB8840" w14:textId="77777777" w:rsidTr="00076733">
        <w:trPr>
          <w:trHeight w:val="607"/>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1F67A58" w14:textId="77777777" w:rsidR="00C13A89" w:rsidRPr="00C13A89" w:rsidRDefault="00C13A89" w:rsidP="000F43D7">
            <w:pPr>
              <w:rPr>
                <w:rFonts w:ascii="Arial" w:hAnsi="Arial" w:cs="Arial"/>
              </w:rPr>
            </w:pPr>
            <w:r>
              <w:rPr>
                <w:rFonts w:ascii="Arial" w:hAnsi="Arial" w:cs="Arial"/>
              </w:rPr>
              <w:lastRenderedPageBreak/>
              <w:t> </w:t>
            </w:r>
          </w:p>
          <w:p w14:paraId="07C035F9" w14:textId="77777777" w:rsidR="00C13A89" w:rsidRPr="00C13A89" w:rsidRDefault="00C13A89" w:rsidP="000F43D7">
            <w:pPr>
              <w:rPr>
                <w:rFonts w:ascii="Arial" w:hAnsi="Arial" w:cs="Arial"/>
                <w:b/>
                <w:bCs/>
              </w:rPr>
            </w:pPr>
            <w:r>
              <w:rPr>
                <w:rFonts w:ascii="Arial" w:hAnsi="Arial" w:cs="Arial"/>
                <w:b/>
                <w:bCs/>
              </w:rPr>
              <w:t> </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3E3472E" w14:textId="77777777" w:rsidR="00C13A89" w:rsidRPr="00C13A89" w:rsidRDefault="00C13A89" w:rsidP="000F43D7">
            <w:pPr>
              <w:rPr>
                <w:rFonts w:ascii="Arial" w:hAnsi="Arial" w:cs="Arial"/>
              </w:rPr>
            </w:pPr>
            <w:r>
              <w:rPr>
                <w:rFonts w:ascii="Arial" w:hAnsi="Arial" w:cs="Arial"/>
              </w:rPr>
              <w:t> </w:t>
            </w:r>
          </w:p>
        </w:tc>
        <w:tc>
          <w:tcPr>
            <w:tcW w:w="9355"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12E929D" w14:textId="77777777" w:rsidR="00C13A89" w:rsidRPr="00C13A89" w:rsidRDefault="00C13A89" w:rsidP="000F43D7">
            <w:pPr>
              <w:rPr>
                <w:rFonts w:ascii="Arial" w:hAnsi="Arial" w:cs="Arial"/>
              </w:rPr>
            </w:pPr>
            <w:r>
              <w:rPr>
                <w:rFonts w:ascii="Arial" w:hAnsi="Arial" w:cs="Arial"/>
              </w:rPr>
              <w:t> </w:t>
            </w:r>
          </w:p>
        </w:tc>
      </w:tr>
    </w:tbl>
    <w:p w14:paraId="0F66B26E" w14:textId="77777777" w:rsidR="004602FD" w:rsidRPr="00100689" w:rsidRDefault="00100689" w:rsidP="00100689">
      <w:pPr>
        <w:jc w:val="center"/>
        <w:rPr>
          <w:sz w:val="26"/>
          <w:szCs w:val="26"/>
        </w:rPr>
      </w:pPr>
      <w:r>
        <w:rPr>
          <w:rFonts w:ascii="Arial" w:eastAsia="Arial Unicode MS" w:hAnsi="Arial" w:cs="Arial"/>
          <w:sz w:val="24"/>
          <w:szCs w:val="24"/>
        </w:rPr>
        <w:t xml:space="preserve">Este formulário deverá ser encaminhado à ANP para o endereço eletrônico: </w:t>
      </w:r>
      <w:r w:rsidR="00C775A3" w:rsidRPr="00C775A3">
        <w:rPr>
          <w:rFonts w:ascii="Arial" w:eastAsia="Arial Unicode MS" w:hAnsi="Arial" w:cs="Arial"/>
          <w:sz w:val="24"/>
          <w:szCs w:val="24"/>
        </w:rPr>
        <w:t>audiencia_s</w:t>
      </w:r>
      <w:r w:rsidR="00D144DA">
        <w:rPr>
          <w:rFonts w:ascii="Arial" w:eastAsia="Arial Unicode MS" w:hAnsi="Arial" w:cs="Arial"/>
          <w:sz w:val="24"/>
          <w:szCs w:val="24"/>
        </w:rPr>
        <w:t>im_251</w:t>
      </w:r>
      <w:r w:rsidR="00C775A3" w:rsidRPr="00C775A3">
        <w:rPr>
          <w:rFonts w:ascii="Arial" w:eastAsia="Arial Unicode MS" w:hAnsi="Arial" w:cs="Arial"/>
          <w:sz w:val="24"/>
          <w:szCs w:val="24"/>
        </w:rPr>
        <w:t>@anp.gov.br</w:t>
      </w:r>
      <w:r w:rsidR="00570C4C" w:rsidRPr="00EE067B">
        <w:rPr>
          <w:rFonts w:ascii="Arial" w:eastAsia="Arial Unicode MS" w:hAnsi="Arial" w:cs="Arial"/>
          <w:sz w:val="24"/>
          <w:szCs w:val="24"/>
        </w:rPr>
        <w:t>.</w:t>
      </w:r>
    </w:p>
    <w:sectPr w:rsidR="004602FD" w:rsidRPr="00100689" w:rsidSect="00CF534B">
      <w:pgSz w:w="16840" w:h="11907" w:orient="landscape" w:code="9"/>
      <w:pgMar w:top="1418"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E55EC"/>
    <w:multiLevelType w:val="hybridMultilevel"/>
    <w:tmpl w:val="1F70522C"/>
    <w:lvl w:ilvl="0" w:tplc="26C6E1B2">
      <w:start w:val="1"/>
      <w:numFmt w:val="decimal"/>
      <w:lvlText w:val="%1)"/>
      <w:lvlJc w:val="left"/>
      <w:pPr>
        <w:ind w:left="478" w:hanging="360"/>
      </w:pPr>
      <w:rPr>
        <w:rFonts w:hint="default"/>
      </w:rPr>
    </w:lvl>
    <w:lvl w:ilvl="1" w:tplc="04160019" w:tentative="1">
      <w:start w:val="1"/>
      <w:numFmt w:val="lowerLetter"/>
      <w:lvlText w:val="%2."/>
      <w:lvlJc w:val="left"/>
      <w:pPr>
        <w:ind w:left="1198" w:hanging="360"/>
      </w:pPr>
    </w:lvl>
    <w:lvl w:ilvl="2" w:tplc="0416001B" w:tentative="1">
      <w:start w:val="1"/>
      <w:numFmt w:val="lowerRoman"/>
      <w:lvlText w:val="%3."/>
      <w:lvlJc w:val="right"/>
      <w:pPr>
        <w:ind w:left="1918" w:hanging="180"/>
      </w:pPr>
    </w:lvl>
    <w:lvl w:ilvl="3" w:tplc="0416000F" w:tentative="1">
      <w:start w:val="1"/>
      <w:numFmt w:val="decimal"/>
      <w:lvlText w:val="%4."/>
      <w:lvlJc w:val="left"/>
      <w:pPr>
        <w:ind w:left="2638" w:hanging="360"/>
      </w:pPr>
    </w:lvl>
    <w:lvl w:ilvl="4" w:tplc="04160019" w:tentative="1">
      <w:start w:val="1"/>
      <w:numFmt w:val="lowerLetter"/>
      <w:lvlText w:val="%5."/>
      <w:lvlJc w:val="left"/>
      <w:pPr>
        <w:ind w:left="3358" w:hanging="360"/>
      </w:pPr>
    </w:lvl>
    <w:lvl w:ilvl="5" w:tplc="0416001B" w:tentative="1">
      <w:start w:val="1"/>
      <w:numFmt w:val="lowerRoman"/>
      <w:lvlText w:val="%6."/>
      <w:lvlJc w:val="right"/>
      <w:pPr>
        <w:ind w:left="4078" w:hanging="180"/>
      </w:pPr>
    </w:lvl>
    <w:lvl w:ilvl="6" w:tplc="0416000F" w:tentative="1">
      <w:start w:val="1"/>
      <w:numFmt w:val="decimal"/>
      <w:lvlText w:val="%7."/>
      <w:lvlJc w:val="left"/>
      <w:pPr>
        <w:ind w:left="4798" w:hanging="360"/>
      </w:pPr>
    </w:lvl>
    <w:lvl w:ilvl="7" w:tplc="04160019" w:tentative="1">
      <w:start w:val="1"/>
      <w:numFmt w:val="lowerLetter"/>
      <w:lvlText w:val="%8."/>
      <w:lvlJc w:val="left"/>
      <w:pPr>
        <w:ind w:left="5518" w:hanging="360"/>
      </w:pPr>
    </w:lvl>
    <w:lvl w:ilvl="8" w:tplc="0416001B" w:tentative="1">
      <w:start w:val="1"/>
      <w:numFmt w:val="lowerRoman"/>
      <w:lvlText w:val="%9."/>
      <w:lvlJc w:val="right"/>
      <w:pPr>
        <w:ind w:left="6238" w:hanging="180"/>
      </w:pPr>
    </w:lvl>
  </w:abstractNum>
  <w:abstractNum w:abstractNumId="1" w15:restartNumberingAfterBreak="0">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C263C8"/>
    <w:multiLevelType w:val="hybridMultilevel"/>
    <w:tmpl w:val="8ABE41A4"/>
    <w:lvl w:ilvl="0" w:tplc="B9D6F640">
      <w:start w:val="1"/>
      <w:numFmt w:val="bullet"/>
      <w:lvlText w:val=""/>
      <w:lvlJc w:val="left"/>
      <w:pPr>
        <w:tabs>
          <w:tab w:val="num" w:pos="720"/>
        </w:tabs>
        <w:ind w:left="720" w:hanging="360"/>
      </w:pPr>
      <w:rPr>
        <w:rFonts w:ascii="Wingdings" w:hAnsi="Wingdings" w:hint="default"/>
      </w:rPr>
    </w:lvl>
    <w:lvl w:ilvl="1" w:tplc="829E6EA0">
      <w:start w:val="1"/>
      <w:numFmt w:val="bullet"/>
      <w:lvlText w:val=""/>
      <w:lvlJc w:val="left"/>
      <w:pPr>
        <w:tabs>
          <w:tab w:val="num" w:pos="1440"/>
        </w:tabs>
        <w:ind w:left="1440" w:hanging="360"/>
      </w:pPr>
      <w:rPr>
        <w:rFonts w:ascii="Wingdings" w:hAnsi="Wingdings" w:hint="default"/>
      </w:rPr>
    </w:lvl>
    <w:lvl w:ilvl="2" w:tplc="6CD6E6BA" w:tentative="1">
      <w:start w:val="1"/>
      <w:numFmt w:val="bullet"/>
      <w:lvlText w:val=""/>
      <w:lvlJc w:val="left"/>
      <w:pPr>
        <w:tabs>
          <w:tab w:val="num" w:pos="2160"/>
        </w:tabs>
        <w:ind w:left="2160" w:hanging="360"/>
      </w:pPr>
      <w:rPr>
        <w:rFonts w:ascii="Wingdings" w:hAnsi="Wingdings" w:hint="default"/>
      </w:rPr>
    </w:lvl>
    <w:lvl w:ilvl="3" w:tplc="1444F066" w:tentative="1">
      <w:start w:val="1"/>
      <w:numFmt w:val="bullet"/>
      <w:lvlText w:val=""/>
      <w:lvlJc w:val="left"/>
      <w:pPr>
        <w:tabs>
          <w:tab w:val="num" w:pos="2880"/>
        </w:tabs>
        <w:ind w:left="2880" w:hanging="360"/>
      </w:pPr>
      <w:rPr>
        <w:rFonts w:ascii="Wingdings" w:hAnsi="Wingdings" w:hint="default"/>
      </w:rPr>
    </w:lvl>
    <w:lvl w:ilvl="4" w:tplc="18DAC4EE" w:tentative="1">
      <w:start w:val="1"/>
      <w:numFmt w:val="bullet"/>
      <w:lvlText w:val=""/>
      <w:lvlJc w:val="left"/>
      <w:pPr>
        <w:tabs>
          <w:tab w:val="num" w:pos="3600"/>
        </w:tabs>
        <w:ind w:left="3600" w:hanging="360"/>
      </w:pPr>
      <w:rPr>
        <w:rFonts w:ascii="Wingdings" w:hAnsi="Wingdings" w:hint="default"/>
      </w:rPr>
    </w:lvl>
    <w:lvl w:ilvl="5" w:tplc="9C0E3EC6" w:tentative="1">
      <w:start w:val="1"/>
      <w:numFmt w:val="bullet"/>
      <w:lvlText w:val=""/>
      <w:lvlJc w:val="left"/>
      <w:pPr>
        <w:tabs>
          <w:tab w:val="num" w:pos="4320"/>
        </w:tabs>
        <w:ind w:left="4320" w:hanging="360"/>
      </w:pPr>
      <w:rPr>
        <w:rFonts w:ascii="Wingdings" w:hAnsi="Wingdings" w:hint="default"/>
      </w:rPr>
    </w:lvl>
    <w:lvl w:ilvl="6" w:tplc="A3EAEBD2" w:tentative="1">
      <w:start w:val="1"/>
      <w:numFmt w:val="bullet"/>
      <w:lvlText w:val=""/>
      <w:lvlJc w:val="left"/>
      <w:pPr>
        <w:tabs>
          <w:tab w:val="num" w:pos="5040"/>
        </w:tabs>
        <w:ind w:left="5040" w:hanging="360"/>
      </w:pPr>
      <w:rPr>
        <w:rFonts w:ascii="Wingdings" w:hAnsi="Wingdings" w:hint="default"/>
      </w:rPr>
    </w:lvl>
    <w:lvl w:ilvl="7" w:tplc="94D89EA6" w:tentative="1">
      <w:start w:val="1"/>
      <w:numFmt w:val="bullet"/>
      <w:lvlText w:val=""/>
      <w:lvlJc w:val="left"/>
      <w:pPr>
        <w:tabs>
          <w:tab w:val="num" w:pos="5760"/>
        </w:tabs>
        <w:ind w:left="5760" w:hanging="360"/>
      </w:pPr>
      <w:rPr>
        <w:rFonts w:ascii="Wingdings" w:hAnsi="Wingdings" w:hint="default"/>
      </w:rPr>
    </w:lvl>
    <w:lvl w:ilvl="8" w:tplc="BE02D26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2C"/>
    <w:rsid w:val="00016F0D"/>
    <w:rsid w:val="000303C4"/>
    <w:rsid w:val="00055A20"/>
    <w:rsid w:val="0007665E"/>
    <w:rsid w:val="00076733"/>
    <w:rsid w:val="000873C6"/>
    <w:rsid w:val="000B651B"/>
    <w:rsid w:val="000C742C"/>
    <w:rsid w:val="000F43D7"/>
    <w:rsid w:val="00100689"/>
    <w:rsid w:val="00107E1B"/>
    <w:rsid w:val="001D400B"/>
    <w:rsid w:val="001F74A0"/>
    <w:rsid w:val="002109D6"/>
    <w:rsid w:val="00237E7F"/>
    <w:rsid w:val="00245CC0"/>
    <w:rsid w:val="0026582D"/>
    <w:rsid w:val="002808DC"/>
    <w:rsid w:val="00287B41"/>
    <w:rsid w:val="002E55F5"/>
    <w:rsid w:val="002F0332"/>
    <w:rsid w:val="00300A6E"/>
    <w:rsid w:val="00307D0A"/>
    <w:rsid w:val="003711DF"/>
    <w:rsid w:val="00382DF3"/>
    <w:rsid w:val="00384878"/>
    <w:rsid w:val="003B0512"/>
    <w:rsid w:val="003D583C"/>
    <w:rsid w:val="003E05A7"/>
    <w:rsid w:val="00420B5E"/>
    <w:rsid w:val="00453DA3"/>
    <w:rsid w:val="004602FD"/>
    <w:rsid w:val="00471191"/>
    <w:rsid w:val="00482F43"/>
    <w:rsid w:val="0049646E"/>
    <w:rsid w:val="004B0DC5"/>
    <w:rsid w:val="004F6895"/>
    <w:rsid w:val="00512DA8"/>
    <w:rsid w:val="00520AC0"/>
    <w:rsid w:val="00543CD6"/>
    <w:rsid w:val="00570C4C"/>
    <w:rsid w:val="00573AD7"/>
    <w:rsid w:val="00586DD3"/>
    <w:rsid w:val="005B578F"/>
    <w:rsid w:val="00630CF4"/>
    <w:rsid w:val="00671FED"/>
    <w:rsid w:val="0068308F"/>
    <w:rsid w:val="006921EA"/>
    <w:rsid w:val="006C7878"/>
    <w:rsid w:val="006F3AC2"/>
    <w:rsid w:val="00712EF1"/>
    <w:rsid w:val="007257CD"/>
    <w:rsid w:val="00735912"/>
    <w:rsid w:val="00762754"/>
    <w:rsid w:val="007918A7"/>
    <w:rsid w:val="007B5BAC"/>
    <w:rsid w:val="007E0C44"/>
    <w:rsid w:val="007E5A78"/>
    <w:rsid w:val="007E60DA"/>
    <w:rsid w:val="007E72EF"/>
    <w:rsid w:val="007F37CA"/>
    <w:rsid w:val="0085243A"/>
    <w:rsid w:val="00852D24"/>
    <w:rsid w:val="00873D18"/>
    <w:rsid w:val="008A2D46"/>
    <w:rsid w:val="008C0A6C"/>
    <w:rsid w:val="008E1D4F"/>
    <w:rsid w:val="009137B5"/>
    <w:rsid w:val="009243D6"/>
    <w:rsid w:val="00947621"/>
    <w:rsid w:val="00965928"/>
    <w:rsid w:val="009876F8"/>
    <w:rsid w:val="009A7203"/>
    <w:rsid w:val="009E5AD5"/>
    <w:rsid w:val="009F1FEC"/>
    <w:rsid w:val="00A20602"/>
    <w:rsid w:val="00A62CB9"/>
    <w:rsid w:val="00A66F3B"/>
    <w:rsid w:val="00A67471"/>
    <w:rsid w:val="00A94E85"/>
    <w:rsid w:val="00AB5AD1"/>
    <w:rsid w:val="00AC0576"/>
    <w:rsid w:val="00AD3DD9"/>
    <w:rsid w:val="00B10733"/>
    <w:rsid w:val="00B365DA"/>
    <w:rsid w:val="00B74C89"/>
    <w:rsid w:val="00BB004F"/>
    <w:rsid w:val="00BB737F"/>
    <w:rsid w:val="00BD5993"/>
    <w:rsid w:val="00BE5929"/>
    <w:rsid w:val="00C13A89"/>
    <w:rsid w:val="00C16410"/>
    <w:rsid w:val="00C41D7B"/>
    <w:rsid w:val="00C775A3"/>
    <w:rsid w:val="00C94BE5"/>
    <w:rsid w:val="00CD60C8"/>
    <w:rsid w:val="00CD7D9E"/>
    <w:rsid w:val="00CF1CCB"/>
    <w:rsid w:val="00CF2605"/>
    <w:rsid w:val="00CF534B"/>
    <w:rsid w:val="00CF6B1C"/>
    <w:rsid w:val="00D060D3"/>
    <w:rsid w:val="00D1059E"/>
    <w:rsid w:val="00D11F5B"/>
    <w:rsid w:val="00D144DA"/>
    <w:rsid w:val="00D60BA3"/>
    <w:rsid w:val="00D712D4"/>
    <w:rsid w:val="00DD5C2E"/>
    <w:rsid w:val="00E00C69"/>
    <w:rsid w:val="00E27094"/>
    <w:rsid w:val="00E51418"/>
    <w:rsid w:val="00E80D44"/>
    <w:rsid w:val="00EA591A"/>
    <w:rsid w:val="00ED7714"/>
    <w:rsid w:val="00EE067B"/>
    <w:rsid w:val="00EE5CA6"/>
    <w:rsid w:val="00F72458"/>
    <w:rsid w:val="00FD2C11"/>
    <w:rsid w:val="00FD6325"/>
    <w:rsid w:val="00FF4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7FBA99D"/>
  <w15:chartTrackingRefBased/>
  <w15:docId w15:val="{8BE51969-F915-2847-8DF7-DA4D6A55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uiPriority w:val="99"/>
    <w:unhideWhenUsed/>
    <w:rsid w:val="00100689"/>
    <w:rPr>
      <w:color w:val="0000FF"/>
      <w:u w:val="single"/>
    </w:rPr>
  </w:style>
  <w:style w:type="character" w:customStyle="1" w:styleId="MenoPendente1">
    <w:name w:val="Menção Pendente1"/>
    <w:uiPriority w:val="99"/>
    <w:semiHidden/>
    <w:unhideWhenUsed/>
    <w:rsid w:val="001D400B"/>
    <w:rPr>
      <w:color w:val="605E5C"/>
      <w:shd w:val="clear" w:color="auto" w:fill="E1DFDD"/>
    </w:rPr>
  </w:style>
  <w:style w:type="paragraph" w:customStyle="1" w:styleId="Default">
    <w:name w:val="Default"/>
    <w:rsid w:val="007E0C44"/>
    <w:pPr>
      <w:autoSpaceDE w:val="0"/>
      <w:autoSpaceDN w:val="0"/>
      <w:adjustRightInd w:val="0"/>
    </w:pPr>
    <w:rPr>
      <w:rFonts w:ascii="Calibri" w:hAnsi="Calibri" w:cs="Calibri"/>
      <w:color w:val="000000"/>
      <w:sz w:val="24"/>
      <w:szCs w:val="24"/>
    </w:rPr>
  </w:style>
  <w:style w:type="character" w:styleId="HiperlinkVisitado">
    <w:name w:val="FollowedHyperlink"/>
    <w:uiPriority w:val="99"/>
    <w:semiHidden/>
    <w:unhideWhenUsed/>
    <w:rsid w:val="007E5A78"/>
    <w:rPr>
      <w:color w:val="954F72"/>
      <w:u w:val="single"/>
    </w:rPr>
  </w:style>
  <w:style w:type="paragraph" w:styleId="NormalWeb">
    <w:name w:val="Normal (Web)"/>
    <w:basedOn w:val="Normal"/>
    <w:uiPriority w:val="99"/>
    <w:semiHidden/>
    <w:unhideWhenUsed/>
    <w:rsid w:val="00520AC0"/>
    <w:pPr>
      <w:spacing w:before="100" w:beforeAutospacing="1" w:after="100" w:afterAutospacing="1"/>
    </w:pPr>
    <w:rPr>
      <w:sz w:val="24"/>
      <w:szCs w:val="24"/>
    </w:rPr>
  </w:style>
  <w:style w:type="character" w:styleId="MenoPendente">
    <w:name w:val="Unresolved Mention"/>
    <w:uiPriority w:val="99"/>
    <w:semiHidden/>
    <w:unhideWhenUsed/>
    <w:rsid w:val="00520AC0"/>
    <w:rPr>
      <w:color w:val="605E5C"/>
      <w:shd w:val="clear" w:color="auto" w:fill="E1DFDD"/>
    </w:rPr>
  </w:style>
  <w:style w:type="paragraph" w:styleId="Textodebalo">
    <w:name w:val="Balloon Text"/>
    <w:basedOn w:val="Normal"/>
    <w:link w:val="TextodebaloChar"/>
    <w:uiPriority w:val="99"/>
    <w:semiHidden/>
    <w:unhideWhenUsed/>
    <w:rsid w:val="003711DF"/>
    <w:rPr>
      <w:rFonts w:ascii="Segoe UI" w:hAnsi="Segoe UI" w:cs="Segoe UI"/>
      <w:sz w:val="18"/>
      <w:szCs w:val="18"/>
    </w:rPr>
  </w:style>
  <w:style w:type="character" w:customStyle="1" w:styleId="TextodebaloChar">
    <w:name w:val="Texto de balão Char"/>
    <w:link w:val="Textodebalo"/>
    <w:uiPriority w:val="99"/>
    <w:semiHidden/>
    <w:rsid w:val="003711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956906">
      <w:bodyDiv w:val="1"/>
      <w:marLeft w:val="0"/>
      <w:marRight w:val="0"/>
      <w:marTop w:val="0"/>
      <w:marBottom w:val="0"/>
      <w:divBdr>
        <w:top w:val="none" w:sz="0" w:space="0" w:color="auto"/>
        <w:left w:val="none" w:sz="0" w:space="0" w:color="auto"/>
        <w:bottom w:val="none" w:sz="0" w:space="0" w:color="auto"/>
        <w:right w:val="none" w:sz="0" w:space="0" w:color="auto"/>
      </w:divBdr>
      <w:divsChild>
        <w:div w:id="37633841">
          <w:marLeft w:val="1310"/>
          <w:marRight w:val="0"/>
          <w:marTop w:val="120"/>
          <w:marBottom w:val="0"/>
          <w:divBdr>
            <w:top w:val="none" w:sz="0" w:space="0" w:color="auto"/>
            <w:left w:val="none" w:sz="0" w:space="0" w:color="auto"/>
            <w:bottom w:val="none" w:sz="0" w:space="0" w:color="auto"/>
            <w:right w:val="none" w:sz="0" w:space="0" w:color="auto"/>
          </w:divBdr>
        </w:div>
        <w:div w:id="1328971665">
          <w:marLeft w:val="590"/>
          <w:marRight w:val="0"/>
          <w:marTop w:val="120"/>
          <w:marBottom w:val="0"/>
          <w:divBdr>
            <w:top w:val="none" w:sz="0" w:space="0" w:color="auto"/>
            <w:left w:val="none" w:sz="0" w:space="0" w:color="auto"/>
            <w:bottom w:val="none" w:sz="0" w:space="0" w:color="auto"/>
            <w:right w:val="none" w:sz="0" w:space="0" w:color="auto"/>
          </w:divBdr>
        </w:div>
      </w:divsChild>
    </w:div>
    <w:div w:id="1744254448">
      <w:bodyDiv w:val="1"/>
      <w:marLeft w:val="0"/>
      <w:marRight w:val="0"/>
      <w:marTop w:val="0"/>
      <w:marBottom w:val="0"/>
      <w:divBdr>
        <w:top w:val="none" w:sz="0" w:space="0" w:color="auto"/>
        <w:left w:val="none" w:sz="0" w:space="0" w:color="auto"/>
        <w:bottom w:val="none" w:sz="0" w:space="0" w:color="auto"/>
        <w:right w:val="none" w:sz="0" w:space="0" w:color="auto"/>
      </w:divBdr>
      <w:divsChild>
        <w:div w:id="271712455">
          <w:marLeft w:val="0"/>
          <w:marRight w:val="0"/>
          <w:marTop w:val="0"/>
          <w:marBottom w:val="0"/>
          <w:divBdr>
            <w:top w:val="none" w:sz="0" w:space="0" w:color="auto"/>
            <w:left w:val="none" w:sz="0" w:space="0" w:color="auto"/>
            <w:bottom w:val="none" w:sz="0" w:space="0" w:color="auto"/>
            <w:right w:val="none" w:sz="0" w:space="0" w:color="auto"/>
          </w:divBdr>
        </w:div>
      </w:divsChild>
    </w:div>
    <w:div w:id="1872956669">
      <w:bodyDiv w:val="1"/>
      <w:marLeft w:val="0"/>
      <w:marRight w:val="0"/>
      <w:marTop w:val="0"/>
      <w:marBottom w:val="0"/>
      <w:divBdr>
        <w:top w:val="none" w:sz="0" w:space="0" w:color="auto"/>
        <w:left w:val="none" w:sz="0" w:space="0" w:color="auto"/>
        <w:bottom w:val="none" w:sz="0" w:space="0" w:color="auto"/>
        <w:right w:val="none" w:sz="0" w:space="0" w:color="auto"/>
      </w:divBdr>
    </w:div>
    <w:div w:id="1950703244">
      <w:bodyDiv w:val="1"/>
      <w:marLeft w:val="0"/>
      <w:marRight w:val="0"/>
      <w:marTop w:val="0"/>
      <w:marBottom w:val="0"/>
      <w:divBdr>
        <w:top w:val="none" w:sz="0" w:space="0" w:color="auto"/>
        <w:left w:val="none" w:sz="0" w:space="0" w:color="auto"/>
        <w:bottom w:val="none" w:sz="0" w:space="0" w:color="auto"/>
        <w:right w:val="none" w:sz="0" w:space="0" w:color="auto"/>
      </w:divBdr>
      <w:divsChild>
        <w:div w:id="20328749">
          <w:marLeft w:val="1166"/>
          <w:marRight w:val="0"/>
          <w:marTop w:val="120"/>
          <w:marBottom w:val="0"/>
          <w:divBdr>
            <w:top w:val="none" w:sz="0" w:space="0" w:color="auto"/>
            <w:left w:val="none" w:sz="0" w:space="0" w:color="auto"/>
            <w:bottom w:val="none" w:sz="0" w:space="0" w:color="auto"/>
            <w:right w:val="none" w:sz="0" w:space="0" w:color="auto"/>
          </w:divBdr>
        </w:div>
        <w:div w:id="440805799">
          <w:marLeft w:val="1166"/>
          <w:marRight w:val="0"/>
          <w:marTop w:val="0"/>
          <w:marBottom w:val="0"/>
          <w:divBdr>
            <w:top w:val="none" w:sz="0" w:space="0" w:color="auto"/>
            <w:left w:val="none" w:sz="0" w:space="0" w:color="auto"/>
            <w:bottom w:val="none" w:sz="0" w:space="0" w:color="auto"/>
            <w:right w:val="none" w:sz="0" w:space="0" w:color="auto"/>
          </w:divBdr>
        </w:div>
        <w:div w:id="580406516">
          <w:marLeft w:val="1166"/>
          <w:marRight w:val="0"/>
          <w:marTop w:val="120"/>
          <w:marBottom w:val="0"/>
          <w:divBdr>
            <w:top w:val="none" w:sz="0" w:space="0" w:color="auto"/>
            <w:left w:val="none" w:sz="0" w:space="0" w:color="auto"/>
            <w:bottom w:val="none" w:sz="0" w:space="0" w:color="auto"/>
            <w:right w:val="none" w:sz="0" w:space="0" w:color="auto"/>
          </w:divBdr>
        </w:div>
        <w:div w:id="765732923">
          <w:marLeft w:val="1166"/>
          <w:marRight w:val="0"/>
          <w:marTop w:val="120"/>
          <w:marBottom w:val="0"/>
          <w:divBdr>
            <w:top w:val="none" w:sz="0" w:space="0" w:color="auto"/>
            <w:left w:val="none" w:sz="0" w:space="0" w:color="auto"/>
            <w:bottom w:val="none" w:sz="0" w:space="0" w:color="auto"/>
            <w:right w:val="none" w:sz="0" w:space="0" w:color="auto"/>
          </w:divBdr>
        </w:div>
        <w:div w:id="829248414">
          <w:marLeft w:val="1166"/>
          <w:marRight w:val="0"/>
          <w:marTop w:val="120"/>
          <w:marBottom w:val="0"/>
          <w:divBdr>
            <w:top w:val="none" w:sz="0" w:space="0" w:color="auto"/>
            <w:left w:val="none" w:sz="0" w:space="0" w:color="auto"/>
            <w:bottom w:val="none" w:sz="0" w:space="0" w:color="auto"/>
            <w:right w:val="none" w:sz="0" w:space="0" w:color="auto"/>
          </w:divBdr>
        </w:div>
        <w:div w:id="995452805">
          <w:marLeft w:val="1166"/>
          <w:marRight w:val="0"/>
          <w:marTop w:val="120"/>
          <w:marBottom w:val="0"/>
          <w:divBdr>
            <w:top w:val="none" w:sz="0" w:space="0" w:color="auto"/>
            <w:left w:val="none" w:sz="0" w:space="0" w:color="auto"/>
            <w:bottom w:val="none" w:sz="0" w:space="0" w:color="auto"/>
            <w:right w:val="none" w:sz="0" w:space="0" w:color="auto"/>
          </w:divBdr>
        </w:div>
        <w:div w:id="1515918121">
          <w:marLeft w:val="1166"/>
          <w:marRight w:val="0"/>
          <w:marTop w:val="120"/>
          <w:marBottom w:val="0"/>
          <w:divBdr>
            <w:top w:val="none" w:sz="0" w:space="0" w:color="auto"/>
            <w:left w:val="none" w:sz="0" w:space="0" w:color="auto"/>
            <w:bottom w:val="none" w:sz="0" w:space="0" w:color="auto"/>
            <w:right w:val="none" w:sz="0" w:space="0" w:color="auto"/>
          </w:divBdr>
        </w:div>
        <w:div w:id="1767380895">
          <w:marLeft w:val="116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ndigas.org.br/Download/055-anexo-transitoriedade-rv008-position-paper-1-.pdf"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0AD6B524EEEC4BAA51BCC58BE57588" ma:contentTypeVersion="13" ma:contentTypeDescription="Crie um novo documento." ma:contentTypeScope="" ma:versionID="5b1cfe64ed6cfc33777af3fe999df311">
  <xsd:schema xmlns:xsd="http://www.w3.org/2001/XMLSchema" xmlns:xs="http://www.w3.org/2001/XMLSchema" xmlns:p="http://schemas.microsoft.com/office/2006/metadata/properties" xmlns:ns1="http://schemas.microsoft.com/sharepoint/v3" xmlns:ns2="263b76eb-076a-43de-9c2a-dfcca6b436d1" xmlns:ns3="4f03e862-ba49-4201-828b-632377d64776" targetNamespace="http://schemas.microsoft.com/office/2006/metadata/properties" ma:root="true" ma:fieldsID="22e2a42fc4f510c34dbf44b20042ab2c" ns1:_="" ns2:_="" ns3:_="">
    <xsd:import namespace="http://schemas.microsoft.com/sharepoint/v3"/>
    <xsd:import namespace="263b76eb-076a-43de-9c2a-dfcca6b436d1"/>
    <xsd:import namespace="4f03e862-ba49-4201-828b-632377d647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b76eb-076a-43de-9c2a-dfcca6b43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3e862-ba49-4201-828b-632377d64776"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6CA8F11-55D0-4F22-98DC-2DB88237975E}"/>
</file>

<file path=customXml/itemProps2.xml><?xml version="1.0" encoding="utf-8"?>
<ds:datastoreItem xmlns:ds="http://schemas.openxmlformats.org/officeDocument/2006/customXml" ds:itemID="{EA7626B5-3669-4E64-BB18-41DB0F2A499D}"/>
</file>

<file path=customXml/itemProps3.xml><?xml version="1.0" encoding="utf-8"?>
<ds:datastoreItem xmlns:ds="http://schemas.openxmlformats.org/officeDocument/2006/customXml" ds:itemID="{0DBDD418-F95E-417F-B8F1-92628979E7B4}"/>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9462</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CONSULTA PÚBLICA PARA REVISÃO DA PORTARIA ANP 248/99</vt:lpstr>
      <vt:lpstr>CONSULTA PÚBLICA PARA REVISÃO DA PORTARIA ANP 248/99</vt:lpstr>
    </vt:vector>
  </TitlesOfParts>
  <Company>Anp</Company>
  <LinksUpToDate>false</LinksUpToDate>
  <CharactersWithSpaces>11192</CharactersWithSpaces>
  <SharedDoc>false</SharedDoc>
  <HLinks>
    <vt:vector size="6" baseType="variant">
      <vt:variant>
        <vt:i4>1114194</vt:i4>
      </vt:variant>
      <vt:variant>
        <vt:i4>0</vt:i4>
      </vt:variant>
      <vt:variant>
        <vt:i4>0</vt:i4>
      </vt:variant>
      <vt:variant>
        <vt:i4>5</vt:i4>
      </vt:variant>
      <vt:variant>
        <vt:lpwstr>http://www.sindigas.org.br/Download/055-anexo-transitoriedade-rv008-position-paper-1-.pdf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subject/>
  <dc:creator>Anp</dc:creator>
  <cp:keywords/>
  <dc:description/>
  <cp:lastModifiedBy>Cristiane Caravana</cp:lastModifiedBy>
  <cp:revision>2</cp:revision>
  <cp:lastPrinted>2010-12-28T18:08:00Z</cp:lastPrinted>
  <dcterms:created xsi:type="dcterms:W3CDTF">2020-10-13T14:35:00Z</dcterms:created>
  <dcterms:modified xsi:type="dcterms:W3CDTF">2020-10-13T14:35:00Z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0x010100600AD6B524EEEC4BAA51BCC58BE57588</vt:lpwstr>
  </property>
</Properties>
</file>