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559CF" w14:textId="6269B51B" w:rsidR="00D40319" w:rsidRPr="00D87C96" w:rsidRDefault="00D40319" w:rsidP="00D40319">
      <w:pPr>
        <w:jc w:val="center"/>
        <w:rPr>
          <w:rFonts w:ascii="Calibri" w:hAnsi="Calibri" w:cs="Calibri"/>
          <w:b/>
        </w:rPr>
      </w:pPr>
      <w:r w:rsidRPr="00D87C96">
        <w:rPr>
          <w:rFonts w:ascii="Calibri" w:hAnsi="Calibri" w:cs="Calibri"/>
          <w:b/>
        </w:rPr>
        <w:t>Agência Nacional do Petróleo, Gás Natural e Biocombustíveis - ANP</w:t>
      </w:r>
    </w:p>
    <w:p w14:paraId="0E332FD8" w14:textId="62EE2D08" w:rsidR="00D40319" w:rsidRPr="00D87C96" w:rsidRDefault="00D40319" w:rsidP="00D40319">
      <w:pPr>
        <w:jc w:val="center"/>
        <w:rPr>
          <w:rFonts w:ascii="Calibri" w:hAnsi="Calibri" w:cs="Calibri"/>
          <w:b/>
        </w:rPr>
      </w:pPr>
    </w:p>
    <w:p w14:paraId="2F82A0D9" w14:textId="4109F5D9" w:rsidR="00D40319" w:rsidRPr="00D87C96" w:rsidRDefault="00D87C96" w:rsidP="00D40319">
      <w:pPr>
        <w:jc w:val="center"/>
        <w:rPr>
          <w:rFonts w:ascii="Calibri" w:hAnsi="Calibri" w:cs="Calibri"/>
          <w:b/>
        </w:rPr>
      </w:pPr>
      <w:r w:rsidRPr="00D87C96">
        <w:rPr>
          <w:rFonts w:ascii="Calibri" w:hAnsi="Calibri" w:cs="Calibri"/>
          <w:b/>
        </w:rPr>
        <w:t xml:space="preserve">Superintendência de </w:t>
      </w:r>
      <w:r>
        <w:rPr>
          <w:rFonts w:ascii="Calibri" w:hAnsi="Calibri" w:cs="Calibri"/>
          <w:b/>
        </w:rPr>
        <w:t>P</w:t>
      </w:r>
      <w:r w:rsidRPr="00D87C96">
        <w:rPr>
          <w:rFonts w:ascii="Calibri" w:hAnsi="Calibri" w:cs="Calibri"/>
          <w:b/>
        </w:rPr>
        <w:t xml:space="preserve">articipações </w:t>
      </w:r>
      <w:r>
        <w:rPr>
          <w:rFonts w:ascii="Calibri" w:hAnsi="Calibri" w:cs="Calibri"/>
          <w:b/>
        </w:rPr>
        <w:t>G</w:t>
      </w:r>
      <w:r w:rsidRPr="00D87C96">
        <w:rPr>
          <w:rFonts w:ascii="Calibri" w:hAnsi="Calibri" w:cs="Calibri"/>
          <w:b/>
        </w:rPr>
        <w:t>overnamentais</w:t>
      </w:r>
    </w:p>
    <w:p w14:paraId="41618471" w14:textId="2D6F48DC" w:rsidR="00D40319" w:rsidRPr="00D87C96" w:rsidRDefault="00D40319" w:rsidP="00D40319">
      <w:pPr>
        <w:jc w:val="center"/>
        <w:rPr>
          <w:rFonts w:ascii="Calibri" w:hAnsi="Calibri" w:cs="Calibri"/>
          <w:b/>
        </w:rPr>
      </w:pPr>
    </w:p>
    <w:p w14:paraId="358119C0" w14:textId="77777777" w:rsidR="005A0371" w:rsidRDefault="005A0371" w:rsidP="005A0371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Fonts w:ascii="Calibri" w:hAnsi="Calibri" w:cs="Calibri"/>
          <w:caps/>
          <w:color w:val="000000"/>
          <w:sz w:val="26"/>
          <w:szCs w:val="26"/>
        </w:rPr>
        <w:t>SÚMULA DE AUDIÊNCIA PÚBLICA</w:t>
      </w:r>
    </w:p>
    <w:p w14:paraId="34C5B351" w14:textId="77777777" w:rsidR="005A0371" w:rsidRDefault="005A0371" w:rsidP="005A0371">
      <w:pPr>
        <w:pStyle w:val="textoalinhadoesquerdaespacamentosimplesmaiusc"/>
        <w:spacing w:before="0" w:beforeAutospacing="0" w:after="0" w:afterAutospacing="0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7"/>
          <w:szCs w:val="27"/>
        </w:rPr>
        <w:t> </w:t>
      </w:r>
    </w:p>
    <w:p w14:paraId="1F7CF8BA" w14:textId="77777777" w:rsidR="005A0371" w:rsidRDefault="005A0371" w:rsidP="005A0371">
      <w:pPr>
        <w:pStyle w:val="textoalinhadoesquerdaespacamentosimplesmaiusc"/>
        <w:spacing w:before="0" w:beforeAutospacing="0" w:after="0" w:afterAutospacing="0"/>
        <w:rPr>
          <w:rFonts w:ascii="Calibri" w:hAnsi="Calibri" w:cs="Calibri"/>
          <w:caps/>
          <w:color w:val="000000"/>
          <w:sz w:val="27"/>
          <w:szCs w:val="27"/>
        </w:rPr>
      </w:pPr>
      <w:r>
        <w:rPr>
          <w:rFonts w:ascii="Calibri" w:hAnsi="Calibri" w:cs="Calibri"/>
          <w:caps/>
          <w:color w:val="000000"/>
          <w:sz w:val="27"/>
          <w:szCs w:val="27"/>
        </w:rPr>
        <w:t> </w:t>
      </w:r>
    </w:p>
    <w:p w14:paraId="185ECA4B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SÚMULA DA AUDIÊNCIA PÚBLICA Nº 19/2020</w:t>
      </w:r>
    </w:p>
    <w:p w14:paraId="0783671B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Assunto: </w:t>
      </w:r>
      <w:r>
        <w:rPr>
          <w:color w:val="000000"/>
          <w:sz w:val="27"/>
          <w:szCs w:val="27"/>
        </w:rPr>
        <w:t>Súmula e Resultado da Solenidade da Audiência Pública nº 19/2020, acerca da minuta de resolução que dispõe sobre a redução da alíquota de</w:t>
      </w:r>
      <w:r>
        <w:rPr>
          <w:rStyle w:val="nfase"/>
          <w:color w:val="000000"/>
          <w:sz w:val="27"/>
          <w:szCs w:val="27"/>
        </w:rPr>
        <w:t> royalties </w:t>
      </w:r>
      <w:r>
        <w:rPr>
          <w:color w:val="000000"/>
          <w:sz w:val="27"/>
          <w:szCs w:val="27"/>
        </w:rPr>
        <w:t>de petróleo para pequenas e médias empresas regidas pelo regime de concessão.</w:t>
      </w:r>
    </w:p>
    <w:p w14:paraId="571731B3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FDA9764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Ato:</w:t>
      </w:r>
    </w:p>
    <w:p w14:paraId="6FEE985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Aviso de Consulta e Audiência Públicas foi publicado no Diário Oficial da União (DOU) em 4 de novembro de 2020 (0993103) e divulgado na internet pelo site da ANP: </w:t>
      </w:r>
      <w:hyperlink r:id="rId8" w:tgtFrame="_blank" w:history="1">
        <w:r>
          <w:rPr>
            <w:rStyle w:val="Hyperlink"/>
            <w:sz w:val="27"/>
            <w:szCs w:val="27"/>
          </w:rPr>
          <w:t>https://www.gov.br/anp/pt-br/assuntos/consultas-e-audiencias-publicas/consulta-audiencia-publica/consulta-e-audiencia-publicas-no-19-2020</w:t>
        </w:r>
      </w:hyperlink>
      <w:r>
        <w:rPr>
          <w:color w:val="000000"/>
          <w:sz w:val="27"/>
          <w:szCs w:val="27"/>
        </w:rPr>
        <w:t> .</w:t>
      </w:r>
    </w:p>
    <w:p w14:paraId="2F581B1A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2147CE6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Data e Local:</w:t>
      </w:r>
    </w:p>
    <w:p w14:paraId="47087632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solenidade de Audiência Pública realizou-se no dia 3 de março de 2021, com início às 10 horas e 15 minutos e término às 12 horas e 27 minutos, por meio de videoconferência.</w:t>
      </w:r>
    </w:p>
    <w:p w14:paraId="2AAB328F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4BF5BF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Participantes:</w:t>
      </w:r>
    </w:p>
    <w:p w14:paraId="3C38A9B0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Mesa:</w:t>
      </w:r>
    </w:p>
    <w:p w14:paraId="64D2A84A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Mesa da Audiência Pública foi composta por:</w:t>
      </w:r>
    </w:p>
    <w:p w14:paraId="008F198B" w14:textId="77777777" w:rsidR="005A0371" w:rsidRDefault="005A0371" w:rsidP="005A0371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Thiago Neves de Campos, Superintendente de Participações Governamentais da ANP e Presidente da Audiência Pública;</w:t>
      </w:r>
    </w:p>
    <w:p w14:paraId="0CD3AA3D" w14:textId="77777777" w:rsidR="005A0371" w:rsidRDefault="005A0371" w:rsidP="005A0371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João Henrique Lima do Nascimento, Assessor Técnico de Royalties e Secretário da Audiência Pública; e</w:t>
      </w:r>
    </w:p>
    <w:p w14:paraId="2F36973E" w14:textId="77777777" w:rsidR="005A0371" w:rsidRDefault="005A0371" w:rsidP="005A0371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Isabela de Araújo Lima Ramos, Procuradora, representando a Procuradoria Federal junto à ANP.</w:t>
      </w:r>
    </w:p>
    <w:p w14:paraId="5C54E386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3FA98480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Ouvintes:</w:t>
      </w:r>
    </w:p>
    <w:p w14:paraId="654D0B8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Estiveram presentes na sala virtual da Audiência Pública 45 participantes, conforme lista de presença disponível no documento SEI nº 1224799.</w:t>
      </w:r>
    </w:p>
    <w:p w14:paraId="57C0ED06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Audiência Pública também foi transmitida ao vivo por meio do canal da ANP no site do </w:t>
      </w:r>
      <w:proofErr w:type="spellStart"/>
      <w:r>
        <w:rPr>
          <w:color w:val="000000"/>
          <w:sz w:val="27"/>
          <w:szCs w:val="27"/>
        </w:rPr>
        <w:t>Youtube</w:t>
      </w:r>
      <w:proofErr w:type="spellEnd"/>
      <w:r>
        <w:rPr>
          <w:color w:val="000000"/>
          <w:sz w:val="27"/>
          <w:szCs w:val="27"/>
        </w:rPr>
        <w:t>.</w:t>
      </w:r>
    </w:p>
    <w:p w14:paraId="1F51DFF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30ABA77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Expositores:</w:t>
      </w:r>
    </w:p>
    <w:p w14:paraId="6DA01AA1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Com inscrição antecipada de expositor para a Audiência, conforme formulário de inscrição disponibilizado no site da ANP, em ordem de inscrição:</w:t>
      </w:r>
    </w:p>
    <w:p w14:paraId="322A838E" w14:textId="77777777" w:rsidR="005A0371" w:rsidRDefault="005A0371" w:rsidP="005A0371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Pedro </w:t>
      </w:r>
      <w:proofErr w:type="spellStart"/>
      <w:r>
        <w:rPr>
          <w:color w:val="000000"/>
          <w:sz w:val="27"/>
          <w:szCs w:val="27"/>
        </w:rPr>
        <w:t>Alem</w:t>
      </w:r>
      <w:proofErr w:type="spellEnd"/>
      <w:r>
        <w:rPr>
          <w:color w:val="000000"/>
          <w:sz w:val="27"/>
          <w:szCs w:val="27"/>
        </w:rPr>
        <w:t xml:space="preserve"> Filho - IBP - Instituto Brasileiro de Petróleo, Gás e Biocombustíveis;</w:t>
      </w:r>
    </w:p>
    <w:p w14:paraId="2405BC2C" w14:textId="77777777" w:rsidR="005A0371" w:rsidRDefault="005A0371" w:rsidP="005A0371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Fernando Xavier – Comissão de Petróleo da OAB/RJ; e</w:t>
      </w:r>
    </w:p>
    <w:p w14:paraId="0B10B8CF" w14:textId="77777777" w:rsidR="005A0371" w:rsidRDefault="005A0371" w:rsidP="005A0371">
      <w:pPr>
        <w:numPr>
          <w:ilvl w:val="0"/>
          <w:numId w:val="5"/>
        </w:numPr>
        <w:spacing w:before="100" w:beforeAutospacing="1" w:after="100" w:afterAutospacing="1" w:line="240" w:lineRule="auto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Anabal</w:t>
      </w:r>
      <w:proofErr w:type="spellEnd"/>
      <w:r>
        <w:rPr>
          <w:color w:val="000000"/>
          <w:sz w:val="27"/>
          <w:szCs w:val="27"/>
        </w:rPr>
        <w:t xml:space="preserve"> Santos Jr. e Rômulo Florentino – ABPIP – Associação Brasileira de Produtores Independentes de Petróleo.</w:t>
      </w:r>
    </w:p>
    <w:p w14:paraId="1B8E81FE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51DA7DE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Objetivo:</w:t>
      </w:r>
    </w:p>
    <w:p w14:paraId="1DBDCB23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Audiência Pública foi realizada com o objetivo de coletar subsídios e informações adicionais sobre a minuta de resolução que dispõe sobre a redução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de petróleo para pequenas e médias empresas regidas pelo regime de concessão. Além disso, intentou-se propiciar aos agentes econômicos a possibilidade de apresentação de seus pleitos, opiniões e sugestões acerca do assunto tratado na minuta de resolução e identificar, de forma ampla, todos os aspectos relevantes à matéria objeto da audiência pública, bem como dar publicidade, transparência e legitimidade às ações regulatórias da ANP.</w:t>
      </w:r>
    </w:p>
    <w:p w14:paraId="1526CF3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Previamente à Audiência Pública, foi realizado um processo de Consulta Pública pelo período de noventa dias, tendo início no dia 5 de novembro de 2020, para apresentação de sugestões por parte da sociedade civil.</w:t>
      </w:r>
    </w:p>
    <w:p w14:paraId="0CE9229E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As críticas e sugestões recebidas durante o período de Consulta Pública foram disponibilizadas na internet pelo site da ANP e apensadas ao processo administrativo correspondente no documento SEI n° 1160216.</w:t>
      </w:r>
    </w:p>
    <w:p w14:paraId="66E1B780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7C499AD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Fatos:</w:t>
      </w:r>
    </w:p>
    <w:p w14:paraId="2EC709A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Audiência Pública teve início às 10 horas e 15 minutos do dia 3 de março de 2021, pelo Presidente da Audiência, sr. Thiago Neves de Campos, Superintendente de Participações Governamentais, que saudou os participantes e apresentou um breve histórico sobre o tema da audiência. O Presidente informou o objetivo do evento, que consistia em receber as contribuições finais dos interessados no assunto proposto.</w:t>
      </w:r>
    </w:p>
    <w:p w14:paraId="24CAC8DA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 abertura da Audiência Pública foi realizada pelo Diretor da ANP, sr. Dirceu Cardoso </w:t>
      </w:r>
      <w:proofErr w:type="spellStart"/>
      <w:r>
        <w:rPr>
          <w:color w:val="000000"/>
          <w:sz w:val="27"/>
          <w:szCs w:val="27"/>
        </w:rPr>
        <w:t>Amorelli</w:t>
      </w:r>
      <w:proofErr w:type="spellEnd"/>
      <w:r>
        <w:rPr>
          <w:color w:val="000000"/>
          <w:sz w:val="27"/>
          <w:szCs w:val="27"/>
        </w:rPr>
        <w:t xml:space="preserve"> Junior, dando boas-vindas a todos os participantes. O Diretor destacou que a redução da alíquota da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para pequenas e médias empresas atenderia aos interesses da Política Energética Nacional e parabenizou o corpo técnico da Superintendência de Participações Governamentais pelo trabalho desenvolvido; defendeu que a proposição do tema tinha a importância de se evitar o abandono precoce dos campos e que o Nordeste seria uma das regiões mais beneficiadas pela redução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para pequenas e médias empresas; e ao final, salientou o importante papel da sociedade nesse tipo de discussão proposta pela ANP.</w:t>
      </w:r>
    </w:p>
    <w:p w14:paraId="128823F9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seguida, o Presidente da Audiência Pública informou a composição da Mesa, os objetivos da audiência, as orientações gerais e a programação do dia, passando a palavra ao Secretário, sr. João Henrique Nascimento.</w:t>
      </w:r>
    </w:p>
    <w:p w14:paraId="0BD8B398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João Henrique saudou os participantes e informou a agenda da sua apresentação técnica. Ele apresentou um histórico do tema desde de 2003 até o ano de 2021, descreveu o potencial impacto na extensão da vida útil de um campo com a redução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para pequenas e médias empresas e dissertou sobre as premissas que embasam a adequação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, assim como sua base legal. Além disso, fez uma breve avaliação dos impactos, abordou a definição de empresas de pequeno e médio portes, de acordo com a Resolução ANP nº 32/2014, e elencou as empresas listadas na atualização de mar/2021.</w:t>
      </w:r>
    </w:p>
    <w:p w14:paraId="136E812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Sobre a Minuta de Resolução, João Henrique apresentou os principais pontos e informou quais empresas e entidades haviam encaminhado contribuições para a Audiência Pública. Posteriormente, ele esclareceu as etapas que seriam cumpridas após a avaliação das contribuições recebidas, quais sejam: </w:t>
      </w:r>
      <w:r>
        <w:rPr>
          <w:color w:val="000000"/>
          <w:sz w:val="27"/>
          <w:szCs w:val="27"/>
        </w:rPr>
        <w:lastRenderedPageBreak/>
        <w:t>elaboração de minuta de resolução atualizada, avaliação pela Procuradoria Federal junto à ANP e Deliberação da Diretoria Colegiada da ANP.</w:t>
      </w:r>
    </w:p>
    <w:p w14:paraId="115E3C3F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apresentações realizadas pelo Presidente e pelo Secretário da Audiência Pública estão disponíveis no documento SEI nº 1215273.</w:t>
      </w:r>
    </w:p>
    <w:p w14:paraId="6739E665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palavra retornou ao Presidente, que comentou alguns pontos da apresentação técnica e destacou que o objetivo era dar maior agilidade ao processo, para que fosse possível implementar o incentivo às empresas com a devida celeridade.</w:t>
      </w:r>
    </w:p>
    <w:p w14:paraId="3348A2A9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Presidente da Audiência Pública abriu espaço para os expositores inscritos.</w:t>
      </w:r>
    </w:p>
    <w:p w14:paraId="0494EB70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representante do </w:t>
      </w:r>
      <w:r>
        <w:rPr>
          <w:rStyle w:val="Forte"/>
          <w:color w:val="000000"/>
          <w:sz w:val="27"/>
          <w:szCs w:val="27"/>
        </w:rPr>
        <w:t>IBP</w:t>
      </w:r>
      <w:r>
        <w:rPr>
          <w:color w:val="000000"/>
          <w:sz w:val="27"/>
          <w:szCs w:val="27"/>
        </w:rPr>
        <w:t xml:space="preserve">, sr. Pedro </w:t>
      </w:r>
      <w:proofErr w:type="spellStart"/>
      <w:r>
        <w:rPr>
          <w:color w:val="000000"/>
          <w:sz w:val="27"/>
          <w:szCs w:val="27"/>
        </w:rPr>
        <w:t>Alem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Filho,  agradeceu</w:t>
      </w:r>
      <w:proofErr w:type="gramEnd"/>
      <w:r>
        <w:rPr>
          <w:color w:val="000000"/>
          <w:sz w:val="27"/>
          <w:szCs w:val="27"/>
        </w:rPr>
        <w:t xml:space="preserve"> o espaço cedido pela ANP e iniciou sua exposição informando que devido a problemas operacionais, as contribuições do IBP não foram encaminhadas para o e-mail correto durante o período de Consulta Pública, por isso, as contribuições formais do IBP estariam reproduzidas no final da sua apresentação. Sobre a minuta de resolução em debate, comentou que a proposta era muito importante, apesar de julgar que precisaria de alterações. Sugeriu que fosse alterada a Resolução ANP nº 32/2014, por julgá-la obsoleta; e que se considerasse 7.000 </w:t>
      </w:r>
      <w:proofErr w:type="spellStart"/>
      <w:r>
        <w:rPr>
          <w:color w:val="000000"/>
          <w:sz w:val="27"/>
          <w:szCs w:val="27"/>
        </w:rPr>
        <w:t>boe</w:t>
      </w:r>
      <w:proofErr w:type="spellEnd"/>
      <w:r>
        <w:rPr>
          <w:color w:val="000000"/>
          <w:sz w:val="27"/>
          <w:szCs w:val="27"/>
        </w:rPr>
        <w:t xml:space="preserve">/d para classificação de uma empresa como pequena e até 40.000 </w:t>
      </w:r>
      <w:proofErr w:type="spellStart"/>
      <w:r>
        <w:rPr>
          <w:color w:val="000000"/>
          <w:sz w:val="27"/>
          <w:szCs w:val="27"/>
        </w:rPr>
        <w:t>boe</w:t>
      </w:r>
      <w:proofErr w:type="spellEnd"/>
      <w:r>
        <w:rPr>
          <w:color w:val="000000"/>
          <w:sz w:val="27"/>
          <w:szCs w:val="27"/>
        </w:rPr>
        <w:t>/d para classifica-la como média empresa. Posteriormente, apresentou a avaliação do impacto dos limites de produção sugeridos na produção </w:t>
      </w:r>
      <w:proofErr w:type="spellStart"/>
      <w:r>
        <w:rPr>
          <w:rStyle w:val="nfase"/>
          <w:color w:val="000000"/>
          <w:sz w:val="27"/>
          <w:szCs w:val="27"/>
        </w:rPr>
        <w:t>onshore</w:t>
      </w:r>
      <w:proofErr w:type="spellEnd"/>
      <w:r>
        <w:rPr>
          <w:color w:val="000000"/>
          <w:sz w:val="27"/>
          <w:szCs w:val="27"/>
        </w:rPr>
        <w:t> e </w:t>
      </w:r>
      <w:r>
        <w:rPr>
          <w:rStyle w:val="nfase"/>
          <w:color w:val="000000"/>
          <w:sz w:val="27"/>
          <w:szCs w:val="27"/>
        </w:rPr>
        <w:t>offshore</w:t>
      </w:r>
      <w:r>
        <w:rPr>
          <w:color w:val="000000"/>
          <w:sz w:val="27"/>
          <w:szCs w:val="27"/>
        </w:rPr>
        <w:t> pós sal, onde destacou que menos de 4% da produção nacional seriam incentivados pelos limites de produção sugeridos; comentou sobre benefícios para a sociedade gerados pelo incentivo e defendeu a redução da alíquota para 5%, tanto para pequenas quanto para médias empresas; sugeriu alteração do termo “redução” para “adequação”. Por fim, passou rapidamente os slides com todas as contribuições que seriam enviadas na Consulta Pública e agradeceu pela atenção dos participantes.</w:t>
      </w:r>
    </w:p>
    <w:p w14:paraId="6018EA72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representante da </w:t>
      </w:r>
      <w:r>
        <w:rPr>
          <w:rStyle w:val="Forte"/>
          <w:color w:val="000000"/>
          <w:sz w:val="27"/>
          <w:szCs w:val="27"/>
        </w:rPr>
        <w:t>Comissão de Petróleo e Gás da OAB/RJ</w:t>
      </w:r>
      <w:r>
        <w:rPr>
          <w:color w:val="000000"/>
          <w:sz w:val="27"/>
          <w:szCs w:val="27"/>
        </w:rPr>
        <w:t>, sr. Fernando Xavier, iniciou saudando a celeridade da ANP no andamento da nova resolução proposta e a qualidade do material; sugeriu a alteração da definição de pequenas e médias empresas, segundo a RANP32/14; defendeu que a adequação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deveria ser aplicada proporcionalmente à participação de pequenas e médias empresas nos consórcios,; sugeriu que não se fosse levado em conta os ativos das empresas no exterior e que a aplicação da adequação da alíquota de redução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deveria retroagir à data do pedido do incentivo; informou ser contrário ao uso do termo “benefício” e a vinculação do incentivo à comprovação de adimplência fiscal da empresa. Por fim, reforçou a importância do incentivo para os campos marginais.</w:t>
      </w:r>
    </w:p>
    <w:p w14:paraId="36E7118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O representante da </w:t>
      </w:r>
      <w:r>
        <w:rPr>
          <w:rStyle w:val="Forte"/>
          <w:color w:val="000000"/>
          <w:sz w:val="27"/>
          <w:szCs w:val="27"/>
        </w:rPr>
        <w:t>ABPIP,</w:t>
      </w:r>
      <w:r>
        <w:rPr>
          <w:color w:val="000000"/>
          <w:sz w:val="27"/>
          <w:szCs w:val="27"/>
        </w:rPr>
        <w:t xml:space="preserve"> sr. </w:t>
      </w:r>
      <w:proofErr w:type="spellStart"/>
      <w:r>
        <w:rPr>
          <w:color w:val="000000"/>
          <w:sz w:val="27"/>
          <w:szCs w:val="27"/>
        </w:rPr>
        <w:t>Anabal</w:t>
      </w:r>
      <w:proofErr w:type="spellEnd"/>
      <w:r>
        <w:rPr>
          <w:color w:val="000000"/>
          <w:sz w:val="27"/>
          <w:szCs w:val="27"/>
        </w:rPr>
        <w:t xml:space="preserve"> Santos Jr., expôs que considerava a adequação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uma correção ao que ele definiu como distorção nos percentuais da alíquota; e informou que, em 2014, a ABPIP recomendou classificação de pequenas e médias empresas diferentemente da definição atual, passando a palavra ao sr. Rômulo Florentino.</w:t>
      </w:r>
    </w:p>
    <w:p w14:paraId="5999048B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sr. Rômulo Florentino, também representando a ABPIP, iniciou a sua exposição salientando que não encarava a nova regulação como um benefício, mas como uma adequação de condições setoriais, destacando a necessidade de celeridade na implementação das medidas; sugeriu a revisão da Resolução ANP nº 32/2014, atualizando os parâmetros de enquadramento de porte para 7mil </w:t>
      </w:r>
      <w:proofErr w:type="spellStart"/>
      <w:r>
        <w:rPr>
          <w:color w:val="000000"/>
          <w:sz w:val="27"/>
          <w:szCs w:val="27"/>
        </w:rPr>
        <w:t>boe</w:t>
      </w:r>
      <w:proofErr w:type="spellEnd"/>
      <w:r>
        <w:rPr>
          <w:color w:val="000000"/>
          <w:sz w:val="27"/>
          <w:szCs w:val="27"/>
        </w:rPr>
        <w:t xml:space="preserve">/d para pequenas empresas e 40 mil </w:t>
      </w:r>
      <w:proofErr w:type="spellStart"/>
      <w:r>
        <w:rPr>
          <w:color w:val="000000"/>
          <w:sz w:val="27"/>
          <w:szCs w:val="27"/>
        </w:rPr>
        <w:t>boe</w:t>
      </w:r>
      <w:proofErr w:type="spellEnd"/>
      <w:r>
        <w:rPr>
          <w:color w:val="000000"/>
          <w:sz w:val="27"/>
          <w:szCs w:val="27"/>
        </w:rPr>
        <w:t>/d para médias empresas; defendeu a redução da alíquota de </w:t>
      </w:r>
      <w:r>
        <w:rPr>
          <w:rStyle w:val="nfase"/>
          <w:color w:val="000000"/>
          <w:sz w:val="27"/>
          <w:szCs w:val="27"/>
        </w:rPr>
        <w:t>royalties </w:t>
      </w:r>
      <w:r>
        <w:rPr>
          <w:color w:val="000000"/>
          <w:sz w:val="27"/>
          <w:szCs w:val="27"/>
        </w:rPr>
        <w:t>de acordo com a especificidade dos ativos, utilizando como exemplo a TPC08/2018; sugeriu o enquadramento automático das empresas elegíveis na implementação da redução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, a exclusão da checagem da adimplência fiscal e trabalhista e a alíquota de 5% para todos os campos qualificáveis.</w:t>
      </w:r>
    </w:p>
    <w:p w14:paraId="5E503CC9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Assim, durante a Audiência Pública foram apresentadas 30 contribuições, sendo 24 do IBP, 3 da Comissão de Petróleo e Gás da OAB/RJ e 3 da ABPIP. ​</w:t>
      </w:r>
    </w:p>
    <w:p w14:paraId="4738C143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As apresentações realizadas pelos expositores e as contribuições recebidas estão disponíveis no documento SEI nº </w:t>
      </w:r>
      <w:hyperlink r:id="rId9" w:tgtFrame="_blank" w:history="1">
        <w:r>
          <w:rPr>
            <w:rStyle w:val="Hyperlink"/>
            <w:sz w:val="27"/>
            <w:szCs w:val="27"/>
          </w:rPr>
          <w:t>1215273</w:t>
        </w:r>
      </w:hyperlink>
      <w:r>
        <w:rPr>
          <w:color w:val="000000"/>
          <w:sz w:val="27"/>
          <w:szCs w:val="27"/>
        </w:rPr>
        <w:t>.</w:t>
      </w:r>
    </w:p>
    <w:p w14:paraId="675B03CD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Após a exposição da ABPIP, o Presidente da Audiência informou que o Brasil possui um mercado concentrado em grandes campos, de forma que dez deles concentram 90% da arrecadação e, por esse motivo, o impacto da nova regulação não seria tão grande, como destacado pelos expositores; ressaltou que a checagem da adimplência fiscal e trabalhista é uma condição para qualquer contração junto à União e que a inovação regulatória desse critério em um normativo tem a finalidade de se evitar qualquer futuro embaraço interpretativo.</w:t>
      </w:r>
    </w:p>
    <w:p w14:paraId="29ADAED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Foi indagado à Procuradora da Audiência Pública, sra. Isabela de Araújo Lima Ramos, se haveria algum comentário ou observação a proferir até aquele momento.  A Procuradora informou que estava de acordo com a condução do Presidente ao assunto em questão e que faria suas considerações na parte final da Audiência. Sendo assim, o Presidente abriu espaço para os demais participantes da Audiência Pública.</w:t>
      </w:r>
    </w:p>
    <w:p w14:paraId="0719EA2B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O representante da ABPIP, sr. </w:t>
      </w:r>
      <w:proofErr w:type="spellStart"/>
      <w:r>
        <w:rPr>
          <w:color w:val="000000"/>
          <w:sz w:val="27"/>
          <w:szCs w:val="27"/>
        </w:rPr>
        <w:t>Anabal</w:t>
      </w:r>
      <w:proofErr w:type="spellEnd"/>
      <w:r>
        <w:rPr>
          <w:color w:val="000000"/>
          <w:sz w:val="27"/>
          <w:szCs w:val="27"/>
        </w:rPr>
        <w:t xml:space="preserve"> Santos Jr., comentou que a redução da alíquota de </w:t>
      </w:r>
      <w:r>
        <w:rPr>
          <w:rStyle w:val="nfase"/>
          <w:color w:val="000000"/>
          <w:sz w:val="27"/>
          <w:szCs w:val="27"/>
        </w:rPr>
        <w:t>royalties </w:t>
      </w:r>
      <w:r>
        <w:rPr>
          <w:color w:val="000000"/>
          <w:sz w:val="27"/>
          <w:szCs w:val="27"/>
        </w:rPr>
        <w:t>para pequenas e médias empresas acarretará em aumento da arrecadação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 xml:space="preserve">; considerou que a perda de arrecadação entre 3 e 5% é uma distorção, dado que, em termos absolutos, ela seria menor; teceu </w:t>
      </w:r>
      <w:r>
        <w:rPr>
          <w:color w:val="000000"/>
          <w:sz w:val="27"/>
          <w:szCs w:val="27"/>
        </w:rPr>
        <w:lastRenderedPageBreak/>
        <w:t>comentários sobre os mecanismos de checagem da regularidade fiscal e trabalhista, em prol da celeridade doo processo.</w:t>
      </w:r>
    </w:p>
    <w:p w14:paraId="08392899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Presidente da Audiência comentou que, de fato, a redução da alíquota de </w:t>
      </w:r>
      <w:r>
        <w:rPr>
          <w:rStyle w:val="nfase"/>
          <w:color w:val="000000"/>
          <w:sz w:val="27"/>
          <w:szCs w:val="27"/>
        </w:rPr>
        <w:t>royalties</w:t>
      </w:r>
      <w:r>
        <w:rPr>
          <w:color w:val="000000"/>
          <w:sz w:val="27"/>
          <w:szCs w:val="27"/>
        </w:rPr>
        <w:t> potencialmente resultará em um balanço positivo para a economia da região e abriu espaço para os expositores acrescentarem algo, se julgassem necessário, o que não ocorreu.</w:t>
      </w:r>
    </w:p>
    <w:p w14:paraId="13D7392C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Em seguida, a Procuradora da Audiência Pública comentou estar satisfeita com as manifestações, ressaltando ser legalmente necessário que o concessionário demonstre interesse no incentivo; que a regularidade fiscal e trabalhista é requisito mínimo para contratos com a Administração Pública; e que, além de uma obrigação legal, é um dever de cidadania. Por fim, informou que todas as contribuições serão analisadas pela Superintendência de Participações Governamentais e pela Procuradoria Geral da ANP.</w:t>
      </w:r>
    </w:p>
    <w:p w14:paraId="42B8FA51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Às 12 horas e 27 minutos, o Presidente encerrou a Audiência Pública, agradecendo a todos os envolvidos no evento e na construção da Minuta de Resolução.</w:t>
      </w:r>
    </w:p>
    <w:p w14:paraId="4D67CB25" w14:textId="77777777" w:rsidR="005A0371" w:rsidRDefault="005A0371" w:rsidP="005A037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1E91C7D" w14:textId="4C07E346" w:rsidR="005A0371" w:rsidRDefault="005A0371" w:rsidP="005A0371">
      <w:pPr>
        <w:pStyle w:val="NormalWeb"/>
        <w:rPr>
          <w:color w:val="000000"/>
          <w:sz w:val="27"/>
          <w:szCs w:val="27"/>
        </w:rPr>
      </w:pPr>
    </w:p>
    <w:p w14:paraId="06F6BD48" w14:textId="77777777" w:rsidR="005A0371" w:rsidRDefault="000D4220" w:rsidP="005A0371">
      <w:pPr>
        <w:spacing w:after="60"/>
        <w:rPr>
          <w:sz w:val="24"/>
          <w:szCs w:val="24"/>
        </w:rPr>
      </w:pPr>
      <w:r>
        <w:pict w14:anchorId="3C66F471"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079"/>
      </w:tblGrid>
      <w:tr w:rsidR="005A0371" w14:paraId="58EC671A" w14:textId="77777777" w:rsidTr="005A03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C82CC7" w14:textId="61C1347F" w:rsidR="005A0371" w:rsidRDefault="005A037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54BC7129" wp14:editId="30705D8A">
                  <wp:extent cx="847725" cy="571500"/>
                  <wp:effectExtent l="0" t="0" r="9525" b="0"/>
                  <wp:docPr id="3" name="Imagem 3" descr="C:\Users\lvarella\AppData\Local\Microsoft\Windows\INetCache\Content.MSO\34975D4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varella\AppData\Local\Microsoft\Windows\INetCache\Content.MSO\34975D4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146A9BEC" w14:textId="77777777" w:rsidR="005A0371" w:rsidRDefault="005A03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Documento assinado eletronicamente por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LUIZ EDUARDO PAIM VARELLA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Analista Administrativo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em 24/03/2021, às 17:38, conforme horário oficial de Brasília, com fundamento no art. 6º, § 1º, do </w:t>
            </w:r>
            <w:hyperlink r:id="rId11" w:tgtFrame="_blank" w:tooltip="Acesse o Decreto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Decreto nº 8.539, de 8 de outubro de 2015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003C3D65" w14:textId="77777777" w:rsidR="005A0371" w:rsidRDefault="000D4220" w:rsidP="005A0371">
      <w:pPr>
        <w:spacing w:after="60"/>
        <w:rPr>
          <w:rFonts w:ascii="Times New Roman" w:hAnsi="Times New Roman" w:cs="Times New Roman"/>
          <w:sz w:val="24"/>
          <w:szCs w:val="24"/>
        </w:rPr>
      </w:pPr>
      <w:r>
        <w:pict w14:anchorId="5C4E1121"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5"/>
        <w:gridCol w:w="7079"/>
      </w:tblGrid>
      <w:tr w:rsidR="005A0371" w14:paraId="6792091E" w14:textId="77777777" w:rsidTr="005A03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C0337" w14:textId="53B31ABA" w:rsidR="005A0371" w:rsidRDefault="005A037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39F3F3A8" wp14:editId="4AEBD0B9">
                  <wp:extent cx="847725" cy="571500"/>
                  <wp:effectExtent l="0" t="0" r="9525" b="0"/>
                  <wp:docPr id="2" name="Imagem 2" descr="C:\Users\lvarella\AppData\Local\Microsoft\Windows\INetCache\Content.MSO\5A2D4D3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varella\AppData\Local\Microsoft\Windows\INetCache\Content.MSO\5A2D4D3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1E41F50" w14:textId="77777777" w:rsidR="005A0371" w:rsidRDefault="005A03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Documento assinado eletronicamente por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JOAO HENRIQUE LIMA DO NASCIMENTO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Especialista em Regulação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, em 24/03/2021, às 17:45, conforme horário oficial de Brasília, com fundamento no art. 6º, § 1º, do </w:t>
            </w:r>
            <w:hyperlink r:id="rId12" w:tgtFrame="_blank" w:tooltip="Acesse o Decreto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Decreto nº 8.539, de 8 de outubro de 2015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6874A18F" w14:textId="77777777" w:rsidR="005A0371" w:rsidRDefault="000D4220" w:rsidP="005A0371">
      <w:pPr>
        <w:spacing w:after="60"/>
        <w:rPr>
          <w:rFonts w:ascii="Times New Roman" w:hAnsi="Times New Roman" w:cs="Times New Roman"/>
          <w:sz w:val="24"/>
          <w:szCs w:val="24"/>
        </w:rPr>
      </w:pPr>
      <w:r>
        <w:pict w14:anchorId="5ED7579C">
          <v:rect id="_x0000_i1027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9"/>
        <w:gridCol w:w="7485"/>
      </w:tblGrid>
      <w:tr w:rsidR="005A0371" w14:paraId="02AAF2A3" w14:textId="77777777" w:rsidTr="005A037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66C6BC" w14:textId="57213469" w:rsidR="005A0371" w:rsidRDefault="005A0371">
            <w:pPr>
              <w:spacing w:after="0"/>
              <w:rPr>
                <w:color w:val="000000"/>
                <w:sz w:val="27"/>
                <w:szCs w:val="27"/>
              </w:rPr>
            </w:pPr>
            <w:r>
              <w:rPr>
                <w:rFonts w:ascii="Calibri" w:hAnsi="Calibri" w:cs="Calibri"/>
                <w:b/>
                <w:noProof/>
              </w:rPr>
              <w:drawing>
                <wp:inline distT="0" distB="0" distL="0" distR="0" wp14:anchorId="0648E4E0" wp14:editId="03405C4A">
                  <wp:extent cx="819150" cy="819150"/>
                  <wp:effectExtent l="0" t="0" r="0" b="0"/>
                  <wp:docPr id="1" name="Imagem 1" descr="C:\Users\lvarella\AppData\Local\Microsoft\Windows\INetCache\Content.MSO\EA723958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varella\AppData\Local\Microsoft\Windows\INetCache\Content.MSO\EA72395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4AE307B1" w14:textId="77777777" w:rsidR="005A0371" w:rsidRDefault="005A0371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 autenticidade deste documento pode ser conferida no site </w:t>
            </w:r>
            <w:hyperlink r:id="rId14" w:tgtFrame="_blank" w:tooltip="Página de Autenticidade de Documentos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http://sei.anp.gov.br/sei/controlador_externo.php?acao=documento_conferir&amp;id_orgao_acesso_externo=0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>, informando o código verificador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1215488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e o código CRC 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0200E523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</w:tbl>
    <w:p w14:paraId="46E709E0" w14:textId="67D6DD8D" w:rsidR="007055E3" w:rsidRPr="00BD7E63" w:rsidRDefault="007055E3" w:rsidP="005A0371">
      <w:pPr>
        <w:jc w:val="center"/>
        <w:rPr>
          <w:rFonts w:ascii="Calibri" w:hAnsi="Calibri" w:cs="Calibri"/>
          <w:color w:val="000000"/>
        </w:rPr>
      </w:pPr>
      <w:bookmarkStart w:id="0" w:name="_GoBack"/>
      <w:bookmarkEnd w:id="0"/>
    </w:p>
    <w:sectPr w:rsidR="007055E3" w:rsidRPr="00BD7E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9598B"/>
    <w:multiLevelType w:val="multilevel"/>
    <w:tmpl w:val="CAB8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B0545"/>
    <w:multiLevelType w:val="hybridMultilevel"/>
    <w:tmpl w:val="1C44A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02E">
      <w:numFmt w:val="bullet"/>
      <w:lvlText w:val="•"/>
      <w:lvlJc w:val="left"/>
      <w:pPr>
        <w:ind w:left="1836" w:hanging="756"/>
      </w:pPr>
      <w:rPr>
        <w:rFonts w:ascii="Calibri" w:eastAsiaTheme="minorHAnsi" w:hAnsi="Calibri" w:cs="Calibr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B52A2"/>
    <w:multiLevelType w:val="hybridMultilevel"/>
    <w:tmpl w:val="BEE4D8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59AA"/>
    <w:multiLevelType w:val="multilevel"/>
    <w:tmpl w:val="11D0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622F15"/>
    <w:multiLevelType w:val="multilevel"/>
    <w:tmpl w:val="C4FA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60C"/>
    <w:rsid w:val="000230D1"/>
    <w:rsid w:val="000349E8"/>
    <w:rsid w:val="000370DE"/>
    <w:rsid w:val="00046C45"/>
    <w:rsid w:val="00053273"/>
    <w:rsid w:val="00055413"/>
    <w:rsid w:val="000555E0"/>
    <w:rsid w:val="000559DC"/>
    <w:rsid w:val="00082057"/>
    <w:rsid w:val="000A23F9"/>
    <w:rsid w:val="000C04CA"/>
    <w:rsid w:val="000C56A5"/>
    <w:rsid w:val="000D4220"/>
    <w:rsid w:val="000E1E9D"/>
    <w:rsid w:val="000E1EF2"/>
    <w:rsid w:val="000E72B6"/>
    <w:rsid w:val="000F6E42"/>
    <w:rsid w:val="001047CA"/>
    <w:rsid w:val="00120407"/>
    <w:rsid w:val="001938BD"/>
    <w:rsid w:val="00193A14"/>
    <w:rsid w:val="001A1F79"/>
    <w:rsid w:val="001B7C58"/>
    <w:rsid w:val="001E6148"/>
    <w:rsid w:val="001E7B95"/>
    <w:rsid w:val="001F5061"/>
    <w:rsid w:val="001F64E5"/>
    <w:rsid w:val="0022270C"/>
    <w:rsid w:val="00242249"/>
    <w:rsid w:val="00263D5B"/>
    <w:rsid w:val="0028400A"/>
    <w:rsid w:val="002E1B56"/>
    <w:rsid w:val="0030583D"/>
    <w:rsid w:val="00323B9E"/>
    <w:rsid w:val="00362147"/>
    <w:rsid w:val="003D195C"/>
    <w:rsid w:val="00402964"/>
    <w:rsid w:val="00402F43"/>
    <w:rsid w:val="00410ADC"/>
    <w:rsid w:val="0044160C"/>
    <w:rsid w:val="0044272D"/>
    <w:rsid w:val="00442DFC"/>
    <w:rsid w:val="00444091"/>
    <w:rsid w:val="004A0BDA"/>
    <w:rsid w:val="004B01D5"/>
    <w:rsid w:val="004D264E"/>
    <w:rsid w:val="004F1BF4"/>
    <w:rsid w:val="00506CE7"/>
    <w:rsid w:val="00561C72"/>
    <w:rsid w:val="00573810"/>
    <w:rsid w:val="00575AEE"/>
    <w:rsid w:val="00591B5E"/>
    <w:rsid w:val="005A0371"/>
    <w:rsid w:val="005C047C"/>
    <w:rsid w:val="005E456E"/>
    <w:rsid w:val="005F2CE0"/>
    <w:rsid w:val="00600B99"/>
    <w:rsid w:val="00601DB5"/>
    <w:rsid w:val="00635488"/>
    <w:rsid w:val="00646D84"/>
    <w:rsid w:val="006A099D"/>
    <w:rsid w:val="007055E3"/>
    <w:rsid w:val="007917EB"/>
    <w:rsid w:val="007B792C"/>
    <w:rsid w:val="007C77AE"/>
    <w:rsid w:val="007D24FB"/>
    <w:rsid w:val="007F44CA"/>
    <w:rsid w:val="00812EAF"/>
    <w:rsid w:val="00826951"/>
    <w:rsid w:val="00833235"/>
    <w:rsid w:val="00862E0E"/>
    <w:rsid w:val="008630A8"/>
    <w:rsid w:val="00867ADF"/>
    <w:rsid w:val="008D3497"/>
    <w:rsid w:val="008E0833"/>
    <w:rsid w:val="008F398B"/>
    <w:rsid w:val="00945A5B"/>
    <w:rsid w:val="009517A3"/>
    <w:rsid w:val="0097572E"/>
    <w:rsid w:val="009771A6"/>
    <w:rsid w:val="0098514E"/>
    <w:rsid w:val="00990948"/>
    <w:rsid w:val="009E27AC"/>
    <w:rsid w:val="009E7F7D"/>
    <w:rsid w:val="009F0AE2"/>
    <w:rsid w:val="009F1A52"/>
    <w:rsid w:val="00A02E10"/>
    <w:rsid w:val="00A051BD"/>
    <w:rsid w:val="00A25C2F"/>
    <w:rsid w:val="00A3659A"/>
    <w:rsid w:val="00A779B1"/>
    <w:rsid w:val="00A83384"/>
    <w:rsid w:val="00AA4895"/>
    <w:rsid w:val="00AA602C"/>
    <w:rsid w:val="00B039A2"/>
    <w:rsid w:val="00B06722"/>
    <w:rsid w:val="00B1101E"/>
    <w:rsid w:val="00B246D3"/>
    <w:rsid w:val="00B5006E"/>
    <w:rsid w:val="00B7404C"/>
    <w:rsid w:val="00BA4D7F"/>
    <w:rsid w:val="00BB4962"/>
    <w:rsid w:val="00BC6DEF"/>
    <w:rsid w:val="00BD2465"/>
    <w:rsid w:val="00BD7E63"/>
    <w:rsid w:val="00BF1685"/>
    <w:rsid w:val="00C044A7"/>
    <w:rsid w:val="00C2268E"/>
    <w:rsid w:val="00C75FD6"/>
    <w:rsid w:val="00C92B5C"/>
    <w:rsid w:val="00C94789"/>
    <w:rsid w:val="00CB2B9C"/>
    <w:rsid w:val="00CC26F4"/>
    <w:rsid w:val="00CD22D1"/>
    <w:rsid w:val="00CD569B"/>
    <w:rsid w:val="00CE1E15"/>
    <w:rsid w:val="00CF6A39"/>
    <w:rsid w:val="00D00E20"/>
    <w:rsid w:val="00D26951"/>
    <w:rsid w:val="00D40319"/>
    <w:rsid w:val="00D46CE6"/>
    <w:rsid w:val="00D50765"/>
    <w:rsid w:val="00D56768"/>
    <w:rsid w:val="00D677BC"/>
    <w:rsid w:val="00D67D44"/>
    <w:rsid w:val="00D87C96"/>
    <w:rsid w:val="00DA05CB"/>
    <w:rsid w:val="00DD34D8"/>
    <w:rsid w:val="00DE131F"/>
    <w:rsid w:val="00DE2309"/>
    <w:rsid w:val="00DF5034"/>
    <w:rsid w:val="00E12A08"/>
    <w:rsid w:val="00E459FE"/>
    <w:rsid w:val="00E4675A"/>
    <w:rsid w:val="00E81F81"/>
    <w:rsid w:val="00E849ED"/>
    <w:rsid w:val="00E86593"/>
    <w:rsid w:val="00EA3B96"/>
    <w:rsid w:val="00EA74BB"/>
    <w:rsid w:val="00EC01E3"/>
    <w:rsid w:val="00ED7C5A"/>
    <w:rsid w:val="00F00A3D"/>
    <w:rsid w:val="00F167D1"/>
    <w:rsid w:val="00F260CB"/>
    <w:rsid w:val="00F318D2"/>
    <w:rsid w:val="00F34E52"/>
    <w:rsid w:val="00F36645"/>
    <w:rsid w:val="00F422CC"/>
    <w:rsid w:val="00F67851"/>
    <w:rsid w:val="00F875CC"/>
    <w:rsid w:val="00F96C77"/>
    <w:rsid w:val="00FA4E11"/>
    <w:rsid w:val="00FA549E"/>
    <w:rsid w:val="00FA56AF"/>
    <w:rsid w:val="00FE2A01"/>
    <w:rsid w:val="00FE421A"/>
    <w:rsid w:val="00FF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3CF7D77"/>
  <w15:chartTrackingRefBased/>
  <w15:docId w15:val="{D4CAD23A-9847-4CFB-A72C-4049806F2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E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A4D7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73810"/>
    <w:rPr>
      <w:b/>
      <w:bCs/>
    </w:rPr>
  </w:style>
  <w:style w:type="paragraph" w:customStyle="1" w:styleId="textojustificado">
    <w:name w:val="texto_justificado"/>
    <w:basedOn w:val="Normal"/>
    <w:rsid w:val="000E1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F0A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0AE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9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ED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5A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maiusc">
    <w:name w:val="texto_alinhado_esquerda_espacamento_simples_maiusc"/>
    <w:basedOn w:val="Normal"/>
    <w:rsid w:val="005A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A0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A0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assuntos/consultas-e-audiencias-publicas/consulta-audiencia-publica/consulta-e-audiencia-publicas-no-19-2020" TargetMode="Externa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lanalto.gov.br/ccivil_03/_Ato2015-2018/2015/Decreto/D8539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lanalto.gov.br/ccivil_03/_Ato2015-2018/2015/Decreto/D8539.ht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sei.anp.gov.br/sei/controlador.php?acao=protocolo_visualizar&amp;id_protocolo=1325106&amp;id_procedimento_atual=942261&amp;infra_sistema=100000100&amp;infra_unidade_atual=110000021&amp;infra_hash=b01ec3022fd2276064c0e41b9cc7652773c42b973967291829b0e2d8a7ae6f86" TargetMode="External"/><Relationship Id="rId14" Type="http://schemas.openxmlformats.org/officeDocument/2006/relationships/hyperlink" Target="http://sei.anp.gov.br/sei/controlador_externo.php?acao=documento_conferir&amp;id_orgao_acesso_externo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53F59F35CBF40A806AF2400920261" ma:contentTypeVersion="13" ma:contentTypeDescription="Create a new document." ma:contentTypeScope="" ma:versionID="4492f33707ce0cedee2d6840b2703cb0">
  <xsd:schema xmlns:xsd="http://www.w3.org/2001/XMLSchema" xmlns:xs="http://www.w3.org/2001/XMLSchema" xmlns:p="http://schemas.microsoft.com/office/2006/metadata/properties" xmlns:ns3="378e0bf1-9532-4ad4-9e1c-92799be2c99a" xmlns:ns4="9882d271-b0ac-47ff-8d50-e09595b38f57" targetNamespace="http://schemas.microsoft.com/office/2006/metadata/properties" ma:root="true" ma:fieldsID="994c0e8d23db069987262d7a05be92ba" ns3:_="" ns4:_="">
    <xsd:import namespace="378e0bf1-9532-4ad4-9e1c-92799be2c99a"/>
    <xsd:import namespace="9882d271-b0ac-47ff-8d50-e09595b38f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0bf1-9532-4ad4-9e1c-92799be2c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2d271-b0ac-47ff-8d50-e09595b38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97A917-7927-4D6F-ABC9-9E09AAFFF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8e0bf1-9532-4ad4-9e1c-92799be2c99a"/>
    <ds:schemaRef ds:uri="9882d271-b0ac-47ff-8d50-e09595b38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E88244-E787-4B2C-BB38-A2D013090B16}">
  <ds:schemaRefs>
    <ds:schemaRef ds:uri="http://www.w3.org/XML/1998/namespace"/>
    <ds:schemaRef ds:uri="http://purl.org/dc/elements/1.1/"/>
    <ds:schemaRef ds:uri="9882d271-b0ac-47ff-8d50-e09595b38f57"/>
    <ds:schemaRef ds:uri="http://purl.org/dc/dcmitype/"/>
    <ds:schemaRef ds:uri="http://schemas.microsoft.com/office/2006/documentManagement/types"/>
    <ds:schemaRef ds:uri="378e0bf1-9532-4ad4-9e1c-92799be2c99a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101CE0A-B800-4D3E-B91D-3CC2F4AFF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2062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Alves Damacena Basilio</dc:creator>
  <cp:keywords/>
  <dc:description/>
  <cp:lastModifiedBy>Luiz Eduardo Paim Varella</cp:lastModifiedBy>
  <cp:revision>4</cp:revision>
  <dcterms:created xsi:type="dcterms:W3CDTF">2021-04-05T18:13:00Z</dcterms:created>
  <dcterms:modified xsi:type="dcterms:W3CDTF">2021-04-05T18:15:00Z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0x01010008E53F59F35CBF40A806AF2400920261</vt:lpwstr>
  </property>
</Properties>
</file>