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5152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0E34731C" w14:textId="77777777" w:rsidR="001F74A0" w:rsidRPr="00FD2C11" w:rsidRDefault="00CE6C95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3139A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12875303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0D30B51E" w14:textId="77777777" w:rsidR="00C13A89" w:rsidRPr="00C35B6E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CONSULTA </w:t>
      </w:r>
      <w:r w:rsidRPr="0035599D">
        <w:rPr>
          <w:sz w:val="26"/>
          <w:szCs w:val="26"/>
        </w:rPr>
        <w:t>PÚ</w:t>
      </w:r>
      <w:r w:rsidR="00482F43" w:rsidRPr="0035599D">
        <w:rPr>
          <w:sz w:val="26"/>
          <w:szCs w:val="26"/>
        </w:rPr>
        <w:t>BLICA N°</w:t>
      </w:r>
      <w:r w:rsidR="00C13A89" w:rsidRPr="0035599D">
        <w:rPr>
          <w:sz w:val="26"/>
          <w:szCs w:val="26"/>
        </w:rPr>
        <w:t xml:space="preserve"> </w:t>
      </w:r>
      <w:r w:rsidR="0035599D" w:rsidRPr="0035599D">
        <w:rPr>
          <w:sz w:val="26"/>
          <w:szCs w:val="26"/>
        </w:rPr>
        <w:t>04</w:t>
      </w:r>
      <w:r w:rsidR="00482F43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35599D" w:rsidRPr="0035599D">
        <w:rPr>
          <w:sz w:val="26"/>
          <w:szCs w:val="26"/>
        </w:rPr>
        <w:t>9</w:t>
      </w:r>
      <w:r w:rsidR="00C13A89" w:rsidRPr="0035599D">
        <w:rPr>
          <w:sz w:val="26"/>
          <w:szCs w:val="26"/>
        </w:rPr>
        <w:t>__</w:t>
      </w:r>
      <w:r w:rsidR="00482F43" w:rsidRPr="0035599D">
        <w:rPr>
          <w:sz w:val="26"/>
          <w:szCs w:val="26"/>
        </w:rPr>
        <w:t xml:space="preserve">__ - </w:t>
      </w:r>
      <w:r w:rsidR="00BB004F" w:rsidRPr="0035599D">
        <w:rPr>
          <w:sz w:val="26"/>
          <w:szCs w:val="26"/>
        </w:rPr>
        <w:t xml:space="preserve">DE </w:t>
      </w:r>
      <w:r w:rsidR="00CA6FE8" w:rsidRPr="0035599D">
        <w:rPr>
          <w:sz w:val="26"/>
          <w:szCs w:val="26"/>
        </w:rPr>
        <w:t>1</w:t>
      </w:r>
      <w:r w:rsidR="0035599D" w:rsidRPr="0035599D">
        <w:rPr>
          <w:sz w:val="26"/>
          <w:szCs w:val="26"/>
        </w:rPr>
        <w:t>8</w:t>
      </w:r>
      <w:r w:rsidR="00BB004F" w:rsidRPr="0035599D">
        <w:rPr>
          <w:sz w:val="26"/>
          <w:szCs w:val="26"/>
        </w:rPr>
        <w:t>/</w:t>
      </w:r>
      <w:r w:rsidR="00452D91" w:rsidRPr="0035599D">
        <w:rPr>
          <w:sz w:val="26"/>
          <w:szCs w:val="26"/>
        </w:rPr>
        <w:t>0</w:t>
      </w:r>
      <w:r w:rsidR="00CA6FE8" w:rsidRPr="0035599D">
        <w:rPr>
          <w:sz w:val="26"/>
          <w:szCs w:val="26"/>
        </w:rPr>
        <w:t>2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  <w:r w:rsidR="00BB004F" w:rsidRPr="0035599D">
        <w:rPr>
          <w:sz w:val="26"/>
          <w:szCs w:val="26"/>
        </w:rPr>
        <w:t xml:space="preserve"> </w:t>
      </w:r>
      <w:r w:rsidR="00C13A89" w:rsidRPr="0035599D">
        <w:rPr>
          <w:sz w:val="26"/>
          <w:szCs w:val="26"/>
        </w:rPr>
        <w:t>a</w:t>
      </w:r>
      <w:r w:rsidR="00BB004F" w:rsidRPr="0035599D">
        <w:rPr>
          <w:sz w:val="26"/>
          <w:szCs w:val="26"/>
        </w:rPr>
        <w:t xml:space="preserve"> </w:t>
      </w:r>
      <w:r w:rsidR="00CA6FE8" w:rsidRPr="0035599D">
        <w:rPr>
          <w:sz w:val="26"/>
          <w:szCs w:val="26"/>
        </w:rPr>
        <w:t>0</w:t>
      </w:r>
      <w:r w:rsidR="0035599D" w:rsidRPr="0035599D">
        <w:rPr>
          <w:sz w:val="26"/>
          <w:szCs w:val="26"/>
        </w:rPr>
        <w:t>4</w:t>
      </w:r>
      <w:r w:rsidR="00CA6FE8" w:rsidRPr="0035599D">
        <w:rPr>
          <w:sz w:val="26"/>
          <w:szCs w:val="26"/>
        </w:rPr>
        <w:t>/03</w:t>
      </w:r>
      <w:r w:rsidR="00BB004F" w:rsidRPr="0035599D">
        <w:rPr>
          <w:sz w:val="26"/>
          <w:szCs w:val="26"/>
        </w:rPr>
        <w:t>/</w:t>
      </w:r>
      <w:r w:rsidR="00F229D8" w:rsidRPr="0035599D">
        <w:rPr>
          <w:sz w:val="26"/>
          <w:szCs w:val="26"/>
        </w:rPr>
        <w:t>201</w:t>
      </w:r>
      <w:r w:rsidR="00CA6FE8" w:rsidRPr="0035599D">
        <w:rPr>
          <w:sz w:val="26"/>
          <w:szCs w:val="26"/>
        </w:rPr>
        <w:t>9</w:t>
      </w:r>
    </w:p>
    <w:p w14:paraId="20A0FF5D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5B7166DA" w14:textId="77777777" w:rsidR="001F74A0" w:rsidRDefault="00BD5993" w:rsidP="00F4566E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F4566E">
        <w:rPr>
          <w:sz w:val="26"/>
          <w:szCs w:val="26"/>
        </w:rPr>
        <w:t xml:space="preserve"> </w:t>
      </w:r>
      <w:r w:rsidR="00F4566E" w:rsidRPr="00F4566E">
        <w:rPr>
          <w:b/>
          <w:sz w:val="26"/>
          <w:szCs w:val="26"/>
        </w:rPr>
        <w:t>TRICON ENERGY</w:t>
      </w:r>
    </w:p>
    <w:p w14:paraId="2883B1C2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6904"/>
        <w:gridCol w:w="1136"/>
        <w:gridCol w:w="4819"/>
      </w:tblGrid>
      <w:tr w:rsidR="00BD5993" w14:paraId="370C7374" w14:textId="77777777" w:rsidTr="000A4330">
        <w:trPr>
          <w:trHeight w:val="375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471CE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</w:t>
            </w:r>
            <w:r w:rsidR="00F4566E" w:rsidRPr="00F4566E">
              <w:rPr>
                <w:rFonts w:cs="Arial"/>
                <w:b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14:paraId="462D3B1D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195E9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14:paraId="7F20E555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2C0AD7FB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26C2DE32" w14:textId="77777777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B5F69D" w14:textId="77777777" w:rsidR="00BB004F" w:rsidRPr="00BD5993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7707E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7707E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7707E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7707E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</w:t>
            </w:r>
            <w:r w:rsidR="00E7707E" w:rsidRPr="00E7707E">
              <w:rPr>
                <w:rFonts w:ascii="Arial" w:hAnsi="Arial" w:cs="Arial"/>
                <w:bCs/>
                <w:sz w:val="28"/>
                <w:szCs w:val="28"/>
              </w:rPr>
              <w:t>que dispõe sobre a obrigatoriedade de apresentação de dados de preços relativos à comercialização de derivados de petróleo, gás natural e biocombus</w:t>
            </w:r>
            <w:r w:rsidR="00E7707E">
              <w:rPr>
                <w:rFonts w:ascii="Arial" w:hAnsi="Arial" w:cs="Arial"/>
                <w:bCs/>
                <w:sz w:val="28"/>
                <w:szCs w:val="28"/>
              </w:rPr>
              <w:t>tíveis e dá outras providências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14:paraId="420A3C04" w14:textId="77777777" w:rsidTr="000A4330">
        <w:trPr>
          <w:trHeight w:val="3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D2F31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C390EA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9B549F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61EEA5BD" w14:textId="77777777" w:rsidTr="000A4330">
        <w:trPr>
          <w:trHeight w:val="56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AD40A5" w14:textId="77777777" w:rsidR="00C13A89" w:rsidRPr="00D17873" w:rsidRDefault="00C13A89" w:rsidP="000303C4">
            <w:pP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D17873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="00F4566E" w:rsidRPr="00D17873">
              <w:rPr>
                <w:rFonts w:asciiTheme="minorHAnsi" w:hAnsiTheme="minorHAnsi" w:cstheme="minorHAnsi"/>
                <w:b/>
                <w:bCs/>
                <w:color w:val="000000"/>
              </w:rPr>
              <w:t>Art. 2º</w:t>
            </w:r>
          </w:p>
          <w:p w14:paraId="1A95AF98" w14:textId="77777777" w:rsidR="00C13A89" w:rsidRPr="00D17873" w:rsidRDefault="00C13A89" w:rsidP="000303C4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D17873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7E0FCA" w14:textId="77777777" w:rsidR="00F4566E" w:rsidRPr="006440FC" w:rsidRDefault="00F4566E" w:rsidP="00F4566E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40FC">
              <w:rPr>
                <w:rFonts w:asciiTheme="minorHAnsi" w:hAnsiTheme="minorHAnsi" w:cstheme="minorHAnsi"/>
                <w:color w:val="000000" w:themeColor="text1"/>
              </w:rPr>
              <w:t>Art. 2</w:t>
            </w:r>
            <w:proofErr w:type="gramStart"/>
            <w:r w:rsidRPr="006440FC">
              <w:rPr>
                <w:rFonts w:asciiTheme="minorHAnsi" w:hAnsiTheme="minorHAnsi" w:cstheme="minorHAnsi"/>
                <w:color w:val="000000" w:themeColor="text1"/>
              </w:rPr>
              <w:t>º  Para</w:t>
            </w:r>
            <w:proofErr w:type="gramEnd"/>
            <w:r w:rsidRPr="006440FC">
              <w:rPr>
                <w:rFonts w:asciiTheme="minorHAnsi" w:hAnsiTheme="minorHAnsi" w:cstheme="minorHAnsi"/>
                <w:color w:val="000000" w:themeColor="text1"/>
              </w:rPr>
              <w:t xml:space="preserve"> os fins desta Resolução, ficam estabelecidas as seguintes definições:</w:t>
            </w:r>
          </w:p>
          <w:p w14:paraId="2E30B3B7" w14:textId="77777777" w:rsidR="00F4566E" w:rsidRDefault="00F4566E" w:rsidP="00F4566E">
            <w:pPr>
              <w:spacing w:before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D17873">
              <w:rPr>
                <w:rFonts w:asciiTheme="minorHAnsi" w:hAnsiTheme="minorHAnsi" w:cstheme="minorHAnsi"/>
                <w:color w:val="FF0000"/>
              </w:rPr>
              <w:t>I - agente dominante: agente ou grupo econômico que tenha participação de mercado na etapa de fornecimento primário, via produção ou importação, superior a vinte por cento (20%), contabilizada em termos de volume de produto comercializado no ano anterior, para cada derivado de petróleo, em cada macrorregião política do país, conforme definição do Instituto Brasileiro de Geografia e Estatística (IBGE);</w:t>
            </w:r>
            <w:r w:rsidR="006440F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1D6B4CB9" w14:textId="77777777" w:rsidR="006440FC" w:rsidRPr="006440FC" w:rsidRDefault="006440FC" w:rsidP="006440FC">
            <w:pPr>
              <w:spacing w:before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6440FC">
              <w:rPr>
                <w:rFonts w:asciiTheme="minorHAnsi" w:hAnsiTheme="minorHAnsi" w:cstheme="minorHAnsi"/>
                <w:color w:val="FF0000"/>
              </w:rPr>
              <w:t xml:space="preserve">II - </w:t>
            </w:r>
            <w:proofErr w:type="gramStart"/>
            <w:r w:rsidRPr="006440FC">
              <w:rPr>
                <w:rFonts w:asciiTheme="minorHAnsi" w:hAnsiTheme="minorHAnsi" w:cstheme="minorHAnsi"/>
                <w:color w:val="FF0000"/>
              </w:rPr>
              <w:t>preço</w:t>
            </w:r>
            <w:proofErr w:type="gramEnd"/>
            <w:r w:rsidRPr="006440FC">
              <w:rPr>
                <w:rFonts w:asciiTheme="minorHAnsi" w:hAnsiTheme="minorHAnsi" w:cstheme="minorHAnsi"/>
                <w:color w:val="FF0000"/>
              </w:rPr>
              <w:t xml:space="preserve"> parametrizado: preço previsto em contrato e pactuado entre as partes, formado por parâmetros fixos ou variáveis exógenas, que seja claro, objetivo e passível de cálculo prévio pelos agentes econômicos partícipes do contrato e pela ANP;</w:t>
            </w:r>
          </w:p>
          <w:p w14:paraId="386B157F" w14:textId="77777777" w:rsidR="00395C7F" w:rsidRPr="00395C7F" w:rsidRDefault="00395C7F" w:rsidP="00395C7F">
            <w:pPr>
              <w:spacing w:before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95C7F">
              <w:rPr>
                <w:rFonts w:asciiTheme="minorHAnsi" w:hAnsiTheme="minorHAnsi" w:cstheme="minorHAnsi"/>
                <w:color w:val="FF0000"/>
              </w:rPr>
              <w:t>III - preço de lista: preço vigente de venda informado aos clientes, por ponto de entrega e modalidade de venda, sem tributos, para pagamento à vista, em reais por metro cúbico, ou em reais por tonelada para produtos asfálticos ou gases liquefeitos, com quatro casas decimais; e</w:t>
            </w:r>
          </w:p>
          <w:p w14:paraId="7F247D21" w14:textId="77777777" w:rsidR="00C20455" w:rsidRPr="00C20455" w:rsidRDefault="00C20455" w:rsidP="00C20455">
            <w:pPr>
              <w:spacing w:before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20455">
              <w:rPr>
                <w:rFonts w:asciiTheme="minorHAnsi" w:hAnsiTheme="minorHAnsi" w:cstheme="minorHAnsi"/>
                <w:color w:val="FF0000"/>
              </w:rPr>
              <w:t xml:space="preserve">IV - </w:t>
            </w:r>
            <w:proofErr w:type="gramStart"/>
            <w:r w:rsidRPr="00C20455">
              <w:rPr>
                <w:rFonts w:asciiTheme="minorHAnsi" w:hAnsiTheme="minorHAnsi" w:cstheme="minorHAnsi"/>
                <w:color w:val="FF0000"/>
              </w:rPr>
              <w:t>modalidade</w:t>
            </w:r>
            <w:proofErr w:type="gramEnd"/>
            <w:r w:rsidRPr="00C20455">
              <w:rPr>
                <w:rFonts w:asciiTheme="minorHAnsi" w:hAnsiTheme="minorHAnsi" w:cstheme="minorHAnsi"/>
                <w:color w:val="FF0000"/>
              </w:rPr>
              <w:t xml:space="preserve"> de venda: condições comerciais e logísticas das operações de venda realizadas pelo agente econômico.</w:t>
            </w:r>
          </w:p>
          <w:p w14:paraId="35E14C95" w14:textId="77777777" w:rsidR="006440FC" w:rsidRPr="00D17873" w:rsidRDefault="006440FC" w:rsidP="00F4566E">
            <w:pPr>
              <w:spacing w:before="12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1F43B1B2" w14:textId="77777777" w:rsidR="00C13A89" w:rsidRPr="006440FC" w:rsidRDefault="00C13A89" w:rsidP="000303C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04AAAC" w14:textId="77777777" w:rsidR="006440FC" w:rsidRPr="005E6C93" w:rsidRDefault="006440FC" w:rsidP="00F456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E6C93">
              <w:rPr>
                <w:rFonts w:asciiTheme="minorHAnsi" w:hAnsiTheme="minorHAnsi" w:cstheme="minorHAnsi"/>
                <w:b/>
              </w:rPr>
              <w:t>Inciso I</w:t>
            </w:r>
          </w:p>
          <w:p w14:paraId="65143404" w14:textId="77777777" w:rsidR="00F4566E" w:rsidRPr="005E6C93" w:rsidRDefault="00F4566E" w:rsidP="00F4566E">
            <w:pPr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Entende-se que, nesse caso, as distribuidoras que efetuam importação</w:t>
            </w:r>
            <w:r w:rsidR="005E6C93" w:rsidRPr="005E6C93">
              <w:rPr>
                <w:rFonts w:asciiTheme="minorHAnsi" w:hAnsiTheme="minorHAnsi" w:cstheme="minorHAnsi"/>
              </w:rPr>
              <w:t xml:space="preserve"> (conta e ordem ou encomenda)</w:t>
            </w:r>
            <w:r w:rsidRPr="005E6C93">
              <w:rPr>
                <w:rFonts w:asciiTheme="minorHAnsi" w:hAnsiTheme="minorHAnsi" w:cstheme="minorHAnsi"/>
              </w:rPr>
              <w:t xml:space="preserve"> e venda a congênere também precisam divulgar seus preços lista de venda, desde que representem mais de 20% da comercialização do ano anterior por macrorregião.</w:t>
            </w:r>
            <w:r w:rsidR="00D17873" w:rsidRPr="005E6C93">
              <w:rPr>
                <w:rFonts w:asciiTheme="minorHAnsi" w:hAnsiTheme="minorHAnsi" w:cstheme="minorHAnsi"/>
              </w:rPr>
              <w:t xml:space="preserve"> A ANP deve conseguir segregar a origem do produto, bem como rastrear a sua saída, para que as distribuidoras também sejam incluídas nesta conta.</w:t>
            </w:r>
          </w:p>
          <w:p w14:paraId="531C6BC0" w14:textId="77777777" w:rsidR="00F4566E" w:rsidRPr="005E6C93" w:rsidRDefault="00F4566E" w:rsidP="00F4566E">
            <w:pPr>
              <w:jc w:val="both"/>
              <w:rPr>
                <w:rFonts w:asciiTheme="minorHAnsi" w:hAnsiTheme="minorHAnsi" w:cstheme="minorHAnsi"/>
              </w:rPr>
            </w:pPr>
          </w:p>
          <w:p w14:paraId="045E7D9E" w14:textId="77777777" w:rsidR="00F4566E" w:rsidRPr="005E6C93" w:rsidRDefault="00D17873" w:rsidP="00F4566E">
            <w:pPr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Como agravante, ainda há a</w:t>
            </w:r>
            <w:r w:rsidR="00F4566E" w:rsidRPr="005E6C93">
              <w:rPr>
                <w:rFonts w:asciiTheme="minorHAnsi" w:hAnsiTheme="minorHAnsi" w:cstheme="minorHAnsi"/>
              </w:rPr>
              <w:t xml:space="preserve"> possibilidade das distribuidoras serem liberadas para importação direta de derivados de petróleo</w:t>
            </w:r>
            <w:r w:rsidRPr="005E6C93">
              <w:rPr>
                <w:rFonts w:asciiTheme="minorHAnsi" w:hAnsiTheme="minorHAnsi" w:cstheme="minorHAnsi"/>
              </w:rPr>
              <w:t xml:space="preserve"> (conforme minuta de resolução apresentada apresentado na CP 13/2018)</w:t>
            </w:r>
            <w:r w:rsidR="00F4566E" w:rsidRPr="005E6C93">
              <w:rPr>
                <w:rFonts w:asciiTheme="minorHAnsi" w:hAnsiTheme="minorHAnsi" w:cstheme="minorHAnsi"/>
              </w:rPr>
              <w:t>, sendo, nesse caso, imprescindível que também sejam acrescidas no rol de empresas que devem divulgar os preços lista de venda, pois a venda entre congêneres é permitida</w:t>
            </w:r>
            <w:r w:rsidRPr="005E6C93">
              <w:rPr>
                <w:rFonts w:asciiTheme="minorHAnsi" w:hAnsiTheme="minorHAnsi" w:cstheme="minorHAnsi"/>
              </w:rPr>
              <w:t xml:space="preserve"> e necessária,</w:t>
            </w:r>
            <w:r w:rsidR="00F4566E" w:rsidRPr="005E6C93">
              <w:rPr>
                <w:rFonts w:asciiTheme="minorHAnsi" w:hAnsiTheme="minorHAnsi" w:cstheme="minorHAnsi"/>
              </w:rPr>
              <w:t xml:space="preserve"> </w:t>
            </w:r>
            <w:r w:rsidRPr="005E6C93">
              <w:rPr>
                <w:rFonts w:asciiTheme="minorHAnsi" w:hAnsiTheme="minorHAnsi" w:cstheme="minorHAnsi"/>
              </w:rPr>
              <w:t>porém</w:t>
            </w:r>
            <w:r w:rsidR="00F4566E" w:rsidRPr="005E6C93">
              <w:rPr>
                <w:rFonts w:asciiTheme="minorHAnsi" w:hAnsiTheme="minorHAnsi" w:cstheme="minorHAnsi"/>
              </w:rPr>
              <w:t xml:space="preserve">, desta forma, as próprias distribuidoras poderiam se tornar um fornecedor, concorrendo com o importador e o produtor. </w:t>
            </w:r>
          </w:p>
          <w:p w14:paraId="3805DA36" w14:textId="77777777" w:rsidR="00F4566E" w:rsidRPr="005E6C93" w:rsidRDefault="00F4566E" w:rsidP="00F4566E">
            <w:pPr>
              <w:jc w:val="both"/>
              <w:rPr>
                <w:rFonts w:asciiTheme="minorHAnsi" w:hAnsiTheme="minorHAnsi" w:cstheme="minorHAnsi"/>
              </w:rPr>
            </w:pPr>
          </w:p>
          <w:p w14:paraId="53910BDA" w14:textId="77777777" w:rsidR="00F4566E" w:rsidRPr="005E6C93" w:rsidRDefault="00F4566E" w:rsidP="00F4566E">
            <w:pPr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Vale salientar que</w:t>
            </w:r>
            <w:r w:rsidR="00D17873" w:rsidRPr="005E6C93">
              <w:rPr>
                <w:rFonts w:asciiTheme="minorHAnsi" w:hAnsiTheme="minorHAnsi" w:cstheme="minorHAnsi"/>
              </w:rPr>
              <w:t xml:space="preserve"> o melhor cenário, aquele que fomenta a </w:t>
            </w:r>
            <w:r w:rsidR="00D17873" w:rsidRPr="005E6C93">
              <w:rPr>
                <w:rFonts w:asciiTheme="minorHAnsi" w:hAnsiTheme="minorHAnsi" w:cstheme="minorHAnsi"/>
              </w:rPr>
              <w:lastRenderedPageBreak/>
              <w:t>livre concorrência, é o de que cada agente regulado atue somente na atividade para o qual possui autorização</w:t>
            </w:r>
            <w:r w:rsidR="004E1643">
              <w:rPr>
                <w:rFonts w:asciiTheme="minorHAnsi" w:hAnsiTheme="minorHAnsi" w:cstheme="minorHAnsi"/>
              </w:rPr>
              <w:t xml:space="preserve"> (produção, importação ou distribuição), de modo que não tenhamos distorções no mercado. Hoje, por exemplo, o produtor, tem autorização de importar</w:t>
            </w:r>
            <w:r w:rsidR="00C43C82">
              <w:rPr>
                <w:rFonts w:asciiTheme="minorHAnsi" w:hAnsiTheme="minorHAnsi" w:cstheme="minorHAnsi"/>
              </w:rPr>
              <w:t xml:space="preserve"> produto acabado</w:t>
            </w:r>
            <w:r w:rsidR="004E1643">
              <w:rPr>
                <w:rFonts w:asciiTheme="minorHAnsi" w:hAnsiTheme="minorHAnsi" w:cstheme="minorHAnsi"/>
              </w:rPr>
              <w:t xml:space="preserve"> por suas refinarias, porém o importador não pode </w:t>
            </w:r>
            <w:r w:rsidR="00C43C82">
              <w:rPr>
                <w:rFonts w:asciiTheme="minorHAnsi" w:hAnsiTheme="minorHAnsi" w:cstheme="minorHAnsi"/>
              </w:rPr>
              <w:t xml:space="preserve">produzir, misturar e etc. Cumpre lembrar, também, </w:t>
            </w:r>
            <w:r w:rsidR="007D61A0">
              <w:rPr>
                <w:rFonts w:asciiTheme="minorHAnsi" w:hAnsiTheme="minorHAnsi" w:cstheme="minorHAnsi"/>
              </w:rPr>
              <w:t xml:space="preserve">que </w:t>
            </w:r>
            <w:r w:rsidR="00C43C82">
              <w:rPr>
                <w:rFonts w:asciiTheme="minorHAnsi" w:hAnsiTheme="minorHAnsi" w:cstheme="minorHAnsi"/>
              </w:rPr>
              <w:t xml:space="preserve">a Constituição, através de seu Art. 173, </w:t>
            </w:r>
            <w:r w:rsidR="008011CF">
              <w:rPr>
                <w:rFonts w:asciiTheme="minorHAnsi" w:hAnsiTheme="minorHAnsi" w:cstheme="minorHAnsi"/>
              </w:rPr>
              <w:t xml:space="preserve">§1º, II, </w:t>
            </w:r>
            <w:r w:rsidR="008011CF" w:rsidRPr="007D61A0">
              <w:rPr>
                <w:rFonts w:asciiTheme="minorHAnsi" w:hAnsiTheme="minorHAnsi" w:cstheme="minorHAnsi"/>
                <w:b/>
              </w:rPr>
              <w:t>“exige que as entidades estatais que explorem atividade econômica se sujeitem ao regime jurídico aplicável às empresas privadas, inclusive quando aos direitos e obrigações civis, comerciais, trabalhistas e tributários”</w:t>
            </w:r>
            <w:r w:rsidR="008011CF">
              <w:rPr>
                <w:rFonts w:asciiTheme="minorHAnsi" w:hAnsiTheme="minorHAnsi" w:cstheme="minorHAnsi"/>
              </w:rPr>
              <w:t xml:space="preserve">. </w:t>
            </w:r>
          </w:p>
          <w:p w14:paraId="7E8099E9" w14:textId="77777777" w:rsidR="00F4566E" w:rsidRPr="005E6C93" w:rsidRDefault="00F4566E" w:rsidP="00F4566E">
            <w:pPr>
              <w:jc w:val="both"/>
              <w:rPr>
                <w:rFonts w:asciiTheme="minorHAnsi" w:hAnsiTheme="minorHAnsi" w:cstheme="minorHAnsi"/>
              </w:rPr>
            </w:pPr>
          </w:p>
          <w:p w14:paraId="269D792E" w14:textId="77777777" w:rsidR="006440FC" w:rsidRPr="005E6C93" w:rsidRDefault="006440FC" w:rsidP="00F456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E6C93">
              <w:rPr>
                <w:rFonts w:asciiTheme="minorHAnsi" w:hAnsiTheme="minorHAnsi" w:cstheme="minorHAnsi"/>
                <w:b/>
              </w:rPr>
              <w:t>Inciso II</w:t>
            </w:r>
          </w:p>
          <w:p w14:paraId="023EA52B" w14:textId="77777777" w:rsidR="00C13A89" w:rsidRPr="005E6C93" w:rsidRDefault="006440FC" w:rsidP="00F4566E">
            <w:pPr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É necessário rever o inciso II, visto que hoje há atuação de distribuidoras no modelo de pedido mensal (CGV). Apesar da RANP 58/2014, em seu Art. 21</w:t>
            </w:r>
            <w:r w:rsidR="005E6C93" w:rsidRPr="005E6C93">
              <w:rPr>
                <w:rFonts w:asciiTheme="minorHAnsi" w:hAnsiTheme="minorHAnsi" w:cstheme="minorHAnsi"/>
              </w:rPr>
              <w:t xml:space="preserve">, prever os </w:t>
            </w:r>
            <w:r w:rsidRPr="005E6C93">
              <w:rPr>
                <w:rFonts w:asciiTheme="minorHAnsi" w:hAnsiTheme="minorHAnsi" w:cstheme="minorHAnsi"/>
              </w:rPr>
              <w:t>modelos de pedido mensal e contrato de fornecimento para a aquisição de derivados de petróleo, hoje a Petrobras impõe critérios próprios para o oferecimento de contrato de fornecimento, de modo que nem todas as distribuidoras conseguem fazê-lo.</w:t>
            </w:r>
          </w:p>
          <w:p w14:paraId="385312BA" w14:textId="77777777" w:rsidR="006440FC" w:rsidRPr="005E6C93" w:rsidRDefault="006440FC" w:rsidP="00F4566E">
            <w:pPr>
              <w:jc w:val="both"/>
              <w:rPr>
                <w:rFonts w:asciiTheme="minorHAnsi" w:hAnsiTheme="minorHAnsi" w:cstheme="minorHAnsi"/>
              </w:rPr>
            </w:pPr>
          </w:p>
          <w:p w14:paraId="66023493" w14:textId="77777777" w:rsidR="006440FC" w:rsidRPr="005E6C93" w:rsidRDefault="005E6C93" w:rsidP="00F4566E">
            <w:pPr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Hoje a Petrobras exige que o distribuidor</w:t>
            </w:r>
            <w:r w:rsidR="006440FC" w:rsidRPr="005E6C93">
              <w:rPr>
                <w:rFonts w:asciiTheme="minorHAnsi" w:hAnsiTheme="minorHAnsi" w:cstheme="minorHAnsi"/>
              </w:rPr>
              <w:t>:</w:t>
            </w:r>
          </w:p>
          <w:p w14:paraId="7DA7D56C" w14:textId="77777777" w:rsidR="006440FC" w:rsidRPr="005E6C93" w:rsidRDefault="006440FC" w:rsidP="006440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Tenha efetuado retiradas nos 12 meses anteriores cuja média seja de pelo menos 10.000 m³ de óleo diesel ou 6.000 m³ de gasolina;</w:t>
            </w:r>
          </w:p>
          <w:p w14:paraId="2AB39143" w14:textId="77777777" w:rsidR="006440FC" w:rsidRPr="005E6C93" w:rsidRDefault="006440FC" w:rsidP="006440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>Possu</w:t>
            </w:r>
            <w:r w:rsidR="005E6C93" w:rsidRPr="005E6C93">
              <w:rPr>
                <w:rFonts w:asciiTheme="minorHAnsi" w:hAnsiTheme="minorHAnsi" w:cstheme="minorHAnsi"/>
              </w:rPr>
              <w:t>a</w:t>
            </w:r>
            <w:r w:rsidRPr="005E6C93">
              <w:rPr>
                <w:rFonts w:asciiTheme="minorHAnsi" w:hAnsiTheme="minorHAnsi" w:cstheme="minorHAnsi"/>
              </w:rPr>
              <w:t xml:space="preserve"> propriedade (exclusiva ou em sociedade) de, ao menos, uma base interligada (base primária) ou não (base secundária).</w:t>
            </w:r>
          </w:p>
          <w:p w14:paraId="45D88916" w14:textId="77777777" w:rsidR="006440FC" w:rsidRPr="005E6C93" w:rsidRDefault="006440FC" w:rsidP="006440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F0FF15A" w14:textId="77777777" w:rsidR="005E6C93" w:rsidRPr="005E6C93" w:rsidRDefault="005E6C93" w:rsidP="005E6C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E6C93">
              <w:rPr>
                <w:rFonts w:asciiTheme="minorHAnsi" w:hAnsiTheme="minorHAnsi" w:cstheme="minorHAnsi"/>
              </w:rPr>
              <w:t xml:space="preserve">O </w:t>
            </w:r>
            <w:r w:rsidR="006440FC" w:rsidRPr="005E6C93">
              <w:rPr>
                <w:rFonts w:asciiTheme="minorHAnsi" w:hAnsiTheme="minorHAnsi" w:cstheme="minorHAnsi"/>
              </w:rPr>
              <w:t xml:space="preserve">item </w:t>
            </w:r>
            <w:proofErr w:type="spellStart"/>
            <w:r w:rsidR="006440FC" w:rsidRPr="005E6C93">
              <w:rPr>
                <w:rFonts w:asciiTheme="minorHAnsi" w:hAnsiTheme="minorHAnsi" w:cstheme="minorHAnsi"/>
              </w:rPr>
              <w:t>ii</w:t>
            </w:r>
            <w:proofErr w:type="spellEnd"/>
            <w:r w:rsidR="006440FC" w:rsidRPr="005E6C93">
              <w:rPr>
                <w:rFonts w:asciiTheme="minorHAnsi" w:hAnsiTheme="minorHAnsi" w:cstheme="minorHAnsi"/>
              </w:rPr>
              <w:t>., já é uma exigência legal da ANP, porém o item i. dificulta o acesso ao contrato pelas novas e</w:t>
            </w:r>
            <w:r w:rsidR="007D61A0">
              <w:rPr>
                <w:rFonts w:asciiTheme="minorHAnsi" w:hAnsiTheme="minorHAnsi" w:cstheme="minorHAnsi"/>
              </w:rPr>
              <w:t>/ou</w:t>
            </w:r>
            <w:r w:rsidR="006440FC" w:rsidRPr="005E6C93">
              <w:rPr>
                <w:rFonts w:asciiTheme="minorHAnsi" w:hAnsiTheme="minorHAnsi" w:cstheme="minorHAnsi"/>
              </w:rPr>
              <w:t xml:space="preserve"> pequenas distribuidoras que ainda não atingiram o volume mínimo exigido pela Petrobras</w:t>
            </w:r>
            <w:r w:rsidR="006440FC" w:rsidRPr="00A57837">
              <w:rPr>
                <w:rFonts w:asciiTheme="minorHAnsi" w:hAnsiTheme="minorHAnsi" w:cstheme="minorHAnsi"/>
              </w:rPr>
              <w:t xml:space="preserve">. </w:t>
            </w:r>
            <w:r w:rsidRPr="00A57837">
              <w:rPr>
                <w:rFonts w:asciiTheme="minorHAnsi" w:hAnsiTheme="minorHAnsi" w:cstheme="minorHAnsi"/>
              </w:rPr>
              <w:t>Frise-se que ao distribuidor que opera no regime de pedido mensal são cobradas as mesmas penalidades do distribuidor que opera sob o regime de contrato de fornecimento, porém não são oferecidas vantagens.</w:t>
            </w:r>
            <w:r w:rsidRPr="005E6C93">
              <w:rPr>
                <w:rFonts w:asciiTheme="minorHAnsi" w:hAnsiTheme="minorHAnsi" w:cstheme="minorHAnsi"/>
              </w:rPr>
              <w:t xml:space="preserve"> Assim, a imposição de um histórico </w:t>
            </w:r>
            <w:r w:rsidRPr="005E6C93">
              <w:rPr>
                <w:rFonts w:asciiTheme="minorHAnsi" w:hAnsiTheme="minorHAnsi" w:cstheme="minorHAnsi"/>
              </w:rPr>
              <w:lastRenderedPageBreak/>
              <w:t>mínimo de movimentação nos últimos 12 meses limita o crescimento dos novos ou pequenos distribuidores, que são obrigados a permanecer no regime de pedido mensal enquanto seus maiores concorrentes podem assinar contrato de fornecimento, pois já operaram os volumes exigidos pela Petrobras, e receber benefícios.</w:t>
            </w:r>
          </w:p>
          <w:p w14:paraId="41AAD3CD" w14:textId="77777777" w:rsidR="005E6C93" w:rsidRPr="005E6C93" w:rsidRDefault="005E6C93" w:rsidP="005E6C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518C2B99" w14:textId="77777777" w:rsidR="007D61A0" w:rsidRDefault="009454D2" w:rsidP="005E6C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O texto atual </w:t>
            </w:r>
            <w:r w:rsidR="007D61A0">
              <w:rPr>
                <w:rFonts w:asciiTheme="minorHAnsi" w:hAnsiTheme="minorHAnsi" w:cstheme="minorHAnsi"/>
                <w:b/>
                <w:u w:val="single"/>
              </w:rPr>
              <w:t xml:space="preserve">não veda a prática de preços diferenciados </w:t>
            </w:r>
            <w:r>
              <w:rPr>
                <w:rFonts w:asciiTheme="minorHAnsi" w:hAnsiTheme="minorHAnsi" w:cstheme="minorHAnsi"/>
                <w:b/>
                <w:u w:val="single"/>
              </w:rPr>
              <w:t>para os clientes que atuam sob o regime de contrato de fornecimento e o regime de pedido mensal,</w:t>
            </w:r>
            <w:r w:rsidR="007D61A0">
              <w:rPr>
                <w:rFonts w:asciiTheme="minorHAnsi" w:hAnsiTheme="minorHAnsi" w:cstheme="minorHAnsi"/>
                <w:b/>
                <w:u w:val="single"/>
              </w:rPr>
              <w:t xml:space="preserve"> bem como possibilidade de preços diferentes entre os clientes com contrato de fornecimento, caso haja mais de um modelo de contrato (por exemplo, contrato com compromisso de volume e sem compromisso de volume).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7D61A0">
              <w:rPr>
                <w:rFonts w:asciiTheme="minorHAnsi" w:hAnsiTheme="minorHAnsi" w:cstheme="minorHAnsi"/>
                <w:b/>
                <w:u w:val="single"/>
              </w:rPr>
              <w:t xml:space="preserve">Para os clientes que atuam sob o regime de pedido mensal o risco é ainda maior, pois eles não são citados na </w:t>
            </w:r>
            <w:r w:rsidR="00A57837">
              <w:rPr>
                <w:rFonts w:asciiTheme="minorHAnsi" w:hAnsiTheme="minorHAnsi" w:cstheme="minorHAnsi"/>
                <w:b/>
                <w:u w:val="single"/>
              </w:rPr>
              <w:t>minuta</w:t>
            </w:r>
            <w:r w:rsidR="007D61A0">
              <w:rPr>
                <w:rFonts w:asciiTheme="minorHAnsi" w:hAnsiTheme="minorHAnsi" w:cstheme="minorHAnsi"/>
                <w:b/>
                <w:u w:val="single"/>
              </w:rPr>
              <w:t xml:space="preserve"> e não tem contrato passível de homologação pela Agência para a checagem das variáveis de preço.</w:t>
            </w:r>
          </w:p>
          <w:p w14:paraId="09717B68" w14:textId="77777777" w:rsidR="007D61A0" w:rsidRDefault="007D61A0" w:rsidP="005E6C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6197EAB1" w14:textId="77777777" w:rsidR="006440FC" w:rsidRDefault="006440FC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C13850F" w14:textId="77777777" w:rsidR="00FB44E2" w:rsidRPr="00FB44E2" w:rsidRDefault="00FB44E2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FB44E2">
              <w:rPr>
                <w:rFonts w:asciiTheme="minorHAnsi" w:hAnsiTheme="minorHAnsi" w:cstheme="minorHAnsi"/>
                <w:b/>
              </w:rPr>
              <w:t>Inciso I</w:t>
            </w:r>
            <w:r w:rsidR="00C20455">
              <w:rPr>
                <w:rFonts w:asciiTheme="minorHAnsi" w:hAnsiTheme="minorHAnsi" w:cstheme="minorHAnsi"/>
                <w:b/>
              </w:rPr>
              <w:t>V</w:t>
            </w:r>
          </w:p>
          <w:p w14:paraId="33E4547C" w14:textId="77777777" w:rsidR="00A57837" w:rsidRDefault="00FA4FE6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Necessário prever quais são as modalidades de venda</w:t>
            </w:r>
            <w:r w:rsidR="00A57837">
              <w:rPr>
                <w:rFonts w:asciiTheme="minorHAnsi" w:hAnsiTheme="minorHAnsi" w:cstheme="minorHAnsi"/>
              </w:rPr>
              <w:t xml:space="preserve"> para divulgação de preços, de modo que haja uma harmonização das informações</w:t>
            </w:r>
            <w:r w:rsidR="00C20455">
              <w:rPr>
                <w:rFonts w:asciiTheme="minorHAnsi" w:hAnsiTheme="minorHAnsi" w:cstheme="minorHAnsi"/>
              </w:rPr>
              <w:t xml:space="preserve"> dos agentes.</w:t>
            </w:r>
          </w:p>
          <w:p w14:paraId="5989F030" w14:textId="77777777" w:rsidR="00A57837" w:rsidRDefault="00A57837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1BD044CC" w14:textId="77777777" w:rsidR="00A57837" w:rsidRDefault="00A57837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Hoje a Petrobras atua com diversas modalidades, a depender do </w:t>
            </w:r>
            <w:proofErr w:type="spellStart"/>
            <w:r>
              <w:rPr>
                <w:rFonts w:asciiTheme="minorHAnsi" w:hAnsiTheme="minorHAnsi" w:cstheme="minorHAnsi"/>
              </w:rPr>
              <w:t>pólo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entrega e com nomenclaturas específicas. Os importadores, por sua vez, podem atuar com retirada no porto, entrega na base (para as </w:t>
            </w:r>
            <w:r w:rsidR="00C20455">
              <w:rPr>
                <w:rFonts w:asciiTheme="minorHAnsi" w:hAnsiTheme="minorHAnsi" w:cstheme="minorHAnsi"/>
              </w:rPr>
              <w:t xml:space="preserve">vendas das </w:t>
            </w:r>
            <w:r>
              <w:rPr>
                <w:rFonts w:asciiTheme="minorHAnsi" w:hAnsiTheme="minorHAnsi" w:cstheme="minorHAnsi"/>
              </w:rPr>
              <w:t>importações diretas), além de outros modelos de importações previstos pela legislação brasileira (conta e ordem, encomenda). É importante, nesse caso, delimitar melhor qual a modalidade que será considerada, assim como suas equivalências entre os tipos de empresas, para um melhor entendimento das informações divulgadas</w:t>
            </w:r>
            <w:r w:rsidR="00C20455">
              <w:rPr>
                <w:rFonts w:asciiTheme="minorHAnsi" w:hAnsiTheme="minorHAnsi" w:cstheme="minorHAnsi"/>
              </w:rPr>
              <w:t>.</w:t>
            </w:r>
          </w:p>
          <w:p w14:paraId="1FEBF40B" w14:textId="77777777" w:rsidR="00C20455" w:rsidRDefault="00C20455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39FE0ABC" w14:textId="77777777" w:rsidR="00FB44E2" w:rsidRPr="005E6C93" w:rsidRDefault="00FB44E2" w:rsidP="00395C7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3A89" w14:paraId="49EB1335" w14:textId="77777777" w:rsidTr="000A4330">
        <w:trPr>
          <w:trHeight w:val="70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591C87" w14:textId="77777777" w:rsidR="00184050" w:rsidRDefault="00184050" w:rsidP="00184050">
            <w:pPr>
              <w:rPr>
                <w:rFonts w:asciiTheme="minorHAnsi" w:hAnsiTheme="minorHAnsi" w:cstheme="minorHAnsi"/>
                <w:b/>
              </w:rPr>
            </w:pPr>
          </w:p>
          <w:p w14:paraId="44A82ADA" w14:textId="77777777" w:rsidR="00C13A89" w:rsidRPr="00184050" w:rsidRDefault="00184050" w:rsidP="00184050">
            <w:pPr>
              <w:rPr>
                <w:rFonts w:asciiTheme="minorHAnsi" w:eastAsia="Arial Unicode MS" w:hAnsiTheme="minorHAnsi" w:cstheme="minorHAnsi"/>
                <w:b/>
              </w:rPr>
            </w:pPr>
            <w:r w:rsidRPr="00184050">
              <w:rPr>
                <w:rFonts w:asciiTheme="minorHAnsi" w:hAnsiTheme="minorHAnsi" w:cstheme="minorHAnsi"/>
                <w:b/>
              </w:rPr>
              <w:t>Art. 3º</w:t>
            </w:r>
          </w:p>
          <w:p w14:paraId="0280D5CD" w14:textId="77777777" w:rsidR="00C13A89" w:rsidRPr="00184050" w:rsidRDefault="00C13A89" w:rsidP="000303C4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84050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96BC77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>Art. 3</w:t>
            </w:r>
            <w:proofErr w:type="gramStart"/>
            <w:r w:rsidRPr="00184050">
              <w:rPr>
                <w:rFonts w:asciiTheme="minorHAnsi" w:hAnsiTheme="minorHAnsi" w:cstheme="minorHAnsi"/>
              </w:rPr>
              <w:t>º  Os</w:t>
            </w:r>
            <w:proofErr w:type="gramEnd"/>
            <w:r w:rsidRPr="00184050">
              <w:rPr>
                <w:rFonts w:asciiTheme="minorHAnsi" w:hAnsiTheme="minorHAnsi" w:cstheme="minorHAnsi"/>
              </w:rPr>
              <w:t xml:space="preserve"> agentes dominantes deverão publicar os preços de lista atuais, bem como os vigentes nos últimos dozes meses,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por data de vigência,</w:t>
            </w:r>
            <w:r w:rsidRPr="00184050">
              <w:rPr>
                <w:rFonts w:asciiTheme="minorHAnsi" w:hAnsiTheme="minorHAnsi" w:cstheme="minorHAnsi"/>
              </w:rPr>
              <w:t xml:space="preserve"> com descrição das modalidades de venda, no sítio eletrônico da empresa, para cada um dos seguintes produtos:</w:t>
            </w:r>
          </w:p>
          <w:p w14:paraId="68C8F467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 xml:space="preserve">I - </w:t>
            </w:r>
            <w:proofErr w:type="gramStart"/>
            <w:r w:rsidRPr="00184050">
              <w:rPr>
                <w:rFonts w:asciiTheme="minorHAnsi" w:hAnsiTheme="minorHAnsi" w:cstheme="minorHAnsi"/>
              </w:rPr>
              <w:t>gasolina</w:t>
            </w:r>
            <w:proofErr w:type="gramEnd"/>
            <w:r w:rsidRPr="00184050">
              <w:rPr>
                <w:rFonts w:asciiTheme="minorHAnsi" w:hAnsiTheme="minorHAnsi" w:cstheme="minorHAnsi"/>
              </w:rPr>
              <w:t xml:space="preserve"> A comum e gasolina A premium;</w:t>
            </w:r>
          </w:p>
          <w:p w14:paraId="0054F5BA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>II - óleo diesel A S10, óleo diesel A S500, óleo diesel marítimo e óleo diesel não rodoviário;</w:t>
            </w:r>
          </w:p>
          <w:p w14:paraId="5663A009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>III - querosene de aviação (QAV) e gasolina de aviação (GAV);</w:t>
            </w:r>
          </w:p>
          <w:p w14:paraId="46FF4D57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 xml:space="preserve">IV - </w:t>
            </w:r>
            <w:proofErr w:type="gramStart"/>
            <w:r w:rsidRPr="00184050">
              <w:rPr>
                <w:rFonts w:asciiTheme="minorHAnsi" w:hAnsiTheme="minorHAnsi" w:cstheme="minorHAnsi"/>
              </w:rPr>
              <w:t>gás</w:t>
            </w:r>
            <w:proofErr w:type="gramEnd"/>
            <w:r w:rsidRPr="00184050">
              <w:rPr>
                <w:rFonts w:asciiTheme="minorHAnsi" w:hAnsiTheme="minorHAnsi" w:cstheme="minorHAnsi"/>
              </w:rPr>
              <w:t xml:space="preserve"> liquefeito de petróleo (GLP) para </w:t>
            </w:r>
            <w:proofErr w:type="spellStart"/>
            <w:r w:rsidRPr="00184050">
              <w:rPr>
                <w:rFonts w:asciiTheme="minorHAnsi" w:hAnsiTheme="minorHAnsi" w:cstheme="minorHAnsi"/>
              </w:rPr>
              <w:t>envasilhamento</w:t>
            </w:r>
            <w:proofErr w:type="spellEnd"/>
            <w:r w:rsidRPr="00184050">
              <w:rPr>
                <w:rFonts w:asciiTheme="minorHAnsi" w:hAnsiTheme="minorHAnsi" w:cstheme="minorHAnsi"/>
              </w:rPr>
              <w:t xml:space="preserve"> em recipientes de até 13kg e GLP para outros meios de comercialização;</w:t>
            </w:r>
          </w:p>
          <w:p w14:paraId="4B46E330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>V - óleo combustível A1, óleo combustível A2 e óleo combustível B1; e</w:t>
            </w:r>
          </w:p>
          <w:p w14:paraId="79868772" w14:textId="77777777" w:rsidR="00184050" w:rsidRPr="00184050" w:rsidRDefault="00184050" w:rsidP="00184050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 xml:space="preserve">VI - </w:t>
            </w:r>
            <w:proofErr w:type="gramStart"/>
            <w:r w:rsidRPr="00184050">
              <w:rPr>
                <w:rFonts w:asciiTheme="minorHAnsi" w:hAnsiTheme="minorHAnsi" w:cstheme="minorHAnsi"/>
              </w:rPr>
              <w:t>cimentos</w:t>
            </w:r>
            <w:proofErr w:type="gramEnd"/>
            <w:r w:rsidRPr="00184050">
              <w:rPr>
                <w:rFonts w:asciiTheme="minorHAnsi" w:hAnsiTheme="minorHAnsi" w:cstheme="minorHAnsi"/>
              </w:rPr>
              <w:t xml:space="preserve"> asfálticos de petróleo 30/45, 50/70, 85/100 e 150/200, asfalto diluído de petróleo de cura rápida 250 e asfalto diluído de petróleo de cura média 30.</w:t>
            </w:r>
          </w:p>
          <w:p w14:paraId="3907068B" w14:textId="77777777" w:rsidR="00C13A89" w:rsidRDefault="00184050" w:rsidP="00FB44E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C20455">
              <w:rPr>
                <w:rFonts w:asciiTheme="minorHAnsi" w:hAnsiTheme="minorHAnsi" w:cstheme="minorHAnsi"/>
                <w:strike/>
                <w:color w:val="FF0000"/>
              </w:rPr>
              <w:t>Parágrafo único.</w:t>
            </w:r>
            <w:r w:rsidRPr="00184050">
              <w:rPr>
                <w:rFonts w:asciiTheme="minorHAnsi" w:hAnsiTheme="minorHAnsi" w:cstheme="minorHAnsi"/>
              </w:rPr>
              <w:t xml:space="preserve">  </w:t>
            </w:r>
            <w:r w:rsidR="00C20455" w:rsidRPr="00C20455">
              <w:rPr>
                <w:rFonts w:asciiTheme="minorHAnsi" w:hAnsiTheme="minorHAnsi" w:cstheme="minorHAnsi"/>
                <w:color w:val="FF0000"/>
              </w:rPr>
              <w:t>§ 1º</w:t>
            </w:r>
            <w:r w:rsidR="00C20455">
              <w:rPr>
                <w:rFonts w:asciiTheme="minorHAnsi" w:hAnsiTheme="minorHAnsi" w:cstheme="minorHAnsi"/>
              </w:rPr>
              <w:t xml:space="preserve"> </w:t>
            </w:r>
            <w:r w:rsidRPr="00184050">
              <w:rPr>
                <w:rFonts w:asciiTheme="minorHAnsi" w:hAnsiTheme="minorHAnsi" w:cstheme="minorHAnsi"/>
              </w:rPr>
              <w:t>Caso o agente dominante não possua sítio eletrônico, deverá disponibilizar a informação a que se refere o caput por telefone, em horário comercial, para qualquer interessado.</w:t>
            </w:r>
          </w:p>
          <w:p w14:paraId="5D92CC26" w14:textId="77777777" w:rsidR="00C20455" w:rsidRPr="00C20455" w:rsidRDefault="00C20455" w:rsidP="00FB44E2">
            <w:pPr>
              <w:spacing w:before="120"/>
              <w:jc w:val="both"/>
              <w:rPr>
                <w:rFonts w:asciiTheme="minorHAnsi" w:eastAsia="Arial Unicode MS" w:hAnsiTheme="minorHAnsi" w:cstheme="minorHAnsi"/>
                <w:color w:val="FF0000"/>
              </w:rPr>
            </w:pPr>
            <w:r w:rsidRPr="00C20455">
              <w:rPr>
                <w:rFonts w:asciiTheme="minorHAnsi" w:eastAsia="Arial Unicode MS" w:hAnsiTheme="minorHAnsi" w:cstheme="minorHAnsi"/>
                <w:color w:val="FF0000"/>
              </w:rPr>
              <w:t xml:space="preserve">§ 2º </w:t>
            </w:r>
            <w:r>
              <w:rPr>
                <w:rFonts w:asciiTheme="minorHAnsi" w:eastAsia="Arial Unicode MS" w:hAnsiTheme="minorHAnsi" w:cstheme="minorHAnsi"/>
                <w:color w:val="FF0000"/>
              </w:rPr>
              <w:t>Aos importadores, considerando a excepcionalidade de suas vendas, será permitida a apresentação do histórico de preços através de médias ponderadas.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AEBCD9" w14:textId="77777777" w:rsidR="00C13A89" w:rsidRDefault="00184050" w:rsidP="0018405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Importante frisar que o</w:t>
            </w:r>
            <w:r w:rsidR="00C20455">
              <w:rPr>
                <w:rFonts w:asciiTheme="minorHAnsi" w:hAnsiTheme="minorHAnsi" w:cstheme="minorHAnsi"/>
              </w:rPr>
              <w:t xml:space="preserve"> histórico de preços</w:t>
            </w:r>
            <w:r>
              <w:rPr>
                <w:rFonts w:asciiTheme="minorHAnsi" w:hAnsiTheme="minorHAnsi" w:cstheme="minorHAnsi"/>
              </w:rPr>
              <w:t xml:space="preserve"> deve ser divulgado por dia (vigência) e não somente as médias mensais por ponto de fornecimento.</w:t>
            </w:r>
            <w:r w:rsidR="00C20455">
              <w:rPr>
                <w:rFonts w:asciiTheme="minorHAnsi" w:hAnsiTheme="minorHAnsi" w:cstheme="minorHAnsi"/>
              </w:rPr>
              <w:t xml:space="preserve"> Para os importadores, como </w:t>
            </w:r>
            <w:r w:rsidR="0047601C">
              <w:rPr>
                <w:rFonts w:asciiTheme="minorHAnsi" w:hAnsiTheme="minorHAnsi" w:cstheme="minorHAnsi"/>
              </w:rPr>
              <w:t>as vendas não seguem um mesmo preço (pode haver diferença a cada volume em virtude do câmbio e preços internacionais), deve ser permitida a apresentação do histórico através de média ponderada das vendas.</w:t>
            </w:r>
          </w:p>
          <w:p w14:paraId="418FB204" w14:textId="77777777" w:rsidR="00C20455" w:rsidRDefault="00C20455" w:rsidP="00184050">
            <w:pPr>
              <w:jc w:val="both"/>
              <w:rPr>
                <w:rFonts w:asciiTheme="minorHAnsi" w:eastAsia="Arial Unicode MS" w:hAnsiTheme="minorHAnsi" w:cstheme="minorHAnsi"/>
              </w:rPr>
            </w:pPr>
          </w:p>
          <w:p w14:paraId="40AD0D7C" w14:textId="77777777" w:rsidR="00C20455" w:rsidRPr="0047601C" w:rsidRDefault="00C20455" w:rsidP="0047601C">
            <w:pPr>
              <w:jc w:val="both"/>
              <w:rPr>
                <w:rFonts w:asciiTheme="minorHAnsi" w:eastAsia="Arial Unicode MS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C13A89" w14:paraId="26D4022E" w14:textId="77777777" w:rsidTr="000A4330">
        <w:trPr>
          <w:trHeight w:val="6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4CA4D4" w14:textId="77777777" w:rsidR="00C13A89" w:rsidRPr="00184050" w:rsidRDefault="00395C7F" w:rsidP="000A4330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Art. 15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5C4B48" w14:textId="77777777" w:rsidR="00C13A89" w:rsidRPr="00395C7F" w:rsidRDefault="00395C7F" w:rsidP="000303C4">
            <w:pPr>
              <w:rPr>
                <w:rFonts w:asciiTheme="minorHAnsi" w:hAnsiTheme="minorHAnsi" w:cstheme="minorHAnsi"/>
                <w:color w:val="FF0000"/>
              </w:rPr>
            </w:pPr>
            <w:r w:rsidRPr="00395C7F">
              <w:rPr>
                <w:rFonts w:asciiTheme="minorHAnsi" w:hAnsiTheme="minorHAnsi" w:cstheme="minorHAnsi"/>
                <w:color w:val="FF0000"/>
              </w:rPr>
              <w:t>Art. 15 O descumprimento total ou parcial desta resolução ensejará o infrator as penalidades</w:t>
            </w:r>
            <w:r w:rsidR="00FB44E2">
              <w:rPr>
                <w:rFonts w:asciiTheme="minorHAnsi" w:hAnsiTheme="minorHAnsi" w:cstheme="minorHAnsi"/>
                <w:color w:val="FF0000"/>
              </w:rPr>
              <w:t xml:space="preserve"> previstas</w:t>
            </w:r>
            <w:r w:rsidRPr="00395C7F">
              <w:rPr>
                <w:rFonts w:asciiTheme="minorHAnsi" w:hAnsiTheme="minorHAnsi" w:cstheme="minorHAnsi"/>
                <w:color w:val="FF0000"/>
              </w:rPr>
              <w:t>...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C0E311" w14:textId="77777777" w:rsidR="00C13A89" w:rsidRPr="00395C7F" w:rsidRDefault="00FB44E2" w:rsidP="009454D2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color w:val="000000" w:themeColor="text1"/>
              </w:rPr>
              <w:t>Entende-se que o descumprimento da resolução é passível de sanção, porém isso não é explicitado na norma. Assim, é ne</w:t>
            </w:r>
            <w:r w:rsidR="00395C7F">
              <w:rPr>
                <w:rFonts w:asciiTheme="minorHAnsi" w:eastAsia="Arial Unicode MS" w:hAnsiTheme="minorHAnsi" w:cstheme="minorHAnsi"/>
                <w:color w:val="000000" w:themeColor="text1"/>
              </w:rPr>
              <w:t>cessário prever a quais penalidades os infratores estão sujeitos</w:t>
            </w:r>
            <w:r>
              <w:rPr>
                <w:rFonts w:asciiTheme="minorHAnsi" w:eastAsia="Arial Unicode MS" w:hAnsiTheme="minorHAnsi" w:cstheme="minorHAnsi"/>
                <w:color w:val="000000" w:themeColor="text1"/>
              </w:rPr>
              <w:t xml:space="preserve">. </w:t>
            </w:r>
          </w:p>
        </w:tc>
      </w:tr>
      <w:tr w:rsidR="00C13A89" w14:paraId="6F48FAAB" w14:textId="77777777" w:rsidTr="000A4330">
        <w:trPr>
          <w:trHeight w:val="66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4740E" w14:textId="77777777" w:rsidR="00C13A89" w:rsidRPr="00184050" w:rsidRDefault="00C13A89" w:rsidP="000303C4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84050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5EC512A7" w14:textId="77777777" w:rsidR="00C13A89" w:rsidRPr="00184050" w:rsidRDefault="00C13A89" w:rsidP="000303C4">
            <w:pP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18405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97B24" w14:textId="77777777" w:rsidR="00C13A89" w:rsidRPr="000A4330" w:rsidRDefault="00C13A89" w:rsidP="000303C4">
            <w:pPr>
              <w:rPr>
                <w:rFonts w:asciiTheme="minorHAnsi" w:eastAsia="Arial Unicode MS" w:hAnsiTheme="minorHAnsi" w:cstheme="minorHAns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A5F22F" w14:textId="77777777" w:rsidR="00C13A89" w:rsidRPr="00184050" w:rsidRDefault="00C13A89" w:rsidP="000303C4">
            <w:pPr>
              <w:rPr>
                <w:rFonts w:asciiTheme="minorHAnsi" w:eastAsia="Arial Unicode MS" w:hAnsiTheme="minorHAnsi" w:cstheme="minorHAnsi"/>
              </w:rPr>
            </w:pPr>
            <w:r w:rsidRPr="00184050">
              <w:rPr>
                <w:rFonts w:asciiTheme="minorHAnsi" w:hAnsiTheme="minorHAnsi" w:cstheme="minorHAnsi"/>
              </w:rPr>
              <w:t> </w:t>
            </w:r>
          </w:p>
        </w:tc>
      </w:tr>
      <w:tr w:rsidR="00C13A89" w14:paraId="1BFEE451" w14:textId="77777777" w:rsidTr="000A4330">
        <w:trPr>
          <w:trHeight w:val="63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56D3A" w14:textId="77777777" w:rsidR="00C13A89" w:rsidRPr="00184050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 w:rsidRPr="00184050">
              <w:rPr>
                <w:rFonts w:ascii="Arial" w:hAnsi="Arial" w:cs="Arial"/>
                <w:b/>
                <w:bCs/>
              </w:rPr>
              <w:t> </w:t>
            </w:r>
          </w:p>
          <w:p w14:paraId="79FC34B1" w14:textId="77777777" w:rsidR="00C13A89" w:rsidRPr="00184050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 w:rsidRPr="0018405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7E5659" w14:textId="77777777" w:rsidR="00C13A89" w:rsidRPr="00184050" w:rsidRDefault="00C13A89" w:rsidP="000303C4">
            <w:pPr>
              <w:rPr>
                <w:rFonts w:ascii="Arial" w:eastAsia="Arial Unicode MS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C36B7A" w14:textId="77777777" w:rsidR="00C13A89" w:rsidRPr="00184050" w:rsidRDefault="00C13A89" w:rsidP="000303C4">
            <w:pPr>
              <w:rPr>
                <w:rFonts w:ascii="Arial" w:eastAsia="Arial Unicode MS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</w:tr>
      <w:tr w:rsidR="00C13A89" w14:paraId="5E5D84FB" w14:textId="77777777" w:rsidTr="000A4330">
        <w:trPr>
          <w:trHeight w:val="60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89A55C" w14:textId="77777777" w:rsidR="00C13A89" w:rsidRPr="00184050" w:rsidRDefault="00C13A89" w:rsidP="000303C4">
            <w:pPr>
              <w:rPr>
                <w:rFonts w:ascii="Arial" w:eastAsia="Arial Unicode MS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  <w:p w14:paraId="67997B28" w14:textId="77777777" w:rsidR="00C13A89" w:rsidRPr="00184050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 w:rsidRPr="0018405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6AB57" w14:textId="77777777" w:rsidR="00C13A89" w:rsidRPr="00184050" w:rsidRDefault="00C13A89" w:rsidP="000303C4">
            <w:pPr>
              <w:rPr>
                <w:rFonts w:ascii="Arial" w:eastAsia="Arial Unicode MS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7DB1C" w14:textId="77777777" w:rsidR="00C13A89" w:rsidRPr="00184050" w:rsidRDefault="00C13A89" w:rsidP="000303C4">
            <w:pPr>
              <w:rPr>
                <w:rFonts w:ascii="Arial" w:eastAsia="Arial Unicode MS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</w:tr>
      <w:tr w:rsidR="00C13A89" w14:paraId="7173D45C" w14:textId="77777777" w:rsidTr="000A4330">
        <w:trPr>
          <w:trHeight w:val="60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C379C9" w14:textId="77777777" w:rsidR="00C13A89" w:rsidRPr="00184050" w:rsidRDefault="00C13A89" w:rsidP="000F43D7">
            <w:pPr>
              <w:rPr>
                <w:rFonts w:ascii="Arial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  <w:p w14:paraId="1A23DD61" w14:textId="77777777" w:rsidR="00C13A89" w:rsidRPr="00184050" w:rsidRDefault="00C13A89" w:rsidP="000F43D7">
            <w:pPr>
              <w:rPr>
                <w:rFonts w:ascii="Arial" w:hAnsi="Arial" w:cs="Arial"/>
                <w:b/>
                <w:bCs/>
              </w:rPr>
            </w:pPr>
            <w:r w:rsidRPr="0018405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07F0B" w14:textId="77777777" w:rsidR="00C13A89" w:rsidRPr="00184050" w:rsidRDefault="00C13A89" w:rsidP="000F43D7">
            <w:pPr>
              <w:rPr>
                <w:rFonts w:ascii="Arial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46BAA9" w14:textId="77777777" w:rsidR="00C13A89" w:rsidRPr="00184050" w:rsidRDefault="00C13A89" w:rsidP="000F43D7">
            <w:pPr>
              <w:rPr>
                <w:rFonts w:ascii="Arial" w:hAnsi="Arial" w:cs="Arial"/>
              </w:rPr>
            </w:pPr>
            <w:r w:rsidRPr="00184050">
              <w:rPr>
                <w:rFonts w:ascii="Arial" w:hAnsi="Arial" w:cs="Arial"/>
              </w:rPr>
              <w:t> </w:t>
            </w:r>
          </w:p>
        </w:tc>
      </w:tr>
    </w:tbl>
    <w:p w14:paraId="03A6CE01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AB154F" w:rsidRPr="00AB154F">
        <w:rPr>
          <w:rFonts w:ascii="Arial" w:eastAsia="Arial Unicode MS" w:hAnsi="Arial" w:cs="Arial"/>
          <w:i/>
          <w:sz w:val="24"/>
          <w:szCs w:val="24"/>
        </w:rPr>
        <w:t>transparencia_precos@anp.gov.br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BA18F6"/>
    <w:multiLevelType w:val="hybridMultilevel"/>
    <w:tmpl w:val="52FAC1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1010A"/>
    <w:multiLevelType w:val="hybridMultilevel"/>
    <w:tmpl w:val="C75EF0E8"/>
    <w:lvl w:ilvl="0" w:tplc="33B4D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EF24CB"/>
    <w:multiLevelType w:val="hybridMultilevel"/>
    <w:tmpl w:val="F6FA6B8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35C63"/>
    <w:rsid w:val="00050F3F"/>
    <w:rsid w:val="000873C6"/>
    <w:rsid w:val="000A4330"/>
    <w:rsid w:val="000C72BB"/>
    <w:rsid w:val="000C742C"/>
    <w:rsid w:val="000F43D7"/>
    <w:rsid w:val="00100689"/>
    <w:rsid w:val="0010541F"/>
    <w:rsid w:val="001312BC"/>
    <w:rsid w:val="00184050"/>
    <w:rsid w:val="001C5D32"/>
    <w:rsid w:val="001F74A0"/>
    <w:rsid w:val="002109D6"/>
    <w:rsid w:val="0026582D"/>
    <w:rsid w:val="002808DC"/>
    <w:rsid w:val="00287B41"/>
    <w:rsid w:val="00335A11"/>
    <w:rsid w:val="0035105D"/>
    <w:rsid w:val="0035599D"/>
    <w:rsid w:val="00364180"/>
    <w:rsid w:val="003667A5"/>
    <w:rsid w:val="00395C7F"/>
    <w:rsid w:val="004017EF"/>
    <w:rsid w:val="00452D91"/>
    <w:rsid w:val="004602FD"/>
    <w:rsid w:val="0047601C"/>
    <w:rsid w:val="00482F43"/>
    <w:rsid w:val="00494A88"/>
    <w:rsid w:val="004C5AA8"/>
    <w:rsid w:val="004E1643"/>
    <w:rsid w:val="004E6BA1"/>
    <w:rsid w:val="00570C4C"/>
    <w:rsid w:val="00586DD3"/>
    <w:rsid w:val="005E2BE6"/>
    <w:rsid w:val="005E6C93"/>
    <w:rsid w:val="0063117B"/>
    <w:rsid w:val="006440FC"/>
    <w:rsid w:val="00672CEC"/>
    <w:rsid w:val="006C7878"/>
    <w:rsid w:val="006E69BF"/>
    <w:rsid w:val="007220DF"/>
    <w:rsid w:val="00735912"/>
    <w:rsid w:val="00754009"/>
    <w:rsid w:val="00762754"/>
    <w:rsid w:val="007D61A0"/>
    <w:rsid w:val="008011CF"/>
    <w:rsid w:val="00834A5C"/>
    <w:rsid w:val="0085243A"/>
    <w:rsid w:val="00852D24"/>
    <w:rsid w:val="008C0A6C"/>
    <w:rsid w:val="008E1D4F"/>
    <w:rsid w:val="009454D2"/>
    <w:rsid w:val="009814FA"/>
    <w:rsid w:val="009A7203"/>
    <w:rsid w:val="009B4815"/>
    <w:rsid w:val="009D59B7"/>
    <w:rsid w:val="009E5AD5"/>
    <w:rsid w:val="009F4F0E"/>
    <w:rsid w:val="00A15053"/>
    <w:rsid w:val="00A225FB"/>
    <w:rsid w:val="00A57837"/>
    <w:rsid w:val="00A8005F"/>
    <w:rsid w:val="00A94E85"/>
    <w:rsid w:val="00AB154F"/>
    <w:rsid w:val="00AC5BC1"/>
    <w:rsid w:val="00AF2899"/>
    <w:rsid w:val="00B4490B"/>
    <w:rsid w:val="00B74C89"/>
    <w:rsid w:val="00B87441"/>
    <w:rsid w:val="00BB004F"/>
    <w:rsid w:val="00BB727D"/>
    <w:rsid w:val="00BC59FF"/>
    <w:rsid w:val="00BD479F"/>
    <w:rsid w:val="00BD5993"/>
    <w:rsid w:val="00C13A89"/>
    <w:rsid w:val="00C20455"/>
    <w:rsid w:val="00C35B6E"/>
    <w:rsid w:val="00C43C82"/>
    <w:rsid w:val="00C74BAD"/>
    <w:rsid w:val="00C76DFE"/>
    <w:rsid w:val="00CA6FE8"/>
    <w:rsid w:val="00CB05B9"/>
    <w:rsid w:val="00CB4E90"/>
    <w:rsid w:val="00CC5472"/>
    <w:rsid w:val="00CD7D9E"/>
    <w:rsid w:val="00CF2605"/>
    <w:rsid w:val="00CF534B"/>
    <w:rsid w:val="00D060D3"/>
    <w:rsid w:val="00D11D93"/>
    <w:rsid w:val="00D17873"/>
    <w:rsid w:val="00DC0FFA"/>
    <w:rsid w:val="00DE64B2"/>
    <w:rsid w:val="00E06319"/>
    <w:rsid w:val="00E51418"/>
    <w:rsid w:val="00E7707E"/>
    <w:rsid w:val="00EA1B67"/>
    <w:rsid w:val="00ED7714"/>
    <w:rsid w:val="00F026F8"/>
    <w:rsid w:val="00F229D8"/>
    <w:rsid w:val="00F4566E"/>
    <w:rsid w:val="00FA4FE6"/>
    <w:rsid w:val="00FB0E77"/>
    <w:rsid w:val="00FB44E2"/>
    <w:rsid w:val="00FD2C11"/>
    <w:rsid w:val="00FD3A8A"/>
    <w:rsid w:val="00FD3B38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ADC20A"/>
  <w15:docId w15:val="{3E8ADA8C-8CFC-4AB3-B0AC-A1FEB316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456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66E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4566E"/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6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6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40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10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Ronaldo Araujo</cp:lastModifiedBy>
  <cp:revision>2</cp:revision>
  <cp:lastPrinted>2010-12-28T18:08:00Z</cp:lastPrinted>
  <dcterms:created xsi:type="dcterms:W3CDTF">2019-02-28T19:09:00Z</dcterms:created>
  <dcterms:modified xsi:type="dcterms:W3CDTF">2019-02-28T19:09:00Z</dcterms:modified>
</cp:coreProperties>
</file>