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23852" w14:textId="77777777" w:rsidR="001F74A0" w:rsidRPr="00FD2C11" w:rsidRDefault="00AE5CF7" w:rsidP="00482F43">
      <w:pPr>
        <w:jc w:val="center"/>
        <w:rPr>
          <w:sz w:val="32"/>
          <w:szCs w:val="32"/>
        </w:rPr>
      </w:pPr>
      <w:r>
        <w:rPr>
          <w:noProof/>
          <w:sz w:val="26"/>
          <w:szCs w:val="26"/>
        </w:rPr>
        <w:object w:dxaOrig="1440" w:dyaOrig="1440" w14:anchorId="57F2F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49.7pt;width:77.3pt;height:107.6pt;z-index:251657728;mso-position-vertical-relative:page" o:allowincell="f">
            <v:imagedata r:id="rId8" o:title=""/>
            <w10:wrap type="square" anchory="page"/>
          </v:shape>
          <o:OLEObject Type="Embed" ProgID="MSPhotoEd.3" ShapeID="_x0000_s1026" DrawAspect="Content" ObjectID="_1614073395" r:id="rId9"/>
        </w:object>
      </w:r>
      <w:r w:rsidR="00482F43" w:rsidRPr="00FD2C11">
        <w:rPr>
          <w:sz w:val="32"/>
          <w:szCs w:val="32"/>
        </w:rPr>
        <w:t>FORMULÁRIO DE COMENTÁRIOS E SUGESTÕES</w:t>
      </w:r>
    </w:p>
    <w:p w14:paraId="43B78D63" w14:textId="76E2E43E" w:rsidR="00C13A89" w:rsidRPr="00C35B6E" w:rsidRDefault="002808DC" w:rsidP="00BB004F">
      <w:pPr>
        <w:jc w:val="center"/>
        <w:rPr>
          <w:sz w:val="26"/>
          <w:szCs w:val="26"/>
        </w:rPr>
      </w:pPr>
      <w:r>
        <w:rPr>
          <w:sz w:val="26"/>
          <w:szCs w:val="26"/>
        </w:rPr>
        <w:t xml:space="preserve">CONSULTA </w:t>
      </w:r>
      <w:r w:rsidRPr="0035599D">
        <w:rPr>
          <w:sz w:val="26"/>
          <w:szCs w:val="26"/>
        </w:rPr>
        <w:t>PÚ</w:t>
      </w:r>
      <w:r w:rsidR="00482F43" w:rsidRPr="0035599D">
        <w:rPr>
          <w:sz w:val="26"/>
          <w:szCs w:val="26"/>
        </w:rPr>
        <w:t>BLICA N°</w:t>
      </w:r>
      <w:r w:rsidR="00C13A89" w:rsidRPr="0035599D">
        <w:rPr>
          <w:sz w:val="26"/>
          <w:szCs w:val="26"/>
        </w:rPr>
        <w:t xml:space="preserve"> </w:t>
      </w:r>
      <w:r w:rsidR="0035599D" w:rsidRPr="0035599D">
        <w:rPr>
          <w:sz w:val="26"/>
          <w:szCs w:val="26"/>
        </w:rPr>
        <w:t>04</w:t>
      </w:r>
      <w:r w:rsidR="00482F43" w:rsidRPr="0035599D">
        <w:rPr>
          <w:sz w:val="26"/>
          <w:szCs w:val="26"/>
        </w:rPr>
        <w:t>/</w:t>
      </w:r>
      <w:r w:rsidR="00F229D8" w:rsidRPr="0035599D">
        <w:rPr>
          <w:sz w:val="26"/>
          <w:szCs w:val="26"/>
        </w:rPr>
        <w:t>201</w:t>
      </w:r>
      <w:r w:rsidR="0035599D" w:rsidRPr="0035599D">
        <w:rPr>
          <w:sz w:val="26"/>
          <w:szCs w:val="26"/>
        </w:rPr>
        <w:t>9</w:t>
      </w:r>
      <w:r w:rsidR="00C13A89" w:rsidRPr="0035599D">
        <w:rPr>
          <w:sz w:val="26"/>
          <w:szCs w:val="26"/>
        </w:rPr>
        <w:t>__</w:t>
      </w:r>
      <w:r w:rsidR="00482F43" w:rsidRPr="0035599D">
        <w:rPr>
          <w:sz w:val="26"/>
          <w:szCs w:val="26"/>
        </w:rPr>
        <w:t xml:space="preserve"> - </w:t>
      </w:r>
      <w:r w:rsidR="00BB004F" w:rsidRPr="0035599D">
        <w:rPr>
          <w:sz w:val="26"/>
          <w:szCs w:val="26"/>
        </w:rPr>
        <w:t xml:space="preserve">DE </w:t>
      </w:r>
      <w:r w:rsidR="00CA6FE8" w:rsidRPr="0035599D">
        <w:rPr>
          <w:sz w:val="26"/>
          <w:szCs w:val="26"/>
        </w:rPr>
        <w:t>1</w:t>
      </w:r>
      <w:r w:rsidR="0035599D" w:rsidRPr="0035599D">
        <w:rPr>
          <w:sz w:val="26"/>
          <w:szCs w:val="26"/>
        </w:rPr>
        <w:t>8</w:t>
      </w:r>
      <w:r w:rsidR="00BB004F" w:rsidRPr="0035599D">
        <w:rPr>
          <w:sz w:val="26"/>
          <w:szCs w:val="26"/>
        </w:rPr>
        <w:t>/</w:t>
      </w:r>
      <w:r w:rsidR="00452D91" w:rsidRPr="0035599D">
        <w:rPr>
          <w:sz w:val="26"/>
          <w:szCs w:val="26"/>
        </w:rPr>
        <w:t>0</w:t>
      </w:r>
      <w:r w:rsidR="00CA6FE8" w:rsidRPr="0035599D">
        <w:rPr>
          <w:sz w:val="26"/>
          <w:szCs w:val="26"/>
        </w:rPr>
        <w:t>2</w:t>
      </w:r>
      <w:r w:rsidR="00BB004F" w:rsidRPr="0035599D">
        <w:rPr>
          <w:sz w:val="26"/>
          <w:szCs w:val="26"/>
        </w:rPr>
        <w:t>/</w:t>
      </w:r>
      <w:r w:rsidR="00F229D8" w:rsidRPr="0035599D">
        <w:rPr>
          <w:sz w:val="26"/>
          <w:szCs w:val="26"/>
        </w:rPr>
        <w:t>201</w:t>
      </w:r>
      <w:r w:rsidR="00CA6FE8" w:rsidRPr="0035599D">
        <w:rPr>
          <w:sz w:val="26"/>
          <w:szCs w:val="26"/>
        </w:rPr>
        <w:t>9</w:t>
      </w:r>
      <w:r w:rsidR="00BB004F" w:rsidRPr="0035599D">
        <w:rPr>
          <w:sz w:val="26"/>
          <w:szCs w:val="26"/>
        </w:rPr>
        <w:t xml:space="preserve"> </w:t>
      </w:r>
      <w:r w:rsidR="00C13A89" w:rsidRPr="0035599D">
        <w:rPr>
          <w:sz w:val="26"/>
          <w:szCs w:val="26"/>
        </w:rPr>
        <w:t>a</w:t>
      </w:r>
      <w:r w:rsidR="00BB004F" w:rsidRPr="0035599D">
        <w:rPr>
          <w:sz w:val="26"/>
          <w:szCs w:val="26"/>
        </w:rPr>
        <w:t xml:space="preserve"> </w:t>
      </w:r>
      <w:r w:rsidR="00461FDA" w:rsidRPr="00DF788D">
        <w:rPr>
          <w:b/>
          <w:sz w:val="26"/>
          <w:szCs w:val="26"/>
        </w:rPr>
        <w:t>14</w:t>
      </w:r>
      <w:r w:rsidR="00CA6FE8" w:rsidRPr="00DF788D">
        <w:rPr>
          <w:b/>
          <w:sz w:val="26"/>
          <w:szCs w:val="26"/>
        </w:rPr>
        <w:t>/03</w:t>
      </w:r>
      <w:r w:rsidR="00BB004F" w:rsidRPr="00DF788D">
        <w:rPr>
          <w:b/>
          <w:sz w:val="26"/>
          <w:szCs w:val="26"/>
        </w:rPr>
        <w:t>/</w:t>
      </w:r>
      <w:r w:rsidR="00F229D8" w:rsidRPr="00DF788D">
        <w:rPr>
          <w:b/>
          <w:sz w:val="26"/>
          <w:szCs w:val="26"/>
        </w:rPr>
        <w:t>201</w:t>
      </w:r>
      <w:r w:rsidR="00CA6FE8" w:rsidRPr="00DF788D">
        <w:rPr>
          <w:b/>
          <w:sz w:val="26"/>
          <w:szCs w:val="26"/>
        </w:rPr>
        <w:t>9</w:t>
      </w:r>
    </w:p>
    <w:p w14:paraId="73B7E282" w14:textId="77777777" w:rsidR="00E06319" w:rsidRPr="00BB004F" w:rsidRDefault="00E06319" w:rsidP="00BB004F">
      <w:pPr>
        <w:jc w:val="center"/>
        <w:rPr>
          <w:sz w:val="26"/>
          <w:szCs w:val="26"/>
        </w:rPr>
      </w:pPr>
    </w:p>
    <w:p w14:paraId="7079835E" w14:textId="77777777" w:rsidR="001F74A0" w:rsidRDefault="00BD5993" w:rsidP="0058482B">
      <w:pPr>
        <w:ind w:left="1560"/>
        <w:jc w:val="center"/>
        <w:rPr>
          <w:sz w:val="26"/>
          <w:szCs w:val="26"/>
        </w:rPr>
      </w:pPr>
      <w:r>
        <w:rPr>
          <w:sz w:val="26"/>
          <w:szCs w:val="26"/>
        </w:rPr>
        <w:t>NOME</w:t>
      </w:r>
      <w:r w:rsidR="0058482B">
        <w:rPr>
          <w:sz w:val="26"/>
          <w:szCs w:val="26"/>
        </w:rPr>
        <w:t xml:space="preserve">: </w:t>
      </w:r>
      <w:r w:rsidR="0058482B" w:rsidRPr="00DF788D">
        <w:rPr>
          <w:b/>
          <w:sz w:val="26"/>
          <w:szCs w:val="26"/>
        </w:rPr>
        <w:t>SINDIGÁS</w:t>
      </w:r>
      <w:r w:rsidR="0058482B">
        <w:rPr>
          <w:sz w:val="26"/>
          <w:szCs w:val="26"/>
        </w:rPr>
        <w:t xml:space="preserve"> – SINDICATO NACIONAL DAS EMPRESAS DISTRIBUIDORAS DE GLP</w:t>
      </w:r>
    </w:p>
    <w:p w14:paraId="00B1ADF4" w14:textId="77777777" w:rsidR="00100689" w:rsidRDefault="00100689" w:rsidP="00CF534B">
      <w:pPr>
        <w:ind w:left="4111"/>
        <w:jc w:val="center"/>
        <w:rPr>
          <w:sz w:val="26"/>
          <w:szCs w:val="26"/>
        </w:rPr>
      </w:pPr>
    </w:p>
    <w:tbl>
      <w:tblPr>
        <w:tblW w:w="15168" w:type="dxa"/>
        <w:tblInd w:w="-547" w:type="dxa"/>
        <w:tblCellMar>
          <w:left w:w="0" w:type="dxa"/>
          <w:right w:w="0" w:type="dxa"/>
        </w:tblCellMar>
        <w:tblLook w:val="0000" w:firstRow="0" w:lastRow="0" w:firstColumn="0" w:lastColumn="0" w:noHBand="0" w:noVBand="0"/>
      </w:tblPr>
      <w:tblGrid>
        <w:gridCol w:w="3661"/>
        <w:gridCol w:w="3260"/>
        <w:gridCol w:w="237"/>
        <w:gridCol w:w="8010"/>
      </w:tblGrid>
      <w:tr w:rsidR="00BD5993" w:rsidRPr="00DF788D" w14:paraId="1DB50AC9" w14:textId="77777777" w:rsidTr="0058482B">
        <w:trPr>
          <w:trHeight w:val="375"/>
        </w:trPr>
        <w:tc>
          <w:tcPr>
            <w:tcW w:w="7158" w:type="dxa"/>
            <w:gridSpan w:val="3"/>
            <w:tcBorders>
              <w:top w:val="single" w:sz="4" w:space="0" w:color="auto"/>
              <w:left w:val="single" w:sz="4" w:space="0" w:color="auto"/>
              <w:bottom w:val="single" w:sz="4" w:space="0" w:color="auto"/>
            </w:tcBorders>
            <w:shd w:val="clear" w:color="auto" w:fill="FFFFFF"/>
            <w:tcMar>
              <w:top w:w="20" w:type="dxa"/>
              <w:left w:w="20" w:type="dxa"/>
              <w:bottom w:w="0" w:type="dxa"/>
              <w:right w:w="20" w:type="dxa"/>
            </w:tcMar>
            <w:vAlign w:val="center"/>
          </w:tcPr>
          <w:p w14:paraId="3B6B2668" w14:textId="77777777" w:rsidR="00BD5993" w:rsidRPr="00DF788D" w:rsidRDefault="00BD5993" w:rsidP="00BD5993">
            <w:pPr>
              <w:pStyle w:val="Legenda"/>
              <w:jc w:val="both"/>
              <w:rPr>
                <w:rFonts w:cs="Arial"/>
                <w:color w:val="000000"/>
                <w:szCs w:val="24"/>
              </w:rPr>
            </w:pPr>
            <w:r w:rsidRPr="00DF788D">
              <w:rPr>
                <w:rFonts w:cs="Arial"/>
                <w:color w:val="000000"/>
                <w:szCs w:val="24"/>
              </w:rPr>
              <w:t xml:space="preserve">  (  ) agente econômico </w:t>
            </w:r>
          </w:p>
          <w:p w14:paraId="18AD498A" w14:textId="77777777" w:rsidR="00BD5993" w:rsidRPr="00DF788D" w:rsidRDefault="00BD5993" w:rsidP="00CF534B">
            <w:pPr>
              <w:rPr>
                <w:rFonts w:ascii="Arial" w:hAnsi="Arial" w:cs="Arial"/>
                <w:color w:val="000000"/>
                <w:szCs w:val="24"/>
              </w:rPr>
            </w:pPr>
            <w:r w:rsidRPr="00DF788D">
              <w:rPr>
                <w:rFonts w:ascii="Arial" w:hAnsi="Arial" w:cs="Arial"/>
                <w:color w:val="000000"/>
                <w:sz w:val="24"/>
                <w:szCs w:val="24"/>
              </w:rPr>
              <w:t xml:space="preserve">  (  ) consumidor ou usuário</w:t>
            </w:r>
          </w:p>
        </w:tc>
        <w:tc>
          <w:tcPr>
            <w:tcW w:w="8010" w:type="dxa"/>
            <w:tcBorders>
              <w:top w:val="single" w:sz="4" w:space="0" w:color="auto"/>
              <w:bottom w:val="single" w:sz="4" w:space="0" w:color="auto"/>
              <w:right w:val="single" w:sz="4" w:space="0" w:color="auto"/>
            </w:tcBorders>
            <w:shd w:val="clear" w:color="auto" w:fill="FFFFFF"/>
            <w:vAlign w:val="center"/>
          </w:tcPr>
          <w:p w14:paraId="4AEAE556" w14:textId="2B7B51ED" w:rsidR="00BD5993" w:rsidRPr="00DF788D" w:rsidRDefault="00BD5993" w:rsidP="00BD5993">
            <w:pPr>
              <w:pStyle w:val="Legenda"/>
              <w:ind w:left="23"/>
              <w:jc w:val="both"/>
              <w:rPr>
                <w:rFonts w:cs="Arial"/>
                <w:color w:val="000000"/>
                <w:szCs w:val="24"/>
              </w:rPr>
            </w:pPr>
            <w:r w:rsidRPr="00DF788D">
              <w:rPr>
                <w:rFonts w:cs="Arial"/>
                <w:color w:val="000000"/>
                <w:szCs w:val="24"/>
              </w:rPr>
              <w:t xml:space="preserve"> (</w:t>
            </w:r>
            <w:r w:rsidR="0058482B" w:rsidRPr="00DF788D">
              <w:rPr>
                <w:rFonts w:cs="Arial"/>
                <w:color w:val="000000"/>
                <w:szCs w:val="24"/>
              </w:rPr>
              <w:t>x</w:t>
            </w:r>
            <w:r w:rsidRPr="00DF788D">
              <w:rPr>
                <w:rFonts w:cs="Arial"/>
                <w:color w:val="000000"/>
                <w:szCs w:val="24"/>
              </w:rPr>
              <w:t>) representante órgão de classe ou associação</w:t>
            </w:r>
          </w:p>
          <w:p w14:paraId="306CE28B" w14:textId="3502C5D8" w:rsidR="00BD5993" w:rsidRPr="00DF788D" w:rsidRDefault="00BD5993" w:rsidP="00BD5993">
            <w:pPr>
              <w:pStyle w:val="Legenda"/>
              <w:ind w:left="23"/>
              <w:jc w:val="both"/>
              <w:rPr>
                <w:rFonts w:cs="Arial"/>
                <w:color w:val="000000"/>
                <w:szCs w:val="24"/>
              </w:rPr>
            </w:pPr>
            <w:r w:rsidRPr="00DF788D">
              <w:rPr>
                <w:rFonts w:cs="Arial"/>
                <w:color w:val="000000"/>
                <w:szCs w:val="24"/>
              </w:rPr>
              <w:t xml:space="preserve"> (  ) representante de instituição governamental</w:t>
            </w:r>
          </w:p>
          <w:p w14:paraId="5C3BC137" w14:textId="466CB3A7" w:rsidR="00BD5993" w:rsidRPr="00DF788D" w:rsidRDefault="00BD5993" w:rsidP="00100689">
            <w:pPr>
              <w:rPr>
                <w:rFonts w:ascii="Arial" w:hAnsi="Arial" w:cs="Arial"/>
                <w:color w:val="000000"/>
                <w:sz w:val="24"/>
                <w:szCs w:val="24"/>
              </w:rPr>
            </w:pPr>
            <w:r w:rsidRPr="00DF788D">
              <w:rPr>
                <w:rFonts w:ascii="Arial" w:hAnsi="Arial" w:cs="Arial"/>
                <w:color w:val="000000"/>
                <w:sz w:val="24"/>
                <w:szCs w:val="24"/>
              </w:rPr>
              <w:t xml:space="preserve"> (  ) representante de órgãos de defesa do consumidor</w:t>
            </w:r>
          </w:p>
          <w:p w14:paraId="7B704932" w14:textId="77777777" w:rsidR="0058482B" w:rsidRPr="00DF788D" w:rsidRDefault="0058482B" w:rsidP="00100689">
            <w:pPr>
              <w:rPr>
                <w:rFonts w:ascii="Arial" w:hAnsi="Arial" w:cs="Arial"/>
                <w:color w:val="000000"/>
                <w:szCs w:val="24"/>
              </w:rPr>
            </w:pPr>
          </w:p>
        </w:tc>
      </w:tr>
      <w:tr w:rsidR="004602FD" w:rsidRPr="00DF788D" w14:paraId="4AD34A98" w14:textId="77777777" w:rsidTr="0058482B">
        <w:trPr>
          <w:trHeight w:val="716"/>
        </w:trPr>
        <w:tc>
          <w:tcPr>
            <w:tcW w:w="15168" w:type="dxa"/>
            <w:gridSpan w:val="4"/>
            <w:tcBorders>
              <w:top w:val="single" w:sz="4" w:space="0" w:color="auto"/>
              <w:left w:val="single" w:sz="4" w:space="0" w:color="auto"/>
              <w:bottom w:val="single" w:sz="4" w:space="0" w:color="auto"/>
              <w:right w:val="single" w:sz="4" w:space="0" w:color="auto"/>
            </w:tcBorders>
            <w:shd w:val="clear" w:color="auto" w:fill="70B56B"/>
            <w:tcMar>
              <w:top w:w="20" w:type="dxa"/>
              <w:left w:w="20" w:type="dxa"/>
              <w:bottom w:w="0" w:type="dxa"/>
              <w:right w:w="20" w:type="dxa"/>
            </w:tcMar>
            <w:vAlign w:val="center"/>
          </w:tcPr>
          <w:p w14:paraId="456B922B" w14:textId="77777777" w:rsidR="00BB004F" w:rsidRPr="00DF788D" w:rsidRDefault="004602FD" w:rsidP="00CC5472">
            <w:pPr>
              <w:autoSpaceDE w:val="0"/>
              <w:autoSpaceDN w:val="0"/>
              <w:adjustRightInd w:val="0"/>
              <w:spacing w:line="300" w:lineRule="exact"/>
              <w:jc w:val="both"/>
              <w:rPr>
                <w:rFonts w:ascii="Arial" w:hAnsi="Arial" w:cs="Arial"/>
                <w:bCs/>
                <w:sz w:val="28"/>
                <w:szCs w:val="28"/>
              </w:rPr>
            </w:pPr>
            <w:r w:rsidRPr="00DF788D">
              <w:rPr>
                <w:rFonts w:ascii="Arial" w:hAnsi="Arial" w:cs="Arial"/>
                <w:bCs/>
                <w:sz w:val="28"/>
                <w:szCs w:val="28"/>
              </w:rPr>
              <w:t>C</w:t>
            </w:r>
            <w:r w:rsidR="000C742C" w:rsidRPr="00DF788D">
              <w:rPr>
                <w:rFonts w:ascii="Arial" w:hAnsi="Arial" w:cs="Arial"/>
                <w:bCs/>
                <w:sz w:val="28"/>
                <w:szCs w:val="28"/>
              </w:rPr>
              <w:t xml:space="preserve">onsulta Pública </w:t>
            </w:r>
            <w:r w:rsidR="00E06319" w:rsidRPr="00DF788D">
              <w:rPr>
                <w:rFonts w:ascii="Arial" w:hAnsi="Arial" w:cs="Arial"/>
                <w:bCs/>
                <w:sz w:val="28"/>
                <w:szCs w:val="28"/>
              </w:rPr>
              <w:t xml:space="preserve">sobre </w:t>
            </w:r>
            <w:r w:rsidR="00B87441" w:rsidRPr="00DF788D">
              <w:rPr>
                <w:rFonts w:ascii="Arial" w:hAnsi="Arial" w:cs="Arial"/>
                <w:bCs/>
                <w:sz w:val="28"/>
                <w:szCs w:val="28"/>
              </w:rPr>
              <w:t xml:space="preserve">a proposta da Resolução </w:t>
            </w:r>
            <w:r w:rsidR="00E7707E" w:rsidRPr="00DF788D">
              <w:rPr>
                <w:rFonts w:ascii="Arial" w:hAnsi="Arial" w:cs="Arial"/>
                <w:bCs/>
                <w:sz w:val="28"/>
                <w:szCs w:val="28"/>
              </w:rPr>
              <w:t>que dispõe sobre a obrigatoriedade de apresentação de dados de preços relativos à comercialização de derivados de petróleo, gás natural e biocombustíveis e dá outras providências</w:t>
            </w:r>
            <w:r w:rsidR="00CC5472" w:rsidRPr="00DF788D">
              <w:rPr>
                <w:rFonts w:ascii="Arial" w:hAnsi="Arial" w:cs="Arial"/>
                <w:bCs/>
                <w:sz w:val="28"/>
                <w:szCs w:val="28"/>
              </w:rPr>
              <w:t>.</w:t>
            </w:r>
          </w:p>
        </w:tc>
      </w:tr>
      <w:tr w:rsidR="00C13A89" w:rsidRPr="00DF788D" w14:paraId="76E59187" w14:textId="77777777" w:rsidTr="00A159E7">
        <w:trPr>
          <w:trHeight w:val="330"/>
        </w:trPr>
        <w:tc>
          <w:tcPr>
            <w:tcW w:w="3661" w:type="dxa"/>
            <w:tcBorders>
              <w:top w:val="single" w:sz="4" w:space="0" w:color="auto"/>
              <w:left w:val="single" w:sz="4" w:space="0" w:color="auto"/>
              <w:bottom w:val="single" w:sz="4" w:space="0" w:color="auto"/>
              <w:right w:val="single" w:sz="4" w:space="0" w:color="auto"/>
            </w:tcBorders>
            <w:shd w:val="clear" w:color="auto" w:fill="C2D69B"/>
            <w:tcMar>
              <w:top w:w="20" w:type="dxa"/>
              <w:left w:w="20" w:type="dxa"/>
              <w:bottom w:w="0" w:type="dxa"/>
              <w:right w:w="20" w:type="dxa"/>
            </w:tcMar>
            <w:vAlign w:val="center"/>
          </w:tcPr>
          <w:p w14:paraId="26E1944B" w14:textId="77777777" w:rsidR="00C13A89" w:rsidRPr="00DF788D" w:rsidRDefault="00C13A89" w:rsidP="00ED7714">
            <w:pPr>
              <w:jc w:val="center"/>
              <w:rPr>
                <w:rFonts w:ascii="Arial" w:eastAsia="Arial Unicode MS" w:hAnsi="Arial" w:cs="Arial"/>
                <w:bCs/>
                <w:sz w:val="24"/>
                <w:szCs w:val="24"/>
              </w:rPr>
            </w:pPr>
            <w:r w:rsidRPr="00DF788D">
              <w:rPr>
                <w:rFonts w:ascii="Arial" w:hAnsi="Arial" w:cs="Arial"/>
                <w:bCs/>
              </w:rPr>
              <w:t>ARTIGO DA MINUTA</w:t>
            </w:r>
          </w:p>
        </w:tc>
        <w:tc>
          <w:tcPr>
            <w:tcW w:w="3260" w:type="dxa"/>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14:paraId="3702CA61" w14:textId="77777777" w:rsidR="00C13A89" w:rsidRPr="00DF788D" w:rsidRDefault="00C13A89" w:rsidP="00ED7714">
            <w:pPr>
              <w:jc w:val="center"/>
              <w:rPr>
                <w:rFonts w:ascii="Arial" w:eastAsia="Arial Unicode MS" w:hAnsi="Arial" w:cs="Arial"/>
                <w:bCs/>
                <w:sz w:val="24"/>
                <w:szCs w:val="24"/>
              </w:rPr>
            </w:pPr>
            <w:r w:rsidRPr="00DF788D">
              <w:rPr>
                <w:rFonts w:ascii="Arial" w:hAnsi="Arial" w:cs="Arial"/>
                <w:bCs/>
              </w:rPr>
              <w:t>PROPOSTA DE ALTERAÇÃO</w:t>
            </w:r>
          </w:p>
        </w:tc>
        <w:tc>
          <w:tcPr>
            <w:tcW w:w="8247" w:type="dxa"/>
            <w:gridSpan w:val="2"/>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14:paraId="011AA982" w14:textId="77777777" w:rsidR="00C13A89" w:rsidRPr="00DF788D" w:rsidRDefault="00C13A89" w:rsidP="00ED7714">
            <w:pPr>
              <w:jc w:val="center"/>
              <w:rPr>
                <w:rFonts w:ascii="Arial" w:eastAsia="Arial Unicode MS" w:hAnsi="Arial" w:cs="Arial"/>
                <w:bCs/>
                <w:sz w:val="24"/>
                <w:szCs w:val="24"/>
              </w:rPr>
            </w:pPr>
            <w:r w:rsidRPr="00DF788D">
              <w:rPr>
                <w:rFonts w:ascii="Arial" w:hAnsi="Arial" w:cs="Arial"/>
                <w:bCs/>
              </w:rPr>
              <w:t>JUSTIFICATIVA</w:t>
            </w:r>
          </w:p>
        </w:tc>
      </w:tr>
      <w:tr w:rsidR="0058482B" w:rsidRPr="00DF788D" w14:paraId="5F5EE832" w14:textId="77777777" w:rsidTr="00A159E7">
        <w:trPr>
          <w:trHeight w:val="568"/>
        </w:trPr>
        <w:tc>
          <w:tcPr>
            <w:tcW w:w="3661"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6D1B6F8E" w14:textId="77777777" w:rsidR="008B048F" w:rsidRDefault="008B048F" w:rsidP="00263B52">
            <w:pPr>
              <w:jc w:val="center"/>
              <w:rPr>
                <w:rFonts w:ascii="Arial" w:hAnsi="Arial" w:cs="Arial"/>
                <w:b/>
                <w:bCs/>
                <w:color w:val="000000"/>
                <w:sz w:val="22"/>
              </w:rPr>
            </w:pPr>
          </w:p>
          <w:p w14:paraId="600CD5D0" w14:textId="64E2D53D" w:rsidR="0058482B" w:rsidRPr="008B048F" w:rsidRDefault="008B048F" w:rsidP="00263B52">
            <w:pPr>
              <w:jc w:val="center"/>
              <w:rPr>
                <w:rFonts w:ascii="Arial" w:eastAsia="Arial Unicode MS" w:hAnsi="Arial" w:cs="Arial"/>
                <w:b/>
                <w:bCs/>
                <w:color w:val="000000"/>
                <w:szCs w:val="24"/>
              </w:rPr>
            </w:pPr>
            <w:r w:rsidRPr="008B048F">
              <w:rPr>
                <w:rFonts w:ascii="Arial" w:hAnsi="Arial" w:cs="Arial"/>
                <w:b/>
                <w:bCs/>
                <w:color w:val="000000"/>
                <w:sz w:val="22"/>
              </w:rPr>
              <w:t>Minuta de Resolução</w:t>
            </w:r>
          </w:p>
          <w:p w14:paraId="677375FC" w14:textId="77777777" w:rsidR="0058482B" w:rsidRPr="00DF788D" w:rsidRDefault="0058482B" w:rsidP="0058482B">
            <w:pPr>
              <w:rPr>
                <w:rFonts w:ascii="Arial" w:eastAsia="Arial Unicode MS" w:hAnsi="Arial" w:cs="Arial"/>
                <w:b/>
                <w:bCs/>
                <w:sz w:val="24"/>
                <w:szCs w:val="24"/>
              </w:rPr>
            </w:pPr>
            <w:r w:rsidRPr="00DF788D">
              <w:rPr>
                <w:rFonts w:ascii="Arial" w:hAnsi="Arial" w:cs="Arial"/>
                <w:b/>
                <w:bCs/>
              </w:rPr>
              <w:t> </w:t>
            </w:r>
          </w:p>
        </w:tc>
        <w:tc>
          <w:tcPr>
            <w:tcW w:w="32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3823430" w14:textId="77777777" w:rsidR="0058482B" w:rsidRPr="008B048F" w:rsidRDefault="0058482B" w:rsidP="0058482B">
            <w:pPr>
              <w:jc w:val="center"/>
              <w:rPr>
                <w:rFonts w:ascii="Arial" w:eastAsia="Arial Unicode MS" w:hAnsi="Arial" w:cs="Arial"/>
                <w:b/>
                <w:sz w:val="22"/>
                <w:szCs w:val="24"/>
              </w:rPr>
            </w:pPr>
            <w:r w:rsidRPr="008B048F">
              <w:rPr>
                <w:rFonts w:ascii="Arial" w:hAnsi="Arial" w:cs="Arial"/>
                <w:b/>
                <w:sz w:val="22"/>
              </w:rPr>
              <w:t>Considerações Iniciais</w:t>
            </w:r>
          </w:p>
        </w:tc>
        <w:tc>
          <w:tcPr>
            <w:tcW w:w="8247"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45190801" w14:textId="77777777" w:rsidR="0058482B" w:rsidRPr="00DF788D" w:rsidRDefault="0058482B" w:rsidP="00CA0F82">
            <w:pPr>
              <w:ind w:right="145"/>
              <w:jc w:val="both"/>
              <w:rPr>
                <w:rFonts w:ascii="Arial" w:hAnsi="Arial" w:cs="Arial"/>
                <w:sz w:val="22"/>
                <w:szCs w:val="22"/>
              </w:rPr>
            </w:pPr>
          </w:p>
          <w:p w14:paraId="767DC2F9" w14:textId="211C8FF0" w:rsidR="00C77253" w:rsidRPr="00DF788D" w:rsidRDefault="0058482B" w:rsidP="00A159E7">
            <w:pPr>
              <w:ind w:left="122" w:right="145"/>
              <w:jc w:val="both"/>
              <w:rPr>
                <w:rFonts w:ascii="Arial" w:eastAsia="Arial Unicode MS" w:hAnsi="Arial" w:cs="Arial"/>
                <w:sz w:val="22"/>
                <w:szCs w:val="22"/>
              </w:rPr>
            </w:pPr>
            <w:r w:rsidRPr="00DF788D">
              <w:rPr>
                <w:rFonts w:ascii="Arial" w:hAnsi="Arial" w:cs="Arial"/>
                <w:sz w:val="22"/>
                <w:szCs w:val="22"/>
              </w:rPr>
              <w:t xml:space="preserve">O </w:t>
            </w:r>
            <w:r w:rsidRPr="00DF788D">
              <w:rPr>
                <w:rFonts w:ascii="Arial" w:eastAsia="Arial Unicode MS" w:hAnsi="Arial" w:cs="Arial"/>
                <w:sz w:val="22"/>
                <w:szCs w:val="22"/>
              </w:rPr>
              <w:t xml:space="preserve">Sindigás parabeniza a </w:t>
            </w:r>
            <w:r w:rsidR="00C77253" w:rsidRPr="00DF788D">
              <w:rPr>
                <w:rFonts w:ascii="Arial" w:eastAsia="Arial Unicode MS" w:hAnsi="Arial" w:cs="Arial"/>
                <w:sz w:val="22"/>
                <w:szCs w:val="22"/>
              </w:rPr>
              <w:t>Agência</w:t>
            </w:r>
            <w:r w:rsidRPr="00DF788D">
              <w:rPr>
                <w:rFonts w:ascii="Arial" w:eastAsia="Arial Unicode MS" w:hAnsi="Arial" w:cs="Arial"/>
                <w:sz w:val="22"/>
                <w:szCs w:val="22"/>
              </w:rPr>
              <w:t xml:space="preserve"> pela iniciativa de Consulta e Audiência Públicas sobre tema tão importante para todo o setor de combustíveis </w:t>
            </w:r>
            <w:r w:rsidR="00C77253" w:rsidRPr="00DF788D">
              <w:rPr>
                <w:rFonts w:ascii="Arial" w:eastAsia="Arial Unicode MS" w:hAnsi="Arial" w:cs="Arial"/>
                <w:sz w:val="22"/>
                <w:szCs w:val="22"/>
              </w:rPr>
              <w:t xml:space="preserve">dispondo sobre a </w:t>
            </w:r>
            <w:r w:rsidR="00C77253" w:rsidRPr="00DF788D">
              <w:rPr>
                <w:rFonts w:ascii="Arial" w:eastAsia="Arial Unicode MS" w:hAnsi="Arial" w:cs="Arial"/>
                <w:i/>
                <w:sz w:val="22"/>
                <w:szCs w:val="22"/>
              </w:rPr>
              <w:t>obrigatoriedade de apresentação de dados de preços relativos à comercialização de derivados de petróleo e biocombustíveis por produtores, importadores e distribuidores</w:t>
            </w:r>
            <w:r w:rsidR="0043479D" w:rsidRPr="00DF788D">
              <w:rPr>
                <w:rFonts w:ascii="Arial" w:eastAsia="Arial Unicode MS" w:hAnsi="Arial" w:cs="Arial"/>
                <w:i/>
                <w:sz w:val="22"/>
                <w:szCs w:val="22"/>
              </w:rPr>
              <w:t xml:space="preserve">, </w:t>
            </w:r>
            <w:r w:rsidR="00D627E3" w:rsidRPr="00DF788D">
              <w:rPr>
                <w:rFonts w:ascii="Arial" w:eastAsia="Arial Unicode MS" w:hAnsi="Arial" w:cs="Arial"/>
                <w:sz w:val="22"/>
                <w:szCs w:val="22"/>
              </w:rPr>
              <w:t>todavia, conf</w:t>
            </w:r>
            <w:r w:rsidR="00C77253" w:rsidRPr="00DF788D">
              <w:rPr>
                <w:rFonts w:ascii="Arial" w:eastAsia="Arial Unicode MS" w:hAnsi="Arial" w:cs="Arial"/>
                <w:sz w:val="22"/>
                <w:szCs w:val="22"/>
              </w:rPr>
              <w:t xml:space="preserve">orme </w:t>
            </w:r>
            <w:r w:rsidR="00D627E3" w:rsidRPr="00DF788D">
              <w:rPr>
                <w:rFonts w:ascii="Arial" w:eastAsia="Arial Unicode MS" w:hAnsi="Arial" w:cs="Arial"/>
                <w:sz w:val="22"/>
                <w:szCs w:val="22"/>
              </w:rPr>
              <w:t>manifestações apresentadas</w:t>
            </w:r>
            <w:r w:rsidR="00C77253" w:rsidRPr="00DF788D">
              <w:rPr>
                <w:rFonts w:ascii="Arial" w:eastAsia="Arial Unicode MS" w:hAnsi="Arial" w:cs="Arial"/>
                <w:sz w:val="22"/>
                <w:szCs w:val="22"/>
              </w:rPr>
              <w:t xml:space="preserve"> na CP e AP 20/2018, </w:t>
            </w:r>
            <w:r w:rsidR="00D627E3" w:rsidRPr="00DF788D">
              <w:rPr>
                <w:rFonts w:ascii="Arial" w:eastAsia="Arial Unicode MS" w:hAnsi="Arial" w:cs="Arial"/>
                <w:sz w:val="22"/>
                <w:szCs w:val="22"/>
              </w:rPr>
              <w:t>destacamos que existem diversos</w:t>
            </w:r>
            <w:r w:rsidR="00C77253" w:rsidRPr="00DF788D">
              <w:rPr>
                <w:rFonts w:ascii="Arial" w:eastAsia="Arial Unicode MS" w:hAnsi="Arial" w:cs="Arial"/>
                <w:sz w:val="22"/>
                <w:szCs w:val="22"/>
              </w:rPr>
              <w:t xml:space="preserve"> </w:t>
            </w:r>
            <w:r w:rsidRPr="00DF788D">
              <w:rPr>
                <w:rFonts w:ascii="Arial" w:eastAsia="Arial Unicode MS" w:hAnsi="Arial" w:cs="Arial"/>
                <w:sz w:val="22"/>
                <w:szCs w:val="22"/>
              </w:rPr>
              <w:t>risco</w:t>
            </w:r>
            <w:r w:rsidR="00C77253" w:rsidRPr="00DF788D">
              <w:rPr>
                <w:rFonts w:ascii="Arial" w:eastAsia="Arial Unicode MS" w:hAnsi="Arial" w:cs="Arial"/>
                <w:sz w:val="22"/>
                <w:szCs w:val="22"/>
              </w:rPr>
              <w:t xml:space="preserve">s quando </w:t>
            </w:r>
            <w:r w:rsidRPr="00DF788D">
              <w:rPr>
                <w:rFonts w:ascii="Arial" w:eastAsia="Arial Unicode MS" w:hAnsi="Arial" w:cs="Arial"/>
                <w:sz w:val="22"/>
                <w:szCs w:val="22"/>
              </w:rPr>
              <w:t xml:space="preserve"> </w:t>
            </w:r>
            <w:r w:rsidR="00461FDA" w:rsidRPr="00DF788D">
              <w:rPr>
                <w:rFonts w:ascii="Arial" w:eastAsia="Arial Unicode MS" w:hAnsi="Arial" w:cs="Arial"/>
                <w:sz w:val="22"/>
                <w:szCs w:val="22"/>
              </w:rPr>
              <w:t xml:space="preserve">alterações </w:t>
            </w:r>
            <w:r w:rsidRPr="00DF788D">
              <w:rPr>
                <w:rFonts w:ascii="Arial" w:eastAsia="Arial Unicode MS" w:hAnsi="Arial" w:cs="Arial"/>
                <w:sz w:val="22"/>
                <w:szCs w:val="22"/>
              </w:rPr>
              <w:t>regulatóri</w:t>
            </w:r>
            <w:r w:rsidR="00461FDA" w:rsidRPr="00DF788D">
              <w:rPr>
                <w:rFonts w:ascii="Arial" w:eastAsia="Arial Unicode MS" w:hAnsi="Arial" w:cs="Arial"/>
                <w:sz w:val="22"/>
                <w:szCs w:val="22"/>
              </w:rPr>
              <w:t>a</w:t>
            </w:r>
            <w:r w:rsidRPr="00DF788D">
              <w:rPr>
                <w:rFonts w:ascii="Arial" w:eastAsia="Arial Unicode MS" w:hAnsi="Arial" w:cs="Arial"/>
                <w:sz w:val="22"/>
                <w:szCs w:val="22"/>
              </w:rPr>
              <w:t>s</w:t>
            </w:r>
            <w:r w:rsidR="00C77253" w:rsidRPr="00DF788D">
              <w:rPr>
                <w:rFonts w:ascii="Arial" w:eastAsia="Arial Unicode MS" w:hAnsi="Arial" w:cs="Arial"/>
                <w:sz w:val="22"/>
                <w:szCs w:val="22"/>
              </w:rPr>
              <w:t xml:space="preserve"> interferem de tal maneira no livre mercado</w:t>
            </w:r>
            <w:r w:rsidR="00D627E3" w:rsidRPr="00DF788D">
              <w:rPr>
                <w:rFonts w:ascii="Arial" w:eastAsia="Arial Unicode MS" w:hAnsi="Arial" w:cs="Arial"/>
                <w:sz w:val="22"/>
                <w:szCs w:val="22"/>
              </w:rPr>
              <w:t xml:space="preserve">, com </w:t>
            </w:r>
            <w:r w:rsidR="00461FDA" w:rsidRPr="00DF788D">
              <w:rPr>
                <w:rFonts w:ascii="Arial" w:eastAsia="Arial Unicode MS" w:hAnsi="Arial" w:cs="Arial"/>
                <w:sz w:val="22"/>
                <w:szCs w:val="22"/>
              </w:rPr>
              <w:t xml:space="preserve">potencial de </w:t>
            </w:r>
            <w:r w:rsidR="00D627E3" w:rsidRPr="00DF788D">
              <w:rPr>
                <w:rFonts w:ascii="Arial" w:eastAsia="Arial Unicode MS" w:hAnsi="Arial" w:cs="Arial"/>
                <w:sz w:val="22"/>
                <w:szCs w:val="22"/>
              </w:rPr>
              <w:t>criar</w:t>
            </w:r>
            <w:r w:rsidR="00461FDA" w:rsidRPr="00DF788D">
              <w:rPr>
                <w:rFonts w:ascii="Arial" w:eastAsia="Arial Unicode MS" w:hAnsi="Arial" w:cs="Arial"/>
                <w:sz w:val="22"/>
                <w:szCs w:val="22"/>
              </w:rPr>
              <w:t xml:space="preserve"> </w:t>
            </w:r>
            <w:r w:rsidR="00C77253" w:rsidRPr="00DF788D">
              <w:rPr>
                <w:rFonts w:ascii="Arial" w:eastAsia="Arial Unicode MS" w:hAnsi="Arial" w:cs="Arial"/>
                <w:sz w:val="22"/>
                <w:szCs w:val="22"/>
              </w:rPr>
              <w:t>anomalias e prejuízos concorrenciais.</w:t>
            </w:r>
            <w:r w:rsidRPr="00DF788D">
              <w:rPr>
                <w:rFonts w:ascii="Arial" w:eastAsia="Arial Unicode MS" w:hAnsi="Arial" w:cs="Arial"/>
                <w:sz w:val="22"/>
                <w:szCs w:val="22"/>
              </w:rPr>
              <w:t xml:space="preserve"> </w:t>
            </w:r>
          </w:p>
          <w:p w14:paraId="51ADB84D" w14:textId="77777777" w:rsidR="00C77253" w:rsidRPr="00DF788D" w:rsidRDefault="00C77253" w:rsidP="00A159E7">
            <w:pPr>
              <w:ind w:left="122" w:right="145"/>
              <w:jc w:val="both"/>
              <w:rPr>
                <w:rFonts w:ascii="Arial" w:eastAsia="Arial Unicode MS" w:hAnsi="Arial" w:cs="Arial"/>
                <w:sz w:val="22"/>
                <w:szCs w:val="22"/>
              </w:rPr>
            </w:pPr>
          </w:p>
          <w:p w14:paraId="108446E7" w14:textId="3B593BD1" w:rsidR="0058482B" w:rsidRPr="00DF788D" w:rsidRDefault="00C77253" w:rsidP="00A159E7">
            <w:pPr>
              <w:ind w:left="122" w:right="145"/>
              <w:jc w:val="both"/>
              <w:rPr>
                <w:rFonts w:ascii="Arial" w:eastAsia="Arial Unicode MS" w:hAnsi="Arial" w:cs="Arial"/>
                <w:sz w:val="22"/>
                <w:szCs w:val="22"/>
              </w:rPr>
            </w:pPr>
            <w:r w:rsidRPr="00DF788D">
              <w:rPr>
                <w:rFonts w:ascii="Arial" w:eastAsia="Arial Unicode MS" w:hAnsi="Arial" w:cs="Arial"/>
                <w:sz w:val="22"/>
                <w:szCs w:val="22"/>
              </w:rPr>
              <w:t>Nesse sentido</w:t>
            </w:r>
            <w:r w:rsidR="00D627E3" w:rsidRPr="00DF788D">
              <w:rPr>
                <w:rFonts w:ascii="Arial" w:eastAsia="Arial Unicode MS" w:hAnsi="Arial" w:cs="Arial"/>
                <w:sz w:val="22"/>
                <w:szCs w:val="22"/>
              </w:rPr>
              <w:t xml:space="preserve"> o Sindigás sempre busca apresentar </w:t>
            </w:r>
            <w:r w:rsidRPr="00DF788D">
              <w:rPr>
                <w:rFonts w:ascii="Arial" w:eastAsia="Arial Unicode MS" w:hAnsi="Arial" w:cs="Arial"/>
                <w:sz w:val="22"/>
                <w:szCs w:val="22"/>
              </w:rPr>
              <w:t>a relevância de AIRs específicas sobre os temas em discussão</w:t>
            </w:r>
            <w:r w:rsidR="00D627E3" w:rsidRPr="00DF788D">
              <w:rPr>
                <w:rFonts w:ascii="Arial" w:eastAsia="Arial Unicode MS" w:hAnsi="Arial" w:cs="Arial"/>
                <w:sz w:val="22"/>
                <w:szCs w:val="22"/>
              </w:rPr>
              <w:t>, não só para identificação do problema a ser debatido, mas</w:t>
            </w:r>
            <w:r w:rsidRPr="00DF788D">
              <w:rPr>
                <w:rFonts w:ascii="Arial" w:eastAsia="Arial Unicode MS" w:hAnsi="Arial" w:cs="Arial"/>
                <w:sz w:val="22"/>
                <w:szCs w:val="22"/>
              </w:rPr>
              <w:t xml:space="preserve"> para </w:t>
            </w:r>
            <w:r w:rsidR="0058482B" w:rsidRPr="00DF788D">
              <w:rPr>
                <w:rFonts w:ascii="Arial" w:eastAsia="Arial Unicode MS" w:hAnsi="Arial" w:cs="Arial"/>
                <w:sz w:val="22"/>
                <w:szCs w:val="22"/>
              </w:rPr>
              <w:t>buscar o melhor</w:t>
            </w:r>
            <w:r w:rsidR="00D627E3" w:rsidRPr="00DF788D">
              <w:rPr>
                <w:rFonts w:ascii="Arial" w:eastAsia="Arial Unicode MS" w:hAnsi="Arial" w:cs="Arial"/>
                <w:sz w:val="22"/>
                <w:szCs w:val="22"/>
              </w:rPr>
              <w:t xml:space="preserve"> resultado</w:t>
            </w:r>
            <w:r w:rsidR="0058482B" w:rsidRPr="00DF788D">
              <w:rPr>
                <w:rFonts w:ascii="Arial" w:eastAsia="Arial Unicode MS" w:hAnsi="Arial" w:cs="Arial"/>
                <w:sz w:val="22"/>
                <w:szCs w:val="22"/>
              </w:rPr>
              <w:t xml:space="preserve"> para</w:t>
            </w:r>
            <w:r w:rsidR="00D627E3" w:rsidRPr="00DF788D">
              <w:rPr>
                <w:rFonts w:ascii="Arial" w:eastAsia="Arial Unicode MS" w:hAnsi="Arial" w:cs="Arial"/>
                <w:sz w:val="22"/>
                <w:szCs w:val="22"/>
              </w:rPr>
              <w:t xml:space="preserve"> o mercado e</w:t>
            </w:r>
            <w:r w:rsidR="0058482B" w:rsidRPr="00DF788D">
              <w:rPr>
                <w:rFonts w:ascii="Arial" w:eastAsia="Arial Unicode MS" w:hAnsi="Arial" w:cs="Arial"/>
                <w:sz w:val="22"/>
                <w:szCs w:val="22"/>
              </w:rPr>
              <w:t xml:space="preserve"> sociedade, </w:t>
            </w:r>
            <w:r w:rsidR="00D627E3" w:rsidRPr="00DF788D">
              <w:rPr>
                <w:rFonts w:ascii="Arial" w:eastAsia="Arial Unicode MS" w:hAnsi="Arial" w:cs="Arial"/>
                <w:sz w:val="22"/>
                <w:szCs w:val="22"/>
              </w:rPr>
              <w:t>com fundamentos técnicos estruturados</w:t>
            </w:r>
            <w:r w:rsidRPr="00DF788D">
              <w:rPr>
                <w:rFonts w:ascii="Arial" w:eastAsia="Arial Unicode MS" w:hAnsi="Arial" w:cs="Arial"/>
                <w:sz w:val="22"/>
                <w:szCs w:val="22"/>
              </w:rPr>
              <w:t xml:space="preserve">, vez que </w:t>
            </w:r>
            <w:r w:rsidR="00D627E3" w:rsidRPr="00DF788D">
              <w:rPr>
                <w:rFonts w:ascii="Arial" w:eastAsia="Arial Unicode MS" w:hAnsi="Arial" w:cs="Arial"/>
                <w:sz w:val="22"/>
                <w:szCs w:val="22"/>
              </w:rPr>
              <w:t xml:space="preserve">a regulação deve ser </w:t>
            </w:r>
            <w:r w:rsidRPr="00DF788D">
              <w:rPr>
                <w:rFonts w:ascii="Arial" w:eastAsia="Arial Unicode MS" w:hAnsi="Arial" w:cs="Arial"/>
                <w:sz w:val="22"/>
                <w:szCs w:val="22"/>
              </w:rPr>
              <w:t>adequada garant</w:t>
            </w:r>
            <w:r w:rsidR="00D627E3" w:rsidRPr="00DF788D">
              <w:rPr>
                <w:rFonts w:ascii="Arial" w:eastAsia="Arial Unicode MS" w:hAnsi="Arial" w:cs="Arial"/>
                <w:sz w:val="22"/>
                <w:szCs w:val="22"/>
              </w:rPr>
              <w:t>indo</w:t>
            </w:r>
            <w:r w:rsidRPr="00DF788D">
              <w:rPr>
                <w:rFonts w:ascii="Arial" w:eastAsia="Arial Unicode MS" w:hAnsi="Arial" w:cs="Arial"/>
                <w:sz w:val="22"/>
                <w:szCs w:val="22"/>
              </w:rPr>
              <w:t xml:space="preserve">-se o </w:t>
            </w:r>
            <w:r w:rsidR="0058482B" w:rsidRPr="00DF788D">
              <w:rPr>
                <w:rFonts w:ascii="Arial" w:eastAsia="Arial Unicode MS" w:hAnsi="Arial" w:cs="Arial"/>
                <w:sz w:val="22"/>
                <w:szCs w:val="22"/>
              </w:rPr>
              <w:t>bom funcionamento do mercado em prol do abastecimento nacional.</w:t>
            </w:r>
          </w:p>
          <w:p w14:paraId="3DA0D918" w14:textId="77777777" w:rsidR="0058482B" w:rsidRPr="00DF788D" w:rsidRDefault="0058482B" w:rsidP="00A159E7">
            <w:pPr>
              <w:ind w:left="122" w:right="145"/>
              <w:jc w:val="both"/>
              <w:rPr>
                <w:rFonts w:ascii="Arial" w:eastAsia="Arial Unicode MS" w:hAnsi="Arial" w:cs="Arial"/>
                <w:sz w:val="22"/>
                <w:szCs w:val="22"/>
              </w:rPr>
            </w:pPr>
          </w:p>
          <w:p w14:paraId="5EB54B01" w14:textId="04CEFE8E" w:rsidR="0058482B" w:rsidRPr="00DF788D" w:rsidRDefault="00C77253" w:rsidP="00A159E7">
            <w:pPr>
              <w:ind w:left="122" w:right="145"/>
              <w:jc w:val="both"/>
              <w:rPr>
                <w:rFonts w:ascii="Arial" w:eastAsia="Arial Unicode MS" w:hAnsi="Arial" w:cs="Arial"/>
                <w:sz w:val="22"/>
                <w:szCs w:val="22"/>
              </w:rPr>
            </w:pPr>
            <w:r w:rsidRPr="00DF788D">
              <w:rPr>
                <w:rFonts w:ascii="Arial" w:eastAsia="Arial Unicode MS" w:hAnsi="Arial" w:cs="Arial"/>
                <w:sz w:val="22"/>
                <w:szCs w:val="22"/>
              </w:rPr>
              <w:t xml:space="preserve">Assim, </w:t>
            </w:r>
            <w:r w:rsidR="0058482B" w:rsidRPr="00DF788D">
              <w:rPr>
                <w:rFonts w:ascii="Arial" w:eastAsia="Arial Unicode MS" w:hAnsi="Arial" w:cs="Arial"/>
                <w:sz w:val="22"/>
                <w:szCs w:val="22"/>
              </w:rPr>
              <w:t>no espírito colaborativo que</w:t>
            </w:r>
            <w:r w:rsidRPr="00DF788D">
              <w:rPr>
                <w:rFonts w:ascii="Arial" w:eastAsia="Arial Unicode MS" w:hAnsi="Arial" w:cs="Arial"/>
                <w:sz w:val="22"/>
                <w:szCs w:val="22"/>
              </w:rPr>
              <w:t xml:space="preserve"> sempre</w:t>
            </w:r>
            <w:r w:rsidR="0058482B" w:rsidRPr="00DF788D">
              <w:rPr>
                <w:rFonts w:ascii="Arial" w:eastAsia="Arial Unicode MS" w:hAnsi="Arial" w:cs="Arial"/>
                <w:sz w:val="22"/>
                <w:szCs w:val="22"/>
              </w:rPr>
              <w:t xml:space="preserve"> norteia as ações do Sindigás, apresentamos abaixo algumas considerações</w:t>
            </w:r>
            <w:r w:rsidR="00D627E3" w:rsidRPr="00DF788D">
              <w:rPr>
                <w:rFonts w:ascii="Arial" w:eastAsia="Arial Unicode MS" w:hAnsi="Arial" w:cs="Arial"/>
                <w:sz w:val="22"/>
                <w:szCs w:val="22"/>
              </w:rPr>
              <w:t xml:space="preserve"> iniciais, além de</w:t>
            </w:r>
            <w:r w:rsidR="0058482B" w:rsidRPr="00DF788D">
              <w:rPr>
                <w:rFonts w:ascii="Arial" w:eastAsia="Arial Unicode MS" w:hAnsi="Arial" w:cs="Arial"/>
                <w:sz w:val="22"/>
                <w:szCs w:val="22"/>
              </w:rPr>
              <w:t xml:space="preserve"> preocupações sobre a minut</w:t>
            </w:r>
            <w:r w:rsidRPr="00DF788D">
              <w:rPr>
                <w:rFonts w:ascii="Arial" w:eastAsia="Arial Unicode MS" w:hAnsi="Arial" w:cs="Arial"/>
                <w:sz w:val="22"/>
                <w:szCs w:val="22"/>
              </w:rPr>
              <w:t>a em consulta pública.</w:t>
            </w:r>
          </w:p>
          <w:p w14:paraId="6C0B44AB" w14:textId="77777777" w:rsidR="00C77253" w:rsidRPr="00DF788D" w:rsidRDefault="00C77253" w:rsidP="00CA0F82">
            <w:pPr>
              <w:ind w:right="145"/>
              <w:jc w:val="both"/>
              <w:rPr>
                <w:rFonts w:ascii="Arial" w:eastAsia="Arial Unicode MS" w:hAnsi="Arial" w:cs="Arial"/>
                <w:i/>
                <w:sz w:val="22"/>
                <w:szCs w:val="22"/>
              </w:rPr>
            </w:pPr>
          </w:p>
          <w:p w14:paraId="07565620" w14:textId="1B92560A" w:rsidR="00C77253" w:rsidRPr="00DF788D" w:rsidRDefault="00C77253" w:rsidP="00CA0F82">
            <w:pPr>
              <w:pStyle w:val="PargrafodaLista"/>
              <w:numPr>
                <w:ilvl w:val="0"/>
                <w:numId w:val="3"/>
              </w:numPr>
              <w:ind w:right="145"/>
              <w:jc w:val="both"/>
              <w:rPr>
                <w:rFonts w:ascii="Arial" w:eastAsia="Times New Roman" w:hAnsi="Arial" w:cs="Arial"/>
                <w:sz w:val="22"/>
                <w:szCs w:val="22"/>
              </w:rPr>
            </w:pPr>
            <w:r w:rsidRPr="00DF788D">
              <w:rPr>
                <w:rFonts w:ascii="Arial" w:eastAsia="Times New Roman" w:hAnsi="Arial" w:cs="Arial"/>
                <w:sz w:val="22"/>
                <w:szCs w:val="22"/>
              </w:rPr>
              <w:lastRenderedPageBreak/>
              <w:t>Inicialmente, destacamos que</w:t>
            </w:r>
            <w:r w:rsidR="008B6D99" w:rsidRPr="00DF788D">
              <w:rPr>
                <w:rFonts w:ascii="Arial" w:eastAsia="Times New Roman" w:hAnsi="Arial" w:cs="Arial"/>
                <w:sz w:val="22"/>
                <w:szCs w:val="22"/>
              </w:rPr>
              <w:t xml:space="preserve"> no texto da minuta de resolução</w:t>
            </w:r>
            <w:r w:rsidRPr="00DF788D">
              <w:rPr>
                <w:rFonts w:ascii="Arial" w:eastAsia="Times New Roman" w:hAnsi="Arial" w:cs="Arial"/>
                <w:sz w:val="22"/>
                <w:szCs w:val="22"/>
              </w:rPr>
              <w:t xml:space="preserve"> existe uma certa confusão dos conceitos de concentração e rivalidade</w:t>
            </w:r>
            <w:r w:rsidR="008B6D99" w:rsidRPr="00DF788D">
              <w:rPr>
                <w:rFonts w:ascii="Arial" w:eastAsia="Times New Roman" w:hAnsi="Arial" w:cs="Arial"/>
                <w:sz w:val="22"/>
                <w:szCs w:val="22"/>
              </w:rPr>
              <w:t>, que são alguns dos objetos da Lei nº 12.529/11, que estrutura o Sistema Brasileiro de Defesa da Concorrência (SBDC).</w:t>
            </w:r>
            <w:r w:rsidR="00D627E3" w:rsidRPr="00DF788D">
              <w:rPr>
                <w:rFonts w:ascii="Arial" w:eastAsia="Times New Roman" w:hAnsi="Arial" w:cs="Arial"/>
                <w:sz w:val="22"/>
                <w:szCs w:val="22"/>
              </w:rPr>
              <w:t xml:space="preserve"> Acaba havendo a não adequada interpretação dos conceitos que demonstra fragilidade de conhecimento da dinâmica do mercado e da teoria econômica adotada pelo Cade.</w:t>
            </w:r>
          </w:p>
          <w:p w14:paraId="1632C2CC" w14:textId="77777777" w:rsidR="008B6D99" w:rsidRPr="00DF788D" w:rsidRDefault="008B6D99" w:rsidP="00A159E7">
            <w:pPr>
              <w:pStyle w:val="PargrafodaLista"/>
              <w:ind w:right="145"/>
              <w:jc w:val="both"/>
              <w:rPr>
                <w:rFonts w:ascii="Arial" w:eastAsia="Times New Roman" w:hAnsi="Arial" w:cs="Arial"/>
                <w:sz w:val="22"/>
                <w:szCs w:val="22"/>
              </w:rPr>
            </w:pPr>
          </w:p>
          <w:p w14:paraId="3467D64A" w14:textId="754774B1" w:rsidR="008B6D99" w:rsidRPr="00DF788D" w:rsidRDefault="00D627E3" w:rsidP="00CA0F82">
            <w:pPr>
              <w:pStyle w:val="PargrafodaLista"/>
              <w:ind w:right="145"/>
              <w:jc w:val="both"/>
              <w:rPr>
                <w:rFonts w:ascii="Arial" w:eastAsia="Times New Roman" w:hAnsi="Arial" w:cs="Arial"/>
                <w:sz w:val="22"/>
                <w:szCs w:val="22"/>
              </w:rPr>
            </w:pPr>
            <w:r w:rsidRPr="00DF788D">
              <w:rPr>
                <w:rFonts w:ascii="Arial" w:eastAsia="Times New Roman" w:hAnsi="Arial" w:cs="Arial"/>
                <w:sz w:val="22"/>
                <w:szCs w:val="22"/>
              </w:rPr>
              <w:t>Sob esse prisma, surpreendeu-nos que a</w:t>
            </w:r>
            <w:r w:rsidR="008B6D99" w:rsidRPr="00DF788D">
              <w:rPr>
                <w:rFonts w:ascii="Arial" w:eastAsia="Times New Roman" w:hAnsi="Arial" w:cs="Arial"/>
                <w:sz w:val="22"/>
                <w:szCs w:val="22"/>
              </w:rPr>
              <w:t xml:space="preserve"> minuta em consulta </w:t>
            </w:r>
            <w:r w:rsidR="00FC045F">
              <w:rPr>
                <w:rFonts w:ascii="Arial" w:eastAsia="Times New Roman" w:hAnsi="Arial" w:cs="Arial"/>
                <w:sz w:val="22"/>
                <w:szCs w:val="22"/>
              </w:rPr>
              <w:t>manteve</w:t>
            </w:r>
            <w:r w:rsidRPr="00DF788D">
              <w:rPr>
                <w:rFonts w:ascii="Arial" w:eastAsia="Times New Roman" w:hAnsi="Arial" w:cs="Arial"/>
                <w:sz w:val="22"/>
                <w:szCs w:val="22"/>
              </w:rPr>
              <w:t xml:space="preserve"> no </w:t>
            </w:r>
            <w:r w:rsidR="00C77253" w:rsidRPr="00DF788D">
              <w:rPr>
                <w:rFonts w:ascii="Arial" w:eastAsia="Times New Roman" w:hAnsi="Arial" w:cs="Arial"/>
                <w:sz w:val="22"/>
                <w:szCs w:val="22"/>
              </w:rPr>
              <w:t>inciso I do art. 2º</w:t>
            </w:r>
            <w:r w:rsidR="008B6D99" w:rsidRPr="00DF788D">
              <w:rPr>
                <w:rFonts w:ascii="Arial" w:eastAsia="Times New Roman" w:hAnsi="Arial" w:cs="Arial"/>
                <w:sz w:val="22"/>
                <w:szCs w:val="22"/>
              </w:rPr>
              <w:t xml:space="preserve">, </w:t>
            </w:r>
            <w:r w:rsidR="00C77253" w:rsidRPr="00DF788D">
              <w:rPr>
                <w:rFonts w:ascii="Arial" w:eastAsia="Times New Roman" w:hAnsi="Arial" w:cs="Arial"/>
                <w:sz w:val="22"/>
                <w:szCs w:val="22"/>
              </w:rPr>
              <w:t xml:space="preserve">um </w:t>
            </w:r>
            <w:r w:rsidR="008B6D99" w:rsidRPr="00DF788D">
              <w:rPr>
                <w:rFonts w:ascii="Arial" w:eastAsia="Times New Roman" w:hAnsi="Arial" w:cs="Arial"/>
                <w:sz w:val="22"/>
                <w:szCs w:val="22"/>
              </w:rPr>
              <w:t>percentual de 20% como critério para definição de “agente dominante”.</w:t>
            </w:r>
          </w:p>
          <w:p w14:paraId="0E94A7FB" w14:textId="77777777" w:rsidR="008B6D99" w:rsidRPr="00DF788D" w:rsidRDefault="008B6D99" w:rsidP="00CA0F82">
            <w:pPr>
              <w:pStyle w:val="PargrafodaLista"/>
              <w:ind w:right="145"/>
              <w:jc w:val="both"/>
              <w:rPr>
                <w:rFonts w:ascii="Arial" w:eastAsia="Times New Roman" w:hAnsi="Arial" w:cs="Arial"/>
                <w:sz w:val="22"/>
                <w:szCs w:val="22"/>
              </w:rPr>
            </w:pPr>
          </w:p>
          <w:p w14:paraId="77FD0C84" w14:textId="027F0BA6" w:rsidR="008B6D99" w:rsidRPr="00DF788D" w:rsidRDefault="008B6D99" w:rsidP="00CA0F82">
            <w:pPr>
              <w:pStyle w:val="PargrafodaLista"/>
              <w:ind w:right="145"/>
              <w:jc w:val="both"/>
              <w:rPr>
                <w:rFonts w:ascii="Arial" w:eastAsia="Times New Roman" w:hAnsi="Arial" w:cs="Arial"/>
                <w:sz w:val="22"/>
                <w:szCs w:val="22"/>
              </w:rPr>
            </w:pPr>
            <w:r w:rsidRPr="00DF788D">
              <w:rPr>
                <w:rFonts w:ascii="Arial" w:eastAsia="Times New Roman" w:hAnsi="Arial" w:cs="Arial"/>
                <w:sz w:val="22"/>
                <w:szCs w:val="22"/>
              </w:rPr>
              <w:t xml:space="preserve">Contudo, como já </w:t>
            </w:r>
            <w:r w:rsidR="00D627E3" w:rsidRPr="00DF788D">
              <w:rPr>
                <w:rFonts w:ascii="Arial" w:eastAsia="Times New Roman" w:hAnsi="Arial" w:cs="Arial"/>
                <w:sz w:val="22"/>
                <w:szCs w:val="22"/>
              </w:rPr>
              <w:t xml:space="preserve">apresentado pelo Sindigás </w:t>
            </w:r>
            <w:r w:rsidRPr="00DF788D">
              <w:rPr>
                <w:rFonts w:ascii="Arial" w:eastAsia="Times New Roman" w:hAnsi="Arial" w:cs="Arial"/>
                <w:sz w:val="22"/>
                <w:szCs w:val="22"/>
              </w:rPr>
              <w:t>anteriormente, o percentual se respalda na</w:t>
            </w:r>
            <w:r w:rsidR="00C77253" w:rsidRPr="00DF788D">
              <w:rPr>
                <w:rFonts w:ascii="Arial" w:eastAsia="Times New Roman" w:hAnsi="Arial" w:cs="Arial"/>
                <w:sz w:val="22"/>
                <w:szCs w:val="22"/>
              </w:rPr>
              <w:t xml:space="preserve"> Lei</w:t>
            </w:r>
            <w:r w:rsidRPr="00DF788D">
              <w:rPr>
                <w:rFonts w:ascii="Arial" w:eastAsia="Times New Roman" w:hAnsi="Arial" w:cs="Arial"/>
                <w:sz w:val="22"/>
                <w:szCs w:val="22"/>
              </w:rPr>
              <w:t xml:space="preserve"> 12.529/11 (ref. </w:t>
            </w:r>
            <w:r w:rsidR="00AD3095" w:rsidRPr="00DF788D">
              <w:rPr>
                <w:rFonts w:ascii="Arial" w:eastAsia="Times New Roman" w:hAnsi="Arial" w:cs="Arial"/>
                <w:sz w:val="22"/>
                <w:szCs w:val="22"/>
              </w:rPr>
              <w:t>art. 36, §2º</w:t>
            </w:r>
            <w:r w:rsidR="00C77253" w:rsidRPr="00DF788D">
              <w:rPr>
                <w:rFonts w:ascii="Arial" w:eastAsia="Times New Roman" w:hAnsi="Arial" w:cs="Arial"/>
                <w:sz w:val="22"/>
                <w:szCs w:val="22"/>
              </w:rPr>
              <w:t>)</w:t>
            </w:r>
            <w:r w:rsidRPr="00DF788D">
              <w:rPr>
                <w:rFonts w:ascii="Arial" w:eastAsia="Times New Roman" w:hAnsi="Arial" w:cs="Arial"/>
                <w:sz w:val="22"/>
                <w:szCs w:val="22"/>
              </w:rPr>
              <w:t xml:space="preserve">, </w:t>
            </w:r>
            <w:r w:rsidR="001D0FCD" w:rsidRPr="00DF788D">
              <w:rPr>
                <w:rFonts w:ascii="Arial" w:eastAsia="Times New Roman" w:hAnsi="Arial" w:cs="Arial"/>
                <w:sz w:val="22"/>
                <w:szCs w:val="22"/>
              </w:rPr>
              <w:t>sendo que a Lei</w:t>
            </w:r>
            <w:r w:rsidRPr="00DF788D">
              <w:rPr>
                <w:rFonts w:ascii="Arial" w:eastAsia="Times New Roman" w:hAnsi="Arial" w:cs="Arial"/>
                <w:sz w:val="22"/>
                <w:szCs w:val="22"/>
              </w:rPr>
              <w:t xml:space="preserve"> estabelece, em verdade uma </w:t>
            </w:r>
            <w:r w:rsidRPr="00DF788D">
              <w:rPr>
                <w:rFonts w:ascii="Arial" w:eastAsia="Times New Roman" w:hAnsi="Arial" w:cs="Arial"/>
                <w:b/>
                <w:sz w:val="22"/>
                <w:szCs w:val="22"/>
              </w:rPr>
              <w:t>presunção</w:t>
            </w:r>
            <w:r w:rsidRPr="00DF788D">
              <w:rPr>
                <w:rFonts w:ascii="Arial" w:eastAsia="Times New Roman" w:hAnsi="Arial" w:cs="Arial"/>
                <w:sz w:val="22"/>
                <w:szCs w:val="22"/>
              </w:rPr>
              <w:t xml:space="preserve"> de posição dominante quando: </w:t>
            </w:r>
            <w:r w:rsidRPr="00DF788D">
              <w:rPr>
                <w:rFonts w:ascii="Arial" w:hAnsi="Arial" w:cs="Arial"/>
                <w:sz w:val="22"/>
                <w:szCs w:val="22"/>
              </w:rPr>
              <w:t>uma empresa ou grupo econômico “...</w:t>
            </w:r>
            <w:r w:rsidRPr="00DF788D">
              <w:rPr>
                <w:rFonts w:ascii="Arial" w:hAnsi="Arial" w:cs="Arial"/>
                <w:i/>
                <w:sz w:val="22"/>
                <w:szCs w:val="22"/>
              </w:rPr>
              <w:t>controlar 20% (vinte por cento) ou mais do mercado relevante</w:t>
            </w:r>
            <w:r w:rsidRPr="00DF788D">
              <w:rPr>
                <w:rFonts w:ascii="Arial" w:hAnsi="Arial" w:cs="Arial"/>
                <w:sz w:val="22"/>
                <w:szCs w:val="22"/>
              </w:rPr>
              <w:t xml:space="preserve">”, sendo que este </w:t>
            </w:r>
            <w:r w:rsidRPr="00DF788D">
              <w:rPr>
                <w:rFonts w:ascii="Arial" w:hAnsi="Arial" w:cs="Arial"/>
                <w:b/>
                <w:i/>
                <w:sz w:val="22"/>
                <w:szCs w:val="22"/>
              </w:rPr>
              <w:t>percentual pode ser alterado pelo Cade para setores específicos da economia</w:t>
            </w:r>
            <w:r w:rsidRPr="00DF788D">
              <w:rPr>
                <w:rFonts w:ascii="Arial" w:hAnsi="Arial" w:cs="Arial"/>
                <w:b/>
                <w:sz w:val="22"/>
                <w:szCs w:val="22"/>
              </w:rPr>
              <w:t>”</w:t>
            </w:r>
            <w:r w:rsidRPr="00DF788D">
              <w:rPr>
                <w:rFonts w:ascii="Arial" w:hAnsi="Arial" w:cs="Arial"/>
                <w:sz w:val="22"/>
                <w:szCs w:val="22"/>
              </w:rPr>
              <w:t>.</w:t>
            </w:r>
            <w:r w:rsidR="00C77253" w:rsidRPr="00DF788D">
              <w:rPr>
                <w:rFonts w:ascii="Arial" w:eastAsia="Times New Roman" w:hAnsi="Arial" w:cs="Arial"/>
                <w:sz w:val="22"/>
                <w:szCs w:val="22"/>
              </w:rPr>
              <w:t xml:space="preserve"> </w:t>
            </w:r>
          </w:p>
          <w:p w14:paraId="41D616F8" w14:textId="77777777" w:rsidR="008B6D99" w:rsidRPr="00DF788D" w:rsidRDefault="008B6D99" w:rsidP="00CA0F82">
            <w:pPr>
              <w:pStyle w:val="PargrafodaLista"/>
              <w:ind w:right="145"/>
              <w:jc w:val="both"/>
              <w:rPr>
                <w:rFonts w:ascii="Arial" w:eastAsia="Times New Roman" w:hAnsi="Arial" w:cs="Arial"/>
                <w:sz w:val="22"/>
                <w:szCs w:val="22"/>
              </w:rPr>
            </w:pPr>
          </w:p>
          <w:p w14:paraId="4D3BFB0A" w14:textId="21206A7B" w:rsidR="008B6D99" w:rsidRPr="00DF788D" w:rsidRDefault="008B6D99" w:rsidP="008B6D99">
            <w:pPr>
              <w:pStyle w:val="PargrafodaLista"/>
              <w:ind w:right="145"/>
              <w:jc w:val="both"/>
              <w:rPr>
                <w:rFonts w:ascii="Arial" w:eastAsia="Times New Roman" w:hAnsi="Arial" w:cs="Arial"/>
                <w:sz w:val="22"/>
                <w:szCs w:val="22"/>
              </w:rPr>
            </w:pPr>
            <w:r w:rsidRPr="00DF788D">
              <w:rPr>
                <w:rFonts w:ascii="Arial" w:eastAsia="Times New Roman" w:hAnsi="Arial" w:cs="Arial"/>
                <w:sz w:val="22"/>
                <w:szCs w:val="22"/>
              </w:rPr>
              <w:t>Resta evidente que a Lei deixou ao C</w:t>
            </w:r>
            <w:r w:rsidR="001D0FCD" w:rsidRPr="00DF788D">
              <w:rPr>
                <w:rFonts w:ascii="Arial" w:eastAsia="Times New Roman" w:hAnsi="Arial" w:cs="Arial"/>
                <w:sz w:val="22"/>
                <w:szCs w:val="22"/>
              </w:rPr>
              <w:t>ade</w:t>
            </w:r>
            <w:r w:rsidRPr="00DF788D">
              <w:rPr>
                <w:rFonts w:ascii="Arial" w:eastAsia="Times New Roman" w:hAnsi="Arial" w:cs="Arial"/>
                <w:sz w:val="22"/>
                <w:szCs w:val="22"/>
              </w:rPr>
              <w:t xml:space="preserve"> a discricionariedade para fixação do percentual de concentração, pois é </w:t>
            </w:r>
            <w:r w:rsidR="001D0FCD" w:rsidRPr="00DF788D">
              <w:rPr>
                <w:rFonts w:ascii="Arial" w:eastAsia="Times New Roman" w:hAnsi="Arial" w:cs="Arial"/>
                <w:sz w:val="22"/>
                <w:szCs w:val="22"/>
              </w:rPr>
              <w:t>evidente</w:t>
            </w:r>
            <w:r w:rsidRPr="00DF788D">
              <w:rPr>
                <w:rFonts w:ascii="Arial" w:eastAsia="Times New Roman" w:hAnsi="Arial" w:cs="Arial"/>
                <w:sz w:val="22"/>
                <w:szCs w:val="22"/>
              </w:rPr>
              <w:t xml:space="preserve"> que</w:t>
            </w:r>
            <w:r w:rsidR="001D0FCD" w:rsidRPr="00DF788D">
              <w:rPr>
                <w:rFonts w:ascii="Arial" w:eastAsia="Times New Roman" w:hAnsi="Arial" w:cs="Arial"/>
                <w:sz w:val="22"/>
                <w:szCs w:val="22"/>
              </w:rPr>
              <w:t xml:space="preserve"> existem </w:t>
            </w:r>
            <w:r w:rsidRPr="00DF788D">
              <w:rPr>
                <w:rFonts w:ascii="Arial" w:eastAsia="Times New Roman" w:hAnsi="Arial" w:cs="Arial"/>
                <w:sz w:val="22"/>
                <w:szCs w:val="22"/>
              </w:rPr>
              <w:t xml:space="preserve">setores </w:t>
            </w:r>
            <w:r w:rsidR="001D0FCD" w:rsidRPr="00DF788D">
              <w:rPr>
                <w:rFonts w:ascii="Arial" w:eastAsia="Times New Roman" w:hAnsi="Arial" w:cs="Arial"/>
                <w:sz w:val="22"/>
                <w:szCs w:val="22"/>
              </w:rPr>
              <w:t>onde</w:t>
            </w:r>
            <w:r w:rsidR="0077237F" w:rsidRPr="00DF788D">
              <w:rPr>
                <w:rFonts w:ascii="Arial" w:eastAsia="Times New Roman" w:hAnsi="Arial" w:cs="Arial"/>
                <w:sz w:val="22"/>
                <w:szCs w:val="22"/>
              </w:rPr>
              <w:t xml:space="preserve"> </w:t>
            </w:r>
            <w:r w:rsidRPr="00DF788D">
              <w:rPr>
                <w:rFonts w:ascii="Arial" w:eastAsia="Times New Roman" w:hAnsi="Arial" w:cs="Arial"/>
                <w:sz w:val="22"/>
                <w:szCs w:val="22"/>
              </w:rPr>
              <w:t>percentuais</w:t>
            </w:r>
            <w:r w:rsidR="001D0FCD" w:rsidRPr="00DF788D">
              <w:rPr>
                <w:rFonts w:ascii="Arial" w:eastAsia="Times New Roman" w:hAnsi="Arial" w:cs="Arial"/>
                <w:sz w:val="22"/>
                <w:szCs w:val="22"/>
              </w:rPr>
              <w:t xml:space="preserve"> mais elevados fazem mais sentido para </w:t>
            </w:r>
            <w:r w:rsidRPr="00DF788D">
              <w:rPr>
                <w:rFonts w:ascii="Arial" w:eastAsia="Times New Roman" w:hAnsi="Arial" w:cs="Arial"/>
                <w:sz w:val="22"/>
                <w:szCs w:val="22"/>
              </w:rPr>
              <w:t>possibilitar escala necessária à viabilidade do empreendimento</w:t>
            </w:r>
            <w:r w:rsidR="001D0FCD" w:rsidRPr="00DF788D">
              <w:rPr>
                <w:rFonts w:ascii="Arial" w:eastAsia="Times New Roman" w:hAnsi="Arial" w:cs="Arial"/>
                <w:sz w:val="22"/>
                <w:szCs w:val="22"/>
              </w:rPr>
              <w:t xml:space="preserve">, por </w:t>
            </w:r>
            <w:r w:rsidR="001D5423" w:rsidRPr="00DF788D">
              <w:rPr>
                <w:rFonts w:ascii="Arial" w:eastAsia="Times New Roman" w:hAnsi="Arial" w:cs="Arial"/>
                <w:sz w:val="22"/>
                <w:szCs w:val="22"/>
              </w:rPr>
              <w:t>exemplo</w:t>
            </w:r>
            <w:r w:rsidRPr="00DF788D">
              <w:rPr>
                <w:rFonts w:ascii="Arial" w:eastAsia="Times New Roman" w:hAnsi="Arial" w:cs="Arial"/>
                <w:sz w:val="22"/>
                <w:szCs w:val="22"/>
              </w:rPr>
              <w:t>.</w:t>
            </w:r>
          </w:p>
          <w:p w14:paraId="111A8B66" w14:textId="77777777" w:rsidR="0077237F" w:rsidRPr="00DF788D" w:rsidRDefault="0077237F" w:rsidP="008B6D99">
            <w:pPr>
              <w:pStyle w:val="PargrafodaLista"/>
              <w:ind w:right="145"/>
              <w:jc w:val="both"/>
              <w:rPr>
                <w:rFonts w:ascii="Arial" w:eastAsia="Times New Roman" w:hAnsi="Arial" w:cs="Arial"/>
                <w:sz w:val="22"/>
                <w:szCs w:val="22"/>
              </w:rPr>
            </w:pPr>
          </w:p>
          <w:p w14:paraId="42627696" w14:textId="2B224D30" w:rsidR="008B6D99" w:rsidRPr="00DF788D" w:rsidRDefault="008B6D99" w:rsidP="008B6D99">
            <w:pPr>
              <w:pStyle w:val="PargrafodaLista"/>
              <w:ind w:right="145"/>
              <w:jc w:val="both"/>
              <w:rPr>
                <w:rFonts w:ascii="Arial" w:eastAsia="Times New Roman" w:hAnsi="Arial" w:cs="Arial"/>
                <w:sz w:val="22"/>
                <w:szCs w:val="22"/>
              </w:rPr>
            </w:pPr>
            <w:r w:rsidRPr="00DF788D">
              <w:rPr>
                <w:rFonts w:ascii="Arial" w:eastAsia="Times New Roman" w:hAnsi="Arial" w:cs="Arial"/>
                <w:sz w:val="22"/>
                <w:szCs w:val="22"/>
              </w:rPr>
              <w:t>Logo, eventualmente para empreendimentos que exigem elevados investimentos, é possível que percentuais de concentração superiores a 20% não prejudique</w:t>
            </w:r>
            <w:r w:rsidR="0077237F" w:rsidRPr="00DF788D">
              <w:rPr>
                <w:rFonts w:ascii="Arial" w:eastAsia="Times New Roman" w:hAnsi="Arial" w:cs="Arial"/>
                <w:sz w:val="22"/>
                <w:szCs w:val="22"/>
              </w:rPr>
              <w:t>m</w:t>
            </w:r>
            <w:r w:rsidRPr="00DF788D">
              <w:rPr>
                <w:rFonts w:ascii="Arial" w:eastAsia="Times New Roman" w:hAnsi="Arial" w:cs="Arial"/>
                <w:sz w:val="22"/>
                <w:szCs w:val="22"/>
              </w:rPr>
              <w:t xml:space="preserve"> a rivalidade,</w:t>
            </w:r>
            <w:r w:rsidR="0077237F" w:rsidRPr="00DF788D">
              <w:rPr>
                <w:rFonts w:ascii="Arial" w:eastAsia="Times New Roman" w:hAnsi="Arial" w:cs="Arial"/>
                <w:sz w:val="22"/>
                <w:szCs w:val="22"/>
              </w:rPr>
              <w:t xml:space="preserve"> pelo contrário, se justifiquem</w:t>
            </w:r>
            <w:r w:rsidRPr="00DF788D">
              <w:rPr>
                <w:rFonts w:ascii="Arial" w:eastAsia="Times New Roman" w:hAnsi="Arial" w:cs="Arial"/>
                <w:sz w:val="22"/>
                <w:szCs w:val="22"/>
              </w:rPr>
              <w:t xml:space="preserve"> na medida em que não </w:t>
            </w:r>
            <w:r w:rsidR="00A8643E">
              <w:rPr>
                <w:rFonts w:ascii="Arial" w:eastAsia="Times New Roman" w:hAnsi="Arial" w:cs="Arial"/>
                <w:sz w:val="22"/>
                <w:szCs w:val="22"/>
              </w:rPr>
              <w:t>tornam</w:t>
            </w:r>
            <w:r w:rsidRPr="00DF788D">
              <w:rPr>
                <w:rFonts w:ascii="Arial" w:eastAsia="Times New Roman" w:hAnsi="Arial" w:cs="Arial"/>
                <w:sz w:val="22"/>
                <w:szCs w:val="22"/>
              </w:rPr>
              <w:t xml:space="preserve"> a</w:t>
            </w:r>
            <w:r w:rsidR="0077237F" w:rsidRPr="00DF788D">
              <w:rPr>
                <w:rFonts w:ascii="Arial" w:eastAsia="Times New Roman" w:hAnsi="Arial" w:cs="Arial"/>
                <w:sz w:val="22"/>
                <w:szCs w:val="22"/>
              </w:rPr>
              <w:t>s</w:t>
            </w:r>
            <w:r w:rsidRPr="00DF788D">
              <w:rPr>
                <w:rFonts w:ascii="Arial" w:eastAsia="Times New Roman" w:hAnsi="Arial" w:cs="Arial"/>
                <w:sz w:val="22"/>
                <w:szCs w:val="22"/>
              </w:rPr>
              <w:t xml:space="preserve"> empresa</w:t>
            </w:r>
            <w:r w:rsidR="0077237F" w:rsidRPr="00DF788D">
              <w:rPr>
                <w:rFonts w:ascii="Arial" w:eastAsia="Times New Roman" w:hAnsi="Arial" w:cs="Arial"/>
                <w:sz w:val="22"/>
                <w:szCs w:val="22"/>
              </w:rPr>
              <w:t>s</w:t>
            </w:r>
            <w:r w:rsidR="00A8643E">
              <w:rPr>
                <w:rFonts w:ascii="Arial" w:eastAsia="Times New Roman" w:hAnsi="Arial" w:cs="Arial"/>
                <w:sz w:val="22"/>
                <w:szCs w:val="22"/>
              </w:rPr>
              <w:t xml:space="preserve"> capazes de</w:t>
            </w:r>
            <w:r w:rsidRPr="00DF788D">
              <w:rPr>
                <w:rFonts w:ascii="Arial" w:eastAsia="Times New Roman" w:hAnsi="Arial" w:cs="Arial"/>
                <w:sz w:val="22"/>
                <w:szCs w:val="22"/>
              </w:rPr>
              <w:t xml:space="preserve"> alterar unilateral ou coordenadamente as condições de mercado.</w:t>
            </w:r>
          </w:p>
          <w:p w14:paraId="566C2A9D" w14:textId="77777777" w:rsidR="0077237F" w:rsidRPr="00DF788D" w:rsidRDefault="0077237F" w:rsidP="008B6D99">
            <w:pPr>
              <w:pStyle w:val="PargrafodaLista"/>
              <w:ind w:right="145"/>
              <w:jc w:val="both"/>
              <w:rPr>
                <w:rFonts w:ascii="Arial" w:eastAsia="Times New Roman" w:hAnsi="Arial" w:cs="Arial"/>
                <w:sz w:val="22"/>
                <w:szCs w:val="22"/>
              </w:rPr>
            </w:pPr>
          </w:p>
          <w:p w14:paraId="3A602388" w14:textId="6473DBB5" w:rsidR="001D5423" w:rsidRPr="00DF788D" w:rsidRDefault="008B6D99" w:rsidP="008B6D99">
            <w:pPr>
              <w:pStyle w:val="PargrafodaLista"/>
              <w:ind w:right="145"/>
              <w:jc w:val="both"/>
              <w:rPr>
                <w:rFonts w:ascii="Arial" w:eastAsia="Times New Roman" w:hAnsi="Arial" w:cs="Arial"/>
                <w:sz w:val="22"/>
                <w:szCs w:val="22"/>
              </w:rPr>
            </w:pPr>
            <w:r w:rsidRPr="00DF788D">
              <w:rPr>
                <w:rFonts w:ascii="Arial" w:eastAsia="Times New Roman" w:hAnsi="Arial" w:cs="Arial"/>
                <w:sz w:val="22"/>
                <w:szCs w:val="22"/>
              </w:rPr>
              <w:t xml:space="preserve">Nesse sentido, </w:t>
            </w:r>
            <w:r w:rsidR="001D5423" w:rsidRPr="00DF788D">
              <w:rPr>
                <w:rFonts w:ascii="Arial" w:eastAsia="Times New Roman" w:hAnsi="Arial" w:cs="Arial"/>
                <w:sz w:val="22"/>
                <w:szCs w:val="22"/>
              </w:rPr>
              <w:t>o Sindigás contratou dois trabalhos para melhor entendimento da minuta de Resolução</w:t>
            </w:r>
            <w:r w:rsidR="008B048F">
              <w:rPr>
                <w:rFonts w:ascii="Arial" w:eastAsia="Times New Roman" w:hAnsi="Arial" w:cs="Arial"/>
                <w:sz w:val="22"/>
                <w:szCs w:val="22"/>
              </w:rPr>
              <w:t xml:space="preserve"> em Consulta Pública: </w:t>
            </w:r>
            <w:r w:rsidR="001D5423" w:rsidRPr="00DF788D">
              <w:rPr>
                <w:rFonts w:ascii="Arial" w:eastAsia="Times New Roman" w:hAnsi="Arial" w:cs="Arial"/>
                <w:sz w:val="22"/>
                <w:szCs w:val="22"/>
              </w:rPr>
              <w:t>Trabalho Econômico</w:t>
            </w:r>
            <w:r w:rsidR="008B048F">
              <w:rPr>
                <w:rFonts w:ascii="Arial" w:eastAsia="Times New Roman" w:hAnsi="Arial" w:cs="Arial"/>
                <w:sz w:val="22"/>
                <w:szCs w:val="22"/>
              </w:rPr>
              <w:t xml:space="preserve"> constante no</w:t>
            </w:r>
            <w:r w:rsidR="001D5423" w:rsidRPr="00DF788D">
              <w:rPr>
                <w:rFonts w:ascii="Arial" w:eastAsia="Times New Roman" w:hAnsi="Arial" w:cs="Arial"/>
                <w:sz w:val="22"/>
                <w:szCs w:val="22"/>
              </w:rPr>
              <w:t xml:space="preserve"> Anexo I</w:t>
            </w:r>
            <w:r w:rsidR="005B3F66" w:rsidRPr="00DF788D">
              <w:rPr>
                <w:rStyle w:val="Refdenotaderodap"/>
                <w:rFonts w:ascii="Arial" w:eastAsia="Times New Roman" w:hAnsi="Arial" w:cs="Arial"/>
                <w:sz w:val="22"/>
                <w:szCs w:val="22"/>
              </w:rPr>
              <w:footnoteReference w:id="1"/>
            </w:r>
            <w:r w:rsidR="001D5423" w:rsidRPr="00DF788D">
              <w:rPr>
                <w:rFonts w:ascii="Arial" w:eastAsia="Times New Roman" w:hAnsi="Arial" w:cs="Arial"/>
                <w:sz w:val="22"/>
                <w:szCs w:val="22"/>
              </w:rPr>
              <w:t xml:space="preserve"> e Anexo II</w:t>
            </w:r>
            <w:r w:rsidR="005B3F66" w:rsidRPr="00DF788D">
              <w:rPr>
                <w:rStyle w:val="Refdenotaderodap"/>
                <w:rFonts w:ascii="Arial" w:eastAsia="Times New Roman" w:hAnsi="Arial" w:cs="Arial"/>
                <w:sz w:val="22"/>
                <w:szCs w:val="22"/>
              </w:rPr>
              <w:footnoteReference w:id="2"/>
            </w:r>
            <w:r w:rsidR="001D5423" w:rsidRPr="00DF788D">
              <w:rPr>
                <w:rFonts w:ascii="Arial" w:eastAsia="Times New Roman" w:hAnsi="Arial" w:cs="Arial"/>
                <w:sz w:val="22"/>
                <w:szCs w:val="22"/>
              </w:rPr>
              <w:t xml:space="preserve"> </w:t>
            </w:r>
            <w:r w:rsidR="008B048F">
              <w:rPr>
                <w:rFonts w:ascii="Arial" w:eastAsia="Times New Roman" w:hAnsi="Arial" w:cs="Arial"/>
                <w:sz w:val="22"/>
                <w:szCs w:val="22"/>
              </w:rPr>
              <w:t>tratando dos</w:t>
            </w:r>
            <w:r w:rsidR="001D5423" w:rsidRPr="00DF788D">
              <w:rPr>
                <w:rFonts w:ascii="Arial" w:eastAsia="Times New Roman" w:hAnsi="Arial" w:cs="Arial"/>
                <w:sz w:val="22"/>
                <w:szCs w:val="22"/>
              </w:rPr>
              <w:t xml:space="preserve"> aspectos jurídicos</w:t>
            </w:r>
            <w:r w:rsidR="008B048F">
              <w:rPr>
                <w:rFonts w:ascii="Arial" w:eastAsia="Times New Roman" w:hAnsi="Arial" w:cs="Arial"/>
                <w:sz w:val="22"/>
                <w:szCs w:val="22"/>
              </w:rPr>
              <w:t>/concorrenciais</w:t>
            </w:r>
            <w:r w:rsidR="001D5423" w:rsidRPr="00DF788D">
              <w:rPr>
                <w:rFonts w:ascii="Arial" w:eastAsia="Times New Roman" w:hAnsi="Arial" w:cs="Arial"/>
                <w:sz w:val="22"/>
                <w:szCs w:val="22"/>
              </w:rPr>
              <w:t>.</w:t>
            </w:r>
          </w:p>
          <w:p w14:paraId="4DE772F8" w14:textId="77777777" w:rsidR="001D5423" w:rsidRPr="00DF788D" w:rsidRDefault="001D5423" w:rsidP="008B6D99">
            <w:pPr>
              <w:pStyle w:val="PargrafodaLista"/>
              <w:ind w:right="145"/>
              <w:jc w:val="both"/>
              <w:rPr>
                <w:rFonts w:ascii="Arial" w:eastAsia="Times New Roman" w:hAnsi="Arial" w:cs="Arial"/>
                <w:sz w:val="22"/>
                <w:szCs w:val="22"/>
              </w:rPr>
            </w:pPr>
          </w:p>
          <w:p w14:paraId="0EABA5E0" w14:textId="6D57521F" w:rsidR="008B6D99" w:rsidRPr="00DF788D" w:rsidRDefault="001D5423" w:rsidP="008B6D99">
            <w:pPr>
              <w:pStyle w:val="PargrafodaLista"/>
              <w:ind w:right="145"/>
              <w:jc w:val="both"/>
              <w:rPr>
                <w:rFonts w:ascii="Arial" w:eastAsia="Times New Roman" w:hAnsi="Arial" w:cs="Arial"/>
                <w:sz w:val="22"/>
                <w:szCs w:val="22"/>
              </w:rPr>
            </w:pPr>
            <w:r w:rsidRPr="00DF788D">
              <w:rPr>
                <w:rFonts w:ascii="Arial" w:eastAsia="Times New Roman" w:hAnsi="Arial" w:cs="Arial"/>
                <w:sz w:val="22"/>
                <w:szCs w:val="22"/>
              </w:rPr>
              <w:lastRenderedPageBreak/>
              <w:t xml:space="preserve">Com base nos trabalhos supramencionados, </w:t>
            </w:r>
            <w:r w:rsidR="008B6D99" w:rsidRPr="00DF788D">
              <w:rPr>
                <w:rFonts w:ascii="Arial" w:eastAsia="Times New Roman" w:hAnsi="Arial" w:cs="Arial"/>
                <w:sz w:val="22"/>
                <w:szCs w:val="22"/>
              </w:rPr>
              <w:t xml:space="preserve">nos parece que, sem a necessária </w:t>
            </w:r>
            <w:r w:rsidRPr="00DF788D">
              <w:rPr>
                <w:rFonts w:ascii="Arial" w:eastAsia="Times New Roman" w:hAnsi="Arial" w:cs="Arial"/>
                <w:sz w:val="22"/>
                <w:szCs w:val="22"/>
              </w:rPr>
              <w:t>A</w:t>
            </w:r>
            <w:r w:rsidR="008B6D99" w:rsidRPr="00DF788D">
              <w:rPr>
                <w:rFonts w:ascii="Arial" w:eastAsia="Times New Roman" w:hAnsi="Arial" w:cs="Arial"/>
                <w:sz w:val="22"/>
                <w:szCs w:val="22"/>
              </w:rPr>
              <w:t>nálise de impacto regulatório</w:t>
            </w:r>
            <w:r w:rsidR="0077237F" w:rsidRPr="00DF788D">
              <w:rPr>
                <w:rFonts w:ascii="Arial" w:eastAsia="Times New Roman" w:hAnsi="Arial" w:cs="Arial"/>
                <w:sz w:val="22"/>
                <w:szCs w:val="22"/>
              </w:rPr>
              <w:t xml:space="preserve"> (melhor explanação item </w:t>
            </w:r>
            <w:r w:rsidR="005010EF" w:rsidRPr="00DF788D">
              <w:rPr>
                <w:rFonts w:ascii="Arial" w:eastAsia="Times New Roman" w:hAnsi="Arial" w:cs="Arial"/>
                <w:sz w:val="22"/>
                <w:szCs w:val="22"/>
              </w:rPr>
              <w:t>III.1</w:t>
            </w:r>
            <w:r w:rsidR="0077237F" w:rsidRPr="00DF788D">
              <w:rPr>
                <w:rFonts w:ascii="Arial" w:eastAsia="Times New Roman" w:hAnsi="Arial" w:cs="Arial"/>
                <w:sz w:val="22"/>
                <w:szCs w:val="22"/>
              </w:rPr>
              <w:t xml:space="preserve"> do</w:t>
            </w:r>
            <w:r w:rsidR="001D0FCD" w:rsidRPr="00DF788D">
              <w:rPr>
                <w:rFonts w:ascii="Arial" w:eastAsia="Times New Roman" w:hAnsi="Arial" w:cs="Arial"/>
                <w:sz w:val="22"/>
                <w:szCs w:val="22"/>
              </w:rPr>
              <w:t xml:space="preserve"> Legal Opinion</w:t>
            </w:r>
            <w:r w:rsidR="0077237F" w:rsidRPr="00DF788D">
              <w:rPr>
                <w:rFonts w:ascii="Arial" w:eastAsia="Times New Roman" w:hAnsi="Arial" w:cs="Arial"/>
                <w:sz w:val="22"/>
                <w:szCs w:val="22"/>
              </w:rPr>
              <w:t xml:space="preserve"> Anexo</w:t>
            </w:r>
            <w:r w:rsidR="001D0FCD" w:rsidRPr="00DF788D">
              <w:rPr>
                <w:rFonts w:ascii="Arial" w:eastAsia="Times New Roman" w:hAnsi="Arial" w:cs="Arial"/>
                <w:sz w:val="22"/>
                <w:szCs w:val="22"/>
              </w:rPr>
              <w:t xml:space="preserve"> -</w:t>
            </w:r>
            <w:r w:rsidR="0077237F" w:rsidRPr="00DF788D">
              <w:rPr>
                <w:rFonts w:ascii="Arial" w:eastAsia="Times New Roman" w:hAnsi="Arial" w:cs="Arial"/>
                <w:sz w:val="22"/>
                <w:szCs w:val="22"/>
              </w:rPr>
              <w:t xml:space="preserve"> I) e </w:t>
            </w:r>
            <w:r w:rsidRPr="00DF788D">
              <w:rPr>
                <w:rFonts w:ascii="Arial" w:eastAsia="Times New Roman" w:hAnsi="Arial" w:cs="Arial"/>
                <w:sz w:val="22"/>
                <w:szCs w:val="22"/>
              </w:rPr>
              <w:t xml:space="preserve">com </w:t>
            </w:r>
            <w:r w:rsidR="008B6D99" w:rsidRPr="00DF788D">
              <w:rPr>
                <w:rFonts w:ascii="Arial" w:eastAsia="Times New Roman" w:hAnsi="Arial" w:cs="Arial"/>
                <w:sz w:val="22"/>
                <w:szCs w:val="22"/>
              </w:rPr>
              <w:t>a fixação do percentual de 20%</w:t>
            </w:r>
            <w:r w:rsidR="0077237F" w:rsidRPr="00DF788D">
              <w:rPr>
                <w:rFonts w:ascii="Arial" w:eastAsia="Times New Roman" w:hAnsi="Arial" w:cs="Arial"/>
                <w:sz w:val="22"/>
                <w:szCs w:val="22"/>
              </w:rPr>
              <w:t>,</w:t>
            </w:r>
            <w:r w:rsidR="008B6D99" w:rsidRPr="00DF788D">
              <w:rPr>
                <w:rFonts w:ascii="Arial" w:eastAsia="Times New Roman" w:hAnsi="Arial" w:cs="Arial"/>
                <w:sz w:val="22"/>
                <w:szCs w:val="22"/>
              </w:rPr>
              <w:t xml:space="preserve"> </w:t>
            </w:r>
            <w:r w:rsidR="0077237F" w:rsidRPr="00DF788D">
              <w:rPr>
                <w:rFonts w:ascii="Arial" w:eastAsia="Times New Roman" w:hAnsi="Arial" w:cs="Arial"/>
                <w:sz w:val="22"/>
                <w:szCs w:val="22"/>
              </w:rPr>
              <w:t xml:space="preserve">taxativamente, </w:t>
            </w:r>
            <w:r w:rsidR="008B6D99" w:rsidRPr="00DF788D">
              <w:rPr>
                <w:rFonts w:ascii="Arial" w:eastAsia="Times New Roman" w:hAnsi="Arial" w:cs="Arial"/>
                <w:sz w:val="22"/>
                <w:szCs w:val="22"/>
              </w:rPr>
              <w:t xml:space="preserve">como critério para definir </w:t>
            </w:r>
            <w:r w:rsidR="0077237F" w:rsidRPr="00DF788D">
              <w:rPr>
                <w:rFonts w:ascii="Arial" w:eastAsia="Times New Roman" w:hAnsi="Arial" w:cs="Arial"/>
                <w:sz w:val="22"/>
                <w:szCs w:val="22"/>
              </w:rPr>
              <w:t>“</w:t>
            </w:r>
            <w:r w:rsidR="008B6D99" w:rsidRPr="00DF788D">
              <w:rPr>
                <w:rFonts w:ascii="Arial" w:eastAsia="Times New Roman" w:hAnsi="Arial" w:cs="Arial"/>
                <w:sz w:val="22"/>
                <w:szCs w:val="22"/>
              </w:rPr>
              <w:t>agente dominante</w:t>
            </w:r>
            <w:r w:rsidR="0077237F" w:rsidRPr="00DF788D">
              <w:rPr>
                <w:rFonts w:ascii="Arial" w:eastAsia="Times New Roman" w:hAnsi="Arial" w:cs="Arial"/>
                <w:sz w:val="22"/>
                <w:szCs w:val="22"/>
              </w:rPr>
              <w:t>”</w:t>
            </w:r>
            <w:r w:rsidRPr="00DF788D">
              <w:rPr>
                <w:rFonts w:ascii="Arial" w:eastAsia="Times New Roman" w:hAnsi="Arial" w:cs="Arial"/>
                <w:sz w:val="22"/>
                <w:szCs w:val="22"/>
              </w:rPr>
              <w:t>, a ANP estaria em verdade criando norma</w:t>
            </w:r>
            <w:r w:rsidR="008B6D99" w:rsidRPr="00DF788D">
              <w:rPr>
                <w:rFonts w:ascii="Arial" w:eastAsia="Times New Roman" w:hAnsi="Arial" w:cs="Arial"/>
                <w:sz w:val="22"/>
                <w:szCs w:val="22"/>
              </w:rPr>
              <w:t xml:space="preserve"> inibidora de investimentos</w:t>
            </w:r>
            <w:r w:rsidRPr="00DF788D">
              <w:rPr>
                <w:rFonts w:ascii="Arial" w:eastAsia="Times New Roman" w:hAnsi="Arial" w:cs="Arial"/>
                <w:sz w:val="22"/>
                <w:szCs w:val="22"/>
              </w:rPr>
              <w:t xml:space="preserve"> e em descompasso com os critérios adotados pelo Cade</w:t>
            </w:r>
            <w:r w:rsidR="008B6D99" w:rsidRPr="00DF788D">
              <w:rPr>
                <w:rFonts w:ascii="Arial" w:eastAsia="Times New Roman" w:hAnsi="Arial" w:cs="Arial"/>
                <w:sz w:val="22"/>
                <w:szCs w:val="22"/>
              </w:rPr>
              <w:t>, na medida em que poderá comprometer o retorno esperado pelos investidores, sobretudo quando se trata de empreendimentos em distribuição e logística de combustíveis</w:t>
            </w:r>
            <w:r w:rsidRPr="00DF788D">
              <w:rPr>
                <w:rFonts w:ascii="Arial" w:eastAsia="Times New Roman" w:hAnsi="Arial" w:cs="Arial"/>
                <w:sz w:val="22"/>
                <w:szCs w:val="22"/>
              </w:rPr>
              <w:t>, além de criação de potenciais distorções de ordem concorrencial</w:t>
            </w:r>
            <w:r w:rsidR="008B6D99" w:rsidRPr="00DF788D">
              <w:rPr>
                <w:rFonts w:ascii="Arial" w:eastAsia="Times New Roman" w:hAnsi="Arial" w:cs="Arial"/>
                <w:sz w:val="22"/>
                <w:szCs w:val="22"/>
              </w:rPr>
              <w:t>.</w:t>
            </w:r>
          </w:p>
          <w:p w14:paraId="31F75A60" w14:textId="77777777" w:rsidR="008B6D99" w:rsidRPr="00DF788D" w:rsidRDefault="008B6D99" w:rsidP="00CA0F82">
            <w:pPr>
              <w:pStyle w:val="PargrafodaLista"/>
              <w:ind w:right="145"/>
              <w:jc w:val="both"/>
              <w:rPr>
                <w:rFonts w:ascii="Arial" w:eastAsia="Times New Roman" w:hAnsi="Arial" w:cs="Arial"/>
                <w:sz w:val="22"/>
                <w:szCs w:val="22"/>
              </w:rPr>
            </w:pPr>
          </w:p>
          <w:p w14:paraId="7952F215" w14:textId="3DA27C01" w:rsidR="0077237F" w:rsidRDefault="0077237F" w:rsidP="0077237F">
            <w:pPr>
              <w:pStyle w:val="PargrafodaLista"/>
              <w:numPr>
                <w:ilvl w:val="0"/>
                <w:numId w:val="3"/>
              </w:numPr>
              <w:jc w:val="both"/>
              <w:rPr>
                <w:rFonts w:ascii="Arial" w:eastAsia="Times New Roman" w:hAnsi="Arial" w:cs="Arial"/>
                <w:sz w:val="22"/>
                <w:szCs w:val="22"/>
              </w:rPr>
            </w:pPr>
            <w:r w:rsidRPr="00DF788D">
              <w:rPr>
                <w:rFonts w:ascii="Arial" w:eastAsia="Times New Roman" w:hAnsi="Arial" w:cs="Arial"/>
                <w:sz w:val="22"/>
                <w:szCs w:val="22"/>
              </w:rPr>
              <w:t xml:space="preserve">No entender </w:t>
            </w:r>
            <w:r w:rsidR="001D5423" w:rsidRPr="00DF788D">
              <w:rPr>
                <w:rFonts w:ascii="Arial" w:eastAsia="Times New Roman" w:hAnsi="Arial" w:cs="Arial"/>
                <w:sz w:val="22"/>
                <w:szCs w:val="22"/>
              </w:rPr>
              <w:t>d</w:t>
            </w:r>
            <w:r w:rsidRPr="00DF788D">
              <w:rPr>
                <w:rFonts w:ascii="Arial" w:eastAsia="Times New Roman" w:hAnsi="Arial" w:cs="Arial"/>
                <w:sz w:val="22"/>
                <w:szCs w:val="22"/>
              </w:rPr>
              <w:t xml:space="preserve">o Sindigás, a ANP </w:t>
            </w:r>
            <w:r w:rsidR="001D5423" w:rsidRPr="00DF788D">
              <w:rPr>
                <w:rFonts w:ascii="Arial" w:eastAsia="Times New Roman" w:hAnsi="Arial" w:cs="Arial"/>
                <w:sz w:val="22"/>
                <w:szCs w:val="22"/>
              </w:rPr>
              <w:t xml:space="preserve">somente poderia </w:t>
            </w:r>
            <w:r w:rsidRPr="00DF788D">
              <w:rPr>
                <w:rFonts w:ascii="Arial" w:eastAsia="Times New Roman" w:hAnsi="Arial" w:cs="Arial"/>
                <w:sz w:val="22"/>
                <w:szCs w:val="22"/>
              </w:rPr>
              <w:t>estabelecer o percentual de 20%</w:t>
            </w:r>
            <w:r w:rsidR="001D0FCD" w:rsidRPr="00DF788D">
              <w:rPr>
                <w:rFonts w:ascii="Arial" w:eastAsia="Times New Roman" w:hAnsi="Arial" w:cs="Arial"/>
                <w:sz w:val="22"/>
                <w:szCs w:val="22"/>
              </w:rPr>
              <w:t xml:space="preserve"> na minuta</w:t>
            </w:r>
            <w:r w:rsidRPr="00DF788D">
              <w:rPr>
                <w:rFonts w:ascii="Arial" w:eastAsia="Times New Roman" w:hAnsi="Arial" w:cs="Arial"/>
                <w:sz w:val="22"/>
                <w:szCs w:val="22"/>
              </w:rPr>
              <w:t xml:space="preserve"> como critério único para definição de </w:t>
            </w:r>
            <w:r w:rsidR="001D0FCD" w:rsidRPr="00DF788D">
              <w:rPr>
                <w:rFonts w:ascii="Arial" w:eastAsia="Times New Roman" w:hAnsi="Arial" w:cs="Arial"/>
                <w:sz w:val="22"/>
                <w:szCs w:val="22"/>
              </w:rPr>
              <w:t>“</w:t>
            </w:r>
            <w:r w:rsidRPr="00DF788D">
              <w:rPr>
                <w:rFonts w:ascii="Arial" w:eastAsia="Times New Roman" w:hAnsi="Arial" w:cs="Arial"/>
                <w:sz w:val="22"/>
                <w:szCs w:val="22"/>
              </w:rPr>
              <w:t>agente dominante</w:t>
            </w:r>
            <w:r w:rsidR="001D0FCD" w:rsidRPr="00DF788D">
              <w:rPr>
                <w:rFonts w:ascii="Arial" w:eastAsia="Times New Roman" w:hAnsi="Arial" w:cs="Arial"/>
                <w:sz w:val="22"/>
                <w:szCs w:val="22"/>
              </w:rPr>
              <w:t>”</w:t>
            </w:r>
            <w:r w:rsidR="001D5423" w:rsidRPr="00DF788D">
              <w:rPr>
                <w:rFonts w:ascii="Arial" w:eastAsia="Times New Roman" w:hAnsi="Arial" w:cs="Arial"/>
                <w:sz w:val="22"/>
                <w:szCs w:val="22"/>
              </w:rPr>
              <w:t xml:space="preserve"> </w:t>
            </w:r>
            <w:r w:rsidRPr="00DF788D">
              <w:rPr>
                <w:rFonts w:ascii="Arial" w:eastAsia="Times New Roman" w:hAnsi="Arial" w:cs="Arial"/>
                <w:sz w:val="22"/>
                <w:szCs w:val="22"/>
              </w:rPr>
              <w:t xml:space="preserve">para conter o agente monopolista </w:t>
            </w:r>
            <w:r w:rsidR="001D0FCD" w:rsidRPr="00DF788D">
              <w:rPr>
                <w:rFonts w:ascii="Arial" w:eastAsia="Times New Roman" w:hAnsi="Arial" w:cs="Arial"/>
                <w:sz w:val="22"/>
                <w:szCs w:val="22"/>
              </w:rPr>
              <w:t xml:space="preserve">atuante no </w:t>
            </w:r>
            <w:r w:rsidRPr="00DF788D">
              <w:rPr>
                <w:rFonts w:ascii="Arial" w:eastAsia="Times New Roman" w:hAnsi="Arial" w:cs="Arial"/>
                <w:sz w:val="22"/>
                <w:szCs w:val="22"/>
              </w:rPr>
              <w:t>mercado brasileiro, contudo</w:t>
            </w:r>
            <w:r w:rsidR="001D0FCD" w:rsidRPr="00DF788D">
              <w:rPr>
                <w:rFonts w:ascii="Arial" w:eastAsia="Times New Roman" w:hAnsi="Arial" w:cs="Arial"/>
                <w:sz w:val="22"/>
                <w:szCs w:val="22"/>
              </w:rPr>
              <w:t xml:space="preserve"> </w:t>
            </w:r>
            <w:r w:rsidR="001D5423" w:rsidRPr="00DF788D">
              <w:rPr>
                <w:rFonts w:ascii="Arial" w:eastAsia="Times New Roman" w:hAnsi="Arial" w:cs="Arial"/>
                <w:sz w:val="22"/>
                <w:szCs w:val="22"/>
              </w:rPr>
              <w:t xml:space="preserve"> o</w:t>
            </w:r>
            <w:r w:rsidR="001D0FCD" w:rsidRPr="00DF788D">
              <w:rPr>
                <w:rFonts w:ascii="Arial" w:eastAsia="Times New Roman" w:hAnsi="Arial" w:cs="Arial"/>
                <w:sz w:val="22"/>
                <w:szCs w:val="22"/>
              </w:rPr>
              <w:t xml:space="preserve"> critério</w:t>
            </w:r>
            <w:r w:rsidR="001D5423" w:rsidRPr="00DF788D">
              <w:rPr>
                <w:rFonts w:ascii="Arial" w:eastAsia="Times New Roman" w:hAnsi="Arial" w:cs="Arial"/>
                <w:sz w:val="22"/>
                <w:szCs w:val="22"/>
              </w:rPr>
              <w:t xml:space="preserve"> se demonstra</w:t>
            </w:r>
            <w:r w:rsidR="001D0FCD" w:rsidRPr="00DF788D">
              <w:rPr>
                <w:rFonts w:ascii="Arial" w:eastAsia="Times New Roman" w:hAnsi="Arial" w:cs="Arial"/>
                <w:sz w:val="22"/>
                <w:szCs w:val="22"/>
              </w:rPr>
              <w:t xml:space="preserve"> equivocado</w:t>
            </w:r>
            <w:r w:rsidR="001D5423" w:rsidRPr="00DF788D">
              <w:rPr>
                <w:rFonts w:ascii="Arial" w:eastAsia="Times New Roman" w:hAnsi="Arial" w:cs="Arial"/>
                <w:sz w:val="22"/>
                <w:szCs w:val="22"/>
              </w:rPr>
              <w:t>, conforme demonstrado nos materiais em anexo</w:t>
            </w:r>
            <w:r w:rsidR="00FD4CBC" w:rsidRPr="00DF788D">
              <w:rPr>
                <w:rFonts w:ascii="Arial" w:eastAsia="Times New Roman" w:hAnsi="Arial" w:cs="Arial"/>
                <w:sz w:val="22"/>
                <w:szCs w:val="22"/>
              </w:rPr>
              <w:t xml:space="preserve">, </w:t>
            </w:r>
            <w:r w:rsidR="00A8643E">
              <w:rPr>
                <w:rFonts w:ascii="Arial" w:eastAsia="Times New Roman" w:hAnsi="Arial" w:cs="Arial"/>
                <w:sz w:val="22"/>
                <w:szCs w:val="22"/>
              </w:rPr>
              <w:t>pois há fundado receio de que o critério resulte na</w:t>
            </w:r>
            <w:r w:rsidR="00FD4CBC" w:rsidRPr="00DF788D">
              <w:rPr>
                <w:rFonts w:ascii="Arial" w:eastAsia="Times New Roman" w:hAnsi="Arial" w:cs="Arial"/>
                <w:sz w:val="22"/>
                <w:szCs w:val="22"/>
              </w:rPr>
              <w:t xml:space="preserve"> </w:t>
            </w:r>
            <w:r w:rsidR="001D0FCD" w:rsidRPr="00DF788D">
              <w:rPr>
                <w:rFonts w:ascii="Arial" w:eastAsia="Times New Roman" w:hAnsi="Arial" w:cs="Arial"/>
                <w:sz w:val="22"/>
                <w:szCs w:val="22"/>
              </w:rPr>
              <w:t>inibi</w:t>
            </w:r>
            <w:r w:rsidR="00FD4CBC" w:rsidRPr="00DF788D">
              <w:rPr>
                <w:rFonts w:ascii="Arial" w:eastAsia="Times New Roman" w:hAnsi="Arial" w:cs="Arial"/>
                <w:sz w:val="22"/>
                <w:szCs w:val="22"/>
              </w:rPr>
              <w:t>ção de</w:t>
            </w:r>
            <w:r w:rsidRPr="00DF788D">
              <w:rPr>
                <w:rFonts w:ascii="Arial" w:eastAsia="Times New Roman" w:hAnsi="Arial" w:cs="Arial"/>
                <w:sz w:val="22"/>
                <w:szCs w:val="22"/>
              </w:rPr>
              <w:t xml:space="preserve"> novos investimentos</w:t>
            </w:r>
            <w:r w:rsidR="00FD4CBC" w:rsidRPr="00DF788D">
              <w:rPr>
                <w:rFonts w:ascii="Arial" w:eastAsia="Times New Roman" w:hAnsi="Arial" w:cs="Arial"/>
                <w:sz w:val="22"/>
                <w:szCs w:val="22"/>
              </w:rPr>
              <w:t xml:space="preserve"> e</w:t>
            </w:r>
            <w:r w:rsidRPr="00DF788D">
              <w:rPr>
                <w:rFonts w:ascii="Arial" w:eastAsia="Times New Roman" w:hAnsi="Arial" w:cs="Arial"/>
                <w:sz w:val="22"/>
                <w:szCs w:val="22"/>
              </w:rPr>
              <w:t xml:space="preserve"> contribuindo para um cenário de insegurança</w:t>
            </w:r>
            <w:r w:rsidR="00FD4CBC" w:rsidRPr="00DF788D">
              <w:rPr>
                <w:rFonts w:ascii="Arial" w:eastAsia="Times New Roman" w:hAnsi="Arial" w:cs="Arial"/>
                <w:sz w:val="22"/>
                <w:szCs w:val="22"/>
              </w:rPr>
              <w:t xml:space="preserve"> regulatória</w:t>
            </w:r>
            <w:r w:rsidRPr="00DF788D">
              <w:rPr>
                <w:rFonts w:ascii="Arial" w:eastAsia="Times New Roman" w:hAnsi="Arial" w:cs="Arial"/>
                <w:sz w:val="22"/>
                <w:szCs w:val="22"/>
              </w:rPr>
              <w:t xml:space="preserve"> aos possíveis investidores</w:t>
            </w:r>
            <w:r w:rsidR="00FD4CBC" w:rsidRPr="00DF788D">
              <w:rPr>
                <w:rFonts w:ascii="Arial" w:eastAsia="Times New Roman" w:hAnsi="Arial" w:cs="Arial"/>
                <w:sz w:val="22"/>
                <w:szCs w:val="22"/>
              </w:rPr>
              <w:t xml:space="preserve"> e aos agentes regulados</w:t>
            </w:r>
            <w:r w:rsidR="008B048F">
              <w:rPr>
                <w:rFonts w:ascii="Arial" w:eastAsia="Times New Roman" w:hAnsi="Arial" w:cs="Arial"/>
                <w:sz w:val="22"/>
                <w:szCs w:val="22"/>
              </w:rPr>
              <w:t>.</w:t>
            </w:r>
            <w:r w:rsidR="00732705">
              <w:rPr>
                <w:rFonts w:ascii="Arial" w:eastAsia="Times New Roman" w:hAnsi="Arial" w:cs="Arial"/>
                <w:sz w:val="22"/>
                <w:szCs w:val="22"/>
              </w:rPr>
              <w:t xml:space="preserve"> Assim, o Sindigás não concorda com o texto proposto na minuta de Resolução e apresentará </w:t>
            </w:r>
            <w:r w:rsidR="004C51C8">
              <w:rPr>
                <w:rFonts w:ascii="Arial" w:eastAsia="Times New Roman" w:hAnsi="Arial" w:cs="Arial"/>
                <w:sz w:val="22"/>
                <w:szCs w:val="22"/>
              </w:rPr>
              <w:t>comentários em tópico abaixo.</w:t>
            </w:r>
          </w:p>
          <w:p w14:paraId="7242C380" w14:textId="77777777" w:rsidR="00DF788D" w:rsidRDefault="00DF788D" w:rsidP="00DF788D">
            <w:pPr>
              <w:pStyle w:val="PargrafodaLista"/>
              <w:jc w:val="both"/>
              <w:rPr>
                <w:rFonts w:ascii="Arial" w:eastAsia="Times New Roman" w:hAnsi="Arial" w:cs="Arial"/>
                <w:sz w:val="22"/>
                <w:szCs w:val="22"/>
              </w:rPr>
            </w:pPr>
          </w:p>
          <w:p w14:paraId="076CAAC2" w14:textId="468FD3D0" w:rsidR="00DF788D" w:rsidRPr="008B048F" w:rsidRDefault="00DF788D" w:rsidP="007259E2">
            <w:pPr>
              <w:pStyle w:val="PargrafodaLista"/>
              <w:numPr>
                <w:ilvl w:val="0"/>
                <w:numId w:val="3"/>
              </w:numPr>
              <w:jc w:val="both"/>
              <w:rPr>
                <w:rFonts w:ascii="Arial" w:eastAsia="Times New Roman" w:hAnsi="Arial" w:cs="Arial"/>
                <w:sz w:val="22"/>
                <w:szCs w:val="22"/>
              </w:rPr>
            </w:pPr>
            <w:r w:rsidRPr="008B048F">
              <w:rPr>
                <w:rFonts w:ascii="Arial" w:eastAsia="Times New Roman" w:hAnsi="Arial" w:cs="Arial"/>
                <w:sz w:val="22"/>
                <w:szCs w:val="22"/>
              </w:rPr>
              <w:t>Ainda, se mantido o inciso I,</w:t>
            </w:r>
            <w:r w:rsidR="00A8643E">
              <w:rPr>
                <w:rFonts w:ascii="Arial" w:eastAsia="Times New Roman" w:hAnsi="Arial" w:cs="Arial"/>
                <w:sz w:val="22"/>
                <w:szCs w:val="22"/>
              </w:rPr>
              <w:t xml:space="preserve"> torna-se </w:t>
            </w:r>
            <w:r w:rsidRPr="008B048F">
              <w:rPr>
                <w:rFonts w:ascii="Arial" w:eastAsia="Times New Roman" w:hAnsi="Arial" w:cs="Arial"/>
                <w:sz w:val="22"/>
                <w:szCs w:val="22"/>
              </w:rPr>
              <w:t xml:space="preserve">relevante compreender adequadamente o termo “macrorregião política” apontado </w:t>
            </w:r>
            <w:r w:rsidR="00A8643E">
              <w:rPr>
                <w:rFonts w:ascii="Arial" w:eastAsia="Times New Roman" w:hAnsi="Arial" w:cs="Arial"/>
                <w:sz w:val="22"/>
                <w:szCs w:val="22"/>
              </w:rPr>
              <w:t xml:space="preserve">no texto da minuta de Resolução proposta </w:t>
            </w:r>
            <w:r w:rsidRPr="008B048F">
              <w:rPr>
                <w:rFonts w:ascii="Arial" w:eastAsia="Times New Roman" w:hAnsi="Arial" w:cs="Arial"/>
                <w:sz w:val="22"/>
                <w:szCs w:val="22"/>
              </w:rPr>
              <w:t>pela ANP</w:t>
            </w:r>
            <w:r w:rsidR="00A8643E">
              <w:rPr>
                <w:rFonts w:ascii="Arial" w:eastAsia="Times New Roman" w:hAnsi="Arial" w:cs="Arial"/>
                <w:sz w:val="22"/>
                <w:szCs w:val="22"/>
              </w:rPr>
              <w:t>. Como a Agência adota</w:t>
            </w:r>
            <w:r w:rsidRPr="008B048F">
              <w:rPr>
                <w:rFonts w:ascii="Arial" w:eastAsia="Times New Roman" w:hAnsi="Arial" w:cs="Arial"/>
                <w:sz w:val="22"/>
                <w:szCs w:val="22"/>
              </w:rPr>
              <w:t xml:space="preserve"> definição subjetiva do IBGE, podendo</w:t>
            </w:r>
            <w:r w:rsidR="00A8643E">
              <w:rPr>
                <w:rFonts w:ascii="Arial" w:eastAsia="Times New Roman" w:hAnsi="Arial" w:cs="Arial"/>
                <w:sz w:val="22"/>
                <w:szCs w:val="22"/>
              </w:rPr>
              <w:t>-se interpretar que trata</w:t>
            </w:r>
            <w:r w:rsidRPr="008B048F">
              <w:rPr>
                <w:rFonts w:ascii="Arial" w:eastAsia="Times New Roman" w:hAnsi="Arial" w:cs="Arial"/>
                <w:sz w:val="22"/>
                <w:szCs w:val="22"/>
              </w:rPr>
              <w:t xml:space="preserve"> </w:t>
            </w:r>
            <w:r w:rsidR="00A8643E">
              <w:rPr>
                <w:rFonts w:ascii="Arial" w:eastAsia="Times New Roman" w:hAnsi="Arial" w:cs="Arial"/>
                <w:sz w:val="22"/>
                <w:szCs w:val="22"/>
              </w:rPr>
              <w:t>d</w:t>
            </w:r>
            <w:r w:rsidRPr="008B048F">
              <w:rPr>
                <w:rFonts w:ascii="Arial" w:eastAsia="Times New Roman" w:hAnsi="Arial" w:cs="Arial"/>
                <w:sz w:val="22"/>
                <w:szCs w:val="22"/>
              </w:rPr>
              <w:t>as 05 regiões geopolíticas brasileiras – Sul, Sudeste, Centro-Oeste, Norte e Nordeste</w:t>
            </w:r>
            <w:r w:rsidR="00A8643E">
              <w:rPr>
                <w:rFonts w:ascii="Arial" w:eastAsia="Times New Roman" w:hAnsi="Arial" w:cs="Arial"/>
                <w:sz w:val="22"/>
                <w:szCs w:val="22"/>
              </w:rPr>
              <w:t xml:space="preserve">, </w:t>
            </w:r>
            <w:r w:rsidRPr="008B048F">
              <w:rPr>
                <w:rFonts w:ascii="Arial" w:eastAsia="Times New Roman" w:hAnsi="Arial" w:cs="Arial"/>
                <w:sz w:val="22"/>
                <w:szCs w:val="22"/>
              </w:rPr>
              <w:t xml:space="preserve">cumpre frisar que tal conceituação </w:t>
            </w:r>
            <w:r w:rsidR="00A8643E">
              <w:rPr>
                <w:rFonts w:ascii="Arial" w:eastAsia="Times New Roman" w:hAnsi="Arial" w:cs="Arial"/>
                <w:sz w:val="22"/>
                <w:szCs w:val="22"/>
              </w:rPr>
              <w:t xml:space="preserve">de mercado relevante na dimensão geográfica se quer </w:t>
            </w:r>
            <w:r w:rsidRPr="008B048F">
              <w:rPr>
                <w:rFonts w:ascii="Arial" w:eastAsia="Times New Roman" w:hAnsi="Arial" w:cs="Arial"/>
                <w:sz w:val="22"/>
                <w:szCs w:val="22"/>
              </w:rPr>
              <w:t xml:space="preserve">é </w:t>
            </w:r>
            <w:r w:rsidR="00A8643E">
              <w:rPr>
                <w:rFonts w:ascii="Arial" w:eastAsia="Times New Roman" w:hAnsi="Arial" w:cs="Arial"/>
                <w:sz w:val="22"/>
                <w:szCs w:val="22"/>
              </w:rPr>
              <w:t>àquela</w:t>
            </w:r>
            <w:r w:rsidRPr="008B048F">
              <w:rPr>
                <w:rFonts w:ascii="Arial" w:eastAsia="Times New Roman" w:hAnsi="Arial" w:cs="Arial"/>
                <w:sz w:val="22"/>
                <w:szCs w:val="22"/>
              </w:rPr>
              <w:t xml:space="preserve"> adotada pelo Cade</w:t>
            </w:r>
            <w:r w:rsidR="00A8643E">
              <w:rPr>
                <w:rFonts w:ascii="Arial" w:eastAsia="Times New Roman" w:hAnsi="Arial" w:cs="Arial"/>
                <w:sz w:val="22"/>
                <w:szCs w:val="22"/>
              </w:rPr>
              <w:t xml:space="preserve">. Assim, </w:t>
            </w:r>
            <w:r w:rsidRPr="008B048F">
              <w:rPr>
                <w:rFonts w:ascii="Arial" w:eastAsia="Times New Roman" w:hAnsi="Arial" w:cs="Arial"/>
                <w:sz w:val="22"/>
                <w:szCs w:val="22"/>
              </w:rPr>
              <w:t>o Sindigás entende que a metodologia escolhida pela ANP resta completamente inadequada</w:t>
            </w:r>
            <w:r w:rsidR="00A8643E">
              <w:rPr>
                <w:rFonts w:ascii="Arial" w:eastAsia="Times New Roman" w:hAnsi="Arial" w:cs="Arial"/>
                <w:sz w:val="22"/>
                <w:szCs w:val="22"/>
              </w:rPr>
              <w:t xml:space="preserve"> e merece ser revista. Alerta-se, ainda, que a definição de mercado relevante na dimensão geográfica a partir do conceito estatístico de </w:t>
            </w:r>
            <w:r w:rsidR="00A8643E" w:rsidRPr="008B048F">
              <w:rPr>
                <w:rFonts w:ascii="Arial" w:eastAsia="Times New Roman" w:hAnsi="Arial" w:cs="Arial"/>
                <w:sz w:val="22"/>
                <w:szCs w:val="22"/>
              </w:rPr>
              <w:t>“macrorregião política”</w:t>
            </w:r>
            <w:r w:rsidR="00A8643E">
              <w:rPr>
                <w:rFonts w:ascii="Arial" w:eastAsia="Times New Roman" w:hAnsi="Arial" w:cs="Arial"/>
                <w:sz w:val="22"/>
                <w:szCs w:val="22"/>
              </w:rPr>
              <w:t xml:space="preserve">, está em descompasso com os critérios do Cade, </w:t>
            </w:r>
            <w:r w:rsidR="00A8643E" w:rsidRPr="008B048F">
              <w:rPr>
                <w:rFonts w:ascii="Arial" w:eastAsia="Times New Roman" w:hAnsi="Arial" w:cs="Arial"/>
                <w:sz w:val="22"/>
                <w:szCs w:val="22"/>
              </w:rPr>
              <w:t>instaura</w:t>
            </w:r>
            <w:r w:rsidR="00A8643E">
              <w:rPr>
                <w:rFonts w:ascii="Arial" w:eastAsia="Times New Roman" w:hAnsi="Arial" w:cs="Arial"/>
                <w:sz w:val="22"/>
                <w:szCs w:val="22"/>
              </w:rPr>
              <w:t xml:space="preserve">ndo </w:t>
            </w:r>
            <w:r w:rsidR="00A8643E" w:rsidRPr="008B048F">
              <w:rPr>
                <w:rFonts w:ascii="Arial" w:eastAsia="Times New Roman" w:hAnsi="Arial" w:cs="Arial"/>
                <w:sz w:val="22"/>
                <w:szCs w:val="22"/>
              </w:rPr>
              <w:t>insegurança regulatória para todos os agentes regulados</w:t>
            </w:r>
            <w:r w:rsidR="00A8643E">
              <w:rPr>
                <w:rFonts w:ascii="Arial" w:eastAsia="Times New Roman" w:hAnsi="Arial" w:cs="Arial"/>
                <w:sz w:val="22"/>
                <w:szCs w:val="22"/>
              </w:rPr>
              <w:t xml:space="preserve"> e </w:t>
            </w:r>
            <w:r w:rsidR="00A8643E" w:rsidRPr="008B048F">
              <w:rPr>
                <w:rFonts w:ascii="Arial" w:eastAsia="Times New Roman" w:hAnsi="Arial" w:cs="Arial"/>
                <w:sz w:val="22"/>
                <w:szCs w:val="22"/>
              </w:rPr>
              <w:t xml:space="preserve">com </w:t>
            </w:r>
            <w:r w:rsidR="00A8643E">
              <w:rPr>
                <w:rFonts w:ascii="Arial" w:eastAsia="Times New Roman" w:hAnsi="Arial" w:cs="Arial"/>
                <w:sz w:val="22"/>
                <w:szCs w:val="22"/>
              </w:rPr>
              <w:t xml:space="preserve">potencial de danos </w:t>
            </w:r>
            <w:r w:rsidR="00A8643E" w:rsidRPr="008B048F">
              <w:rPr>
                <w:rFonts w:ascii="Arial" w:eastAsia="Times New Roman" w:hAnsi="Arial" w:cs="Arial"/>
                <w:sz w:val="22"/>
                <w:szCs w:val="22"/>
              </w:rPr>
              <w:t>incalculáveis</w:t>
            </w:r>
            <w:r w:rsidR="00A8643E">
              <w:rPr>
                <w:rFonts w:ascii="Arial" w:eastAsia="Times New Roman" w:hAnsi="Arial" w:cs="Arial"/>
                <w:sz w:val="22"/>
                <w:szCs w:val="22"/>
              </w:rPr>
              <w:t xml:space="preserve"> ao mercado e à sociedade.</w:t>
            </w:r>
          </w:p>
          <w:p w14:paraId="7E03F876" w14:textId="77777777" w:rsidR="00AD3095" w:rsidRPr="00DF788D" w:rsidRDefault="00AD3095" w:rsidP="00CA0F82">
            <w:pPr>
              <w:pStyle w:val="PargrafodaLista"/>
              <w:ind w:right="145"/>
              <w:jc w:val="both"/>
              <w:rPr>
                <w:rFonts w:ascii="Arial" w:eastAsia="Times New Roman" w:hAnsi="Arial" w:cs="Arial"/>
                <w:sz w:val="22"/>
                <w:szCs w:val="22"/>
              </w:rPr>
            </w:pPr>
          </w:p>
          <w:p w14:paraId="10B39B2E" w14:textId="27D1B1AC" w:rsidR="00C77253" w:rsidRPr="00F3714C" w:rsidRDefault="004C51C8" w:rsidP="00F3714C">
            <w:pPr>
              <w:pStyle w:val="PargrafodaLista"/>
              <w:numPr>
                <w:ilvl w:val="0"/>
                <w:numId w:val="3"/>
              </w:numPr>
              <w:ind w:right="145"/>
              <w:jc w:val="both"/>
              <w:rPr>
                <w:rFonts w:ascii="Arial" w:eastAsia="Arial Unicode MS" w:hAnsi="Arial" w:cs="Arial"/>
                <w:i/>
                <w:sz w:val="22"/>
                <w:szCs w:val="22"/>
              </w:rPr>
            </w:pPr>
            <w:r>
              <w:rPr>
                <w:rFonts w:ascii="Arial" w:eastAsia="Times New Roman" w:hAnsi="Arial" w:cs="Arial"/>
                <w:sz w:val="22"/>
                <w:szCs w:val="22"/>
              </w:rPr>
              <w:t>R</w:t>
            </w:r>
            <w:r w:rsidR="00FD4CBC" w:rsidRPr="00DF788D">
              <w:rPr>
                <w:rFonts w:ascii="Arial" w:eastAsia="Times New Roman" w:hAnsi="Arial" w:cs="Arial"/>
                <w:sz w:val="22"/>
                <w:szCs w:val="22"/>
              </w:rPr>
              <w:t>elevante pontuar</w:t>
            </w:r>
            <w:r>
              <w:rPr>
                <w:rFonts w:ascii="Arial" w:eastAsia="Times New Roman" w:hAnsi="Arial" w:cs="Arial"/>
                <w:sz w:val="22"/>
                <w:szCs w:val="22"/>
              </w:rPr>
              <w:t xml:space="preserve"> sobre:</w:t>
            </w:r>
            <w:r w:rsidR="0027182E" w:rsidRPr="00DF788D">
              <w:rPr>
                <w:rFonts w:ascii="Arial" w:eastAsia="Times New Roman" w:hAnsi="Arial" w:cs="Arial"/>
                <w:sz w:val="22"/>
                <w:szCs w:val="22"/>
              </w:rPr>
              <w:t xml:space="preserve"> </w:t>
            </w:r>
            <w:r w:rsidR="0027182E" w:rsidRPr="00DF788D">
              <w:rPr>
                <w:rFonts w:ascii="Arial" w:eastAsia="Times New Roman" w:hAnsi="Arial" w:cs="Arial"/>
                <w:i/>
                <w:sz w:val="22"/>
                <w:szCs w:val="22"/>
              </w:rPr>
              <w:t>a criação de um novo e indefinido parâmetro de homologação prévia de contratos</w:t>
            </w:r>
            <w:r w:rsidR="0027182E" w:rsidRPr="00DF788D">
              <w:rPr>
                <w:rFonts w:ascii="Arial" w:eastAsia="Times New Roman" w:hAnsi="Arial" w:cs="Arial"/>
                <w:sz w:val="22"/>
                <w:szCs w:val="22"/>
              </w:rPr>
              <w:t xml:space="preserve"> com “ênfase na promoção da livre concorrência”</w:t>
            </w:r>
            <w:r>
              <w:rPr>
                <w:rFonts w:ascii="Arial" w:eastAsia="Times New Roman" w:hAnsi="Arial" w:cs="Arial"/>
                <w:sz w:val="22"/>
                <w:szCs w:val="22"/>
              </w:rPr>
              <w:t xml:space="preserve">. </w:t>
            </w:r>
            <w:r w:rsidR="00A8643E">
              <w:rPr>
                <w:rFonts w:ascii="Arial" w:eastAsia="Times New Roman" w:hAnsi="Arial" w:cs="Arial"/>
                <w:sz w:val="22"/>
                <w:szCs w:val="22"/>
              </w:rPr>
              <w:t>Considerando que os contratos já são homologados pela ANP, o</w:t>
            </w:r>
            <w:r>
              <w:rPr>
                <w:rFonts w:ascii="Arial" w:eastAsia="Times New Roman" w:hAnsi="Arial" w:cs="Arial"/>
                <w:sz w:val="22"/>
                <w:szCs w:val="22"/>
              </w:rPr>
              <w:t xml:space="preserve"> Sindigás </w:t>
            </w:r>
            <w:r w:rsidR="00F3714C">
              <w:rPr>
                <w:rFonts w:ascii="Arial" w:eastAsia="Times New Roman" w:hAnsi="Arial" w:cs="Arial"/>
                <w:sz w:val="22"/>
                <w:szCs w:val="22"/>
              </w:rPr>
              <w:t xml:space="preserve">defende posição exposta </w:t>
            </w:r>
            <w:r>
              <w:rPr>
                <w:rFonts w:ascii="Arial" w:eastAsia="Times New Roman" w:hAnsi="Arial" w:cs="Arial"/>
                <w:sz w:val="22"/>
                <w:szCs w:val="22"/>
              </w:rPr>
              <w:t xml:space="preserve">no </w:t>
            </w:r>
            <w:r w:rsidRPr="004C51C8">
              <w:rPr>
                <w:rFonts w:ascii="Arial" w:eastAsia="Times New Roman" w:hAnsi="Arial" w:cs="Arial"/>
                <w:i/>
                <w:sz w:val="22"/>
                <w:szCs w:val="22"/>
              </w:rPr>
              <w:t xml:space="preserve">Legal Opinion </w:t>
            </w:r>
            <w:r>
              <w:rPr>
                <w:rFonts w:ascii="Arial" w:eastAsia="Times New Roman" w:hAnsi="Arial" w:cs="Arial"/>
                <w:sz w:val="22"/>
                <w:szCs w:val="22"/>
              </w:rPr>
              <w:t>(anexo II),</w:t>
            </w:r>
            <w:r w:rsidR="00F3714C">
              <w:rPr>
                <w:rFonts w:ascii="Arial" w:eastAsia="Times New Roman" w:hAnsi="Arial" w:cs="Arial"/>
                <w:sz w:val="22"/>
                <w:szCs w:val="22"/>
              </w:rPr>
              <w:t xml:space="preserve"> </w:t>
            </w:r>
            <w:r w:rsidR="00F3714C">
              <w:rPr>
                <w:rFonts w:ascii="Arial" w:eastAsia="Times New Roman" w:hAnsi="Arial" w:cs="Arial"/>
                <w:sz w:val="22"/>
                <w:szCs w:val="22"/>
              </w:rPr>
              <w:lastRenderedPageBreak/>
              <w:t xml:space="preserve">tratando que </w:t>
            </w:r>
            <w:r w:rsidR="00F3714C" w:rsidRPr="00F3714C">
              <w:rPr>
                <w:rFonts w:ascii="Arial" w:eastAsia="Times New Roman" w:hAnsi="Arial" w:cs="Arial"/>
                <w:i/>
                <w:sz w:val="22"/>
                <w:szCs w:val="22"/>
              </w:rPr>
              <w:t>“</w:t>
            </w:r>
            <w:r w:rsidRPr="00F3714C">
              <w:rPr>
                <w:rFonts w:ascii="Arial" w:eastAsia="Times New Roman" w:hAnsi="Arial" w:cs="Arial"/>
                <w:i/>
                <w:sz w:val="22"/>
                <w:szCs w:val="22"/>
              </w:rPr>
              <w:t>a criação de uma homologação</w:t>
            </w:r>
            <w:r>
              <w:rPr>
                <w:rFonts w:ascii="Arial" w:eastAsia="Times New Roman" w:hAnsi="Arial" w:cs="Arial"/>
                <w:sz w:val="22"/>
                <w:szCs w:val="22"/>
              </w:rPr>
              <w:t xml:space="preserve"> prévia</w:t>
            </w:r>
            <w:r w:rsidR="0027182E" w:rsidRPr="00DF788D">
              <w:rPr>
                <w:rFonts w:ascii="Arial" w:eastAsia="Times New Roman" w:hAnsi="Arial" w:cs="Arial"/>
                <w:sz w:val="22"/>
                <w:szCs w:val="22"/>
              </w:rPr>
              <w:t xml:space="preserve"> </w:t>
            </w:r>
            <w:r w:rsidR="0027182E" w:rsidRPr="00DF788D">
              <w:rPr>
                <w:rFonts w:ascii="Arial" w:eastAsia="Times New Roman" w:hAnsi="Arial" w:cs="Arial"/>
                <w:i/>
                <w:sz w:val="22"/>
                <w:szCs w:val="22"/>
              </w:rPr>
              <w:t>seria uma infração ao princípio da legalidade e separação dos poderes da minuta, uma vez que o artigo 8º da Lei nº 9.478/1997 não lista, entre as competências da ANP, o poder de examinar previamente contratos sob a ótica da defesa da concorrência</w:t>
            </w:r>
            <w:r w:rsidR="00F3714C">
              <w:rPr>
                <w:rFonts w:ascii="Arial" w:eastAsia="Times New Roman" w:hAnsi="Arial" w:cs="Arial"/>
                <w:i/>
                <w:sz w:val="22"/>
                <w:szCs w:val="22"/>
              </w:rPr>
              <w:t>”</w:t>
            </w:r>
            <w:r w:rsidR="0027182E" w:rsidRPr="00DF788D">
              <w:rPr>
                <w:rStyle w:val="Refdenotaderodap"/>
                <w:rFonts w:ascii="Arial" w:eastAsia="Times New Roman" w:hAnsi="Arial" w:cs="Arial"/>
                <w:i/>
                <w:sz w:val="22"/>
                <w:szCs w:val="22"/>
              </w:rPr>
              <w:footnoteReference w:id="3"/>
            </w:r>
            <w:r w:rsidR="0027182E" w:rsidRPr="00DF788D">
              <w:rPr>
                <w:rFonts w:ascii="Arial" w:eastAsia="Times New Roman" w:hAnsi="Arial" w:cs="Arial"/>
                <w:i/>
                <w:sz w:val="22"/>
                <w:szCs w:val="22"/>
              </w:rPr>
              <w:t>.</w:t>
            </w:r>
            <w:r w:rsidR="005B3F66" w:rsidRPr="00DF788D">
              <w:rPr>
                <w:rFonts w:ascii="Arial" w:eastAsia="Times New Roman" w:hAnsi="Arial" w:cs="Arial"/>
                <w:sz w:val="22"/>
                <w:szCs w:val="22"/>
              </w:rPr>
              <w:t xml:space="preserve"> </w:t>
            </w:r>
            <w:r w:rsidR="00F3714C">
              <w:rPr>
                <w:rFonts w:ascii="Arial" w:eastAsia="Times New Roman" w:hAnsi="Arial" w:cs="Arial"/>
                <w:sz w:val="22"/>
                <w:szCs w:val="22"/>
              </w:rPr>
              <w:t>A</w:t>
            </w:r>
            <w:r w:rsidR="0027182E" w:rsidRPr="00DF788D">
              <w:rPr>
                <w:rFonts w:ascii="Arial" w:hAnsi="Arial" w:cs="Arial"/>
                <w:sz w:val="22"/>
                <w:szCs w:val="22"/>
              </w:rPr>
              <w:t>ssim abertura de nov</w:t>
            </w:r>
            <w:r w:rsidR="00F3714C">
              <w:rPr>
                <w:rFonts w:ascii="Arial" w:hAnsi="Arial" w:cs="Arial"/>
                <w:sz w:val="22"/>
                <w:szCs w:val="22"/>
              </w:rPr>
              <w:t>os requisitos para homologação</w:t>
            </w:r>
            <w:r w:rsidR="001D0FCD" w:rsidRPr="00DF788D">
              <w:rPr>
                <w:rFonts w:ascii="Arial" w:hAnsi="Arial" w:cs="Arial"/>
                <w:sz w:val="22"/>
                <w:szCs w:val="22"/>
              </w:rPr>
              <w:t xml:space="preserve"> deve</w:t>
            </w:r>
            <w:r w:rsidR="00F3714C">
              <w:rPr>
                <w:rFonts w:ascii="Arial" w:hAnsi="Arial" w:cs="Arial"/>
                <w:sz w:val="22"/>
                <w:szCs w:val="22"/>
              </w:rPr>
              <w:t>m</w:t>
            </w:r>
            <w:r w:rsidR="001D0FCD" w:rsidRPr="00DF788D">
              <w:rPr>
                <w:rFonts w:ascii="Arial" w:hAnsi="Arial" w:cs="Arial"/>
                <w:sz w:val="22"/>
                <w:szCs w:val="22"/>
              </w:rPr>
              <w:t xml:space="preserve"> ser avaliad</w:t>
            </w:r>
            <w:r w:rsidR="00F3714C">
              <w:rPr>
                <w:rFonts w:ascii="Arial" w:hAnsi="Arial" w:cs="Arial"/>
                <w:sz w:val="22"/>
                <w:szCs w:val="22"/>
              </w:rPr>
              <w:t>os</w:t>
            </w:r>
            <w:r w:rsidR="001D0FCD" w:rsidRPr="00DF788D">
              <w:rPr>
                <w:rFonts w:ascii="Arial" w:hAnsi="Arial" w:cs="Arial"/>
                <w:sz w:val="22"/>
                <w:szCs w:val="22"/>
              </w:rPr>
              <w:t xml:space="preserve"> com </w:t>
            </w:r>
            <w:r w:rsidR="00326F78" w:rsidRPr="00DF788D">
              <w:rPr>
                <w:rFonts w:ascii="Arial" w:hAnsi="Arial" w:cs="Arial"/>
                <w:sz w:val="22"/>
                <w:szCs w:val="22"/>
              </w:rPr>
              <w:t xml:space="preserve">razoabilidade e precaução para evitar alto grau de intervenção </w:t>
            </w:r>
            <w:r w:rsidR="00F3714C">
              <w:rPr>
                <w:rFonts w:ascii="Arial" w:hAnsi="Arial" w:cs="Arial"/>
                <w:sz w:val="22"/>
                <w:szCs w:val="22"/>
              </w:rPr>
              <w:t>sem a adequada motivação</w:t>
            </w:r>
            <w:r w:rsidR="00326F78" w:rsidRPr="00F3714C">
              <w:rPr>
                <w:rFonts w:ascii="Arial" w:hAnsi="Arial" w:cs="Arial"/>
                <w:sz w:val="22"/>
                <w:szCs w:val="22"/>
              </w:rPr>
              <w:t>, vez que</w:t>
            </w:r>
            <w:r w:rsidR="00F3714C">
              <w:rPr>
                <w:rFonts w:ascii="Arial" w:hAnsi="Arial" w:cs="Arial"/>
                <w:sz w:val="22"/>
                <w:szCs w:val="22"/>
              </w:rPr>
              <w:t xml:space="preserve"> já</w:t>
            </w:r>
            <w:r w:rsidR="00326F78" w:rsidRPr="00F3714C">
              <w:rPr>
                <w:rFonts w:ascii="Arial" w:hAnsi="Arial" w:cs="Arial"/>
                <w:sz w:val="22"/>
                <w:szCs w:val="22"/>
              </w:rPr>
              <w:t xml:space="preserve"> existem mecanismos de mediação de conflitos que podem ser aprimorados pela ANP</w:t>
            </w:r>
            <w:r w:rsidR="005B3F66" w:rsidRPr="00F3714C">
              <w:rPr>
                <w:rFonts w:ascii="Arial" w:hAnsi="Arial" w:cs="Arial"/>
                <w:sz w:val="22"/>
                <w:szCs w:val="22"/>
              </w:rPr>
              <w:t>,</w:t>
            </w:r>
            <w:r w:rsidR="00326F78" w:rsidRPr="00F3714C">
              <w:rPr>
                <w:rFonts w:ascii="Arial" w:hAnsi="Arial" w:cs="Arial"/>
                <w:sz w:val="22"/>
                <w:szCs w:val="22"/>
              </w:rPr>
              <w:t xml:space="preserve"> sem </w:t>
            </w:r>
            <w:r w:rsidR="00F3714C">
              <w:rPr>
                <w:rFonts w:ascii="Arial" w:hAnsi="Arial" w:cs="Arial"/>
                <w:sz w:val="22"/>
                <w:szCs w:val="22"/>
              </w:rPr>
              <w:t>elevação do nível de intervenção</w:t>
            </w:r>
            <w:r w:rsidR="00326F78" w:rsidRPr="00F3714C">
              <w:rPr>
                <w:rFonts w:ascii="Arial" w:hAnsi="Arial" w:cs="Arial"/>
                <w:sz w:val="22"/>
                <w:szCs w:val="22"/>
              </w:rPr>
              <w:t>.</w:t>
            </w:r>
          </w:p>
          <w:p w14:paraId="6FEBBD7E" w14:textId="77777777" w:rsidR="004C51C8" w:rsidRPr="004C51C8" w:rsidRDefault="004C51C8" w:rsidP="004C51C8">
            <w:pPr>
              <w:pStyle w:val="PargrafodaLista"/>
              <w:rPr>
                <w:rFonts w:ascii="Arial" w:eastAsia="Arial Unicode MS" w:hAnsi="Arial" w:cs="Arial"/>
                <w:i/>
                <w:sz w:val="22"/>
                <w:szCs w:val="22"/>
              </w:rPr>
            </w:pPr>
          </w:p>
          <w:p w14:paraId="53B659C2" w14:textId="77777777" w:rsidR="004C51C8" w:rsidRDefault="004C51C8" w:rsidP="004C51C8">
            <w:pPr>
              <w:pStyle w:val="PargrafodaLista"/>
              <w:numPr>
                <w:ilvl w:val="0"/>
                <w:numId w:val="3"/>
              </w:numPr>
              <w:ind w:right="145"/>
              <w:jc w:val="both"/>
              <w:rPr>
                <w:rFonts w:ascii="Arial" w:eastAsia="Arial Unicode MS" w:hAnsi="Arial" w:cs="Arial"/>
                <w:i/>
                <w:sz w:val="22"/>
                <w:szCs w:val="22"/>
              </w:rPr>
            </w:pPr>
            <w:r w:rsidRPr="004C51C8">
              <w:rPr>
                <w:rFonts w:ascii="Arial" w:eastAsia="Arial Unicode MS" w:hAnsi="Arial" w:cs="Arial"/>
                <w:sz w:val="22"/>
                <w:szCs w:val="22"/>
              </w:rPr>
              <w:t xml:space="preserve">Por fim, concordamos com a exposição do jurista Eric Jasper (anexo II), no seguinte sentido: </w:t>
            </w:r>
            <w:r w:rsidRPr="004C51C8">
              <w:rPr>
                <w:rFonts w:ascii="Arial" w:eastAsia="Arial Unicode MS" w:hAnsi="Arial" w:cs="Arial"/>
                <w:i/>
                <w:sz w:val="22"/>
                <w:szCs w:val="22"/>
              </w:rPr>
              <w:t>O mecanismo de solução de conflitos está disposto no artigo 20 da Lei n. 9.478/1997 e no artigo 19 do Regimento Interno da ANP. De acordo com esses dispositivos, a ANP tem o poder-dever de “dirimir as divergências entre os agentes econômicos e entres estes e os consumidores” e “resolver conflitos decorrentes da ação de regulação, contratação e fiscalização”. Logo, diante de caso concreto em que um agente com poder de mercado e outro ente da cadeia produtiva (com ou sem poder de mercado) estejam em conflito, a ANP tem os poderes e a consequente obrigação de atuar para a solução regulatória do problema. Bastando apenas à agência reguladora aprimorar, em âmbito infralegal, os seus mecanismos de</w:t>
            </w:r>
            <w:r>
              <w:rPr>
                <w:rFonts w:ascii="Arial" w:eastAsia="Arial Unicode MS" w:hAnsi="Arial" w:cs="Arial"/>
                <w:i/>
                <w:sz w:val="22"/>
                <w:szCs w:val="22"/>
              </w:rPr>
              <w:t xml:space="preserve"> </w:t>
            </w:r>
            <w:r w:rsidRPr="004C51C8">
              <w:rPr>
                <w:rFonts w:ascii="Arial" w:eastAsia="Arial Unicode MS" w:hAnsi="Arial" w:cs="Arial"/>
                <w:i/>
                <w:sz w:val="22"/>
                <w:szCs w:val="22"/>
              </w:rPr>
              <w:t>arbitragem e mediação.</w:t>
            </w:r>
          </w:p>
          <w:p w14:paraId="649829C9" w14:textId="7425F72A" w:rsidR="004C51C8" w:rsidRPr="004C51C8" w:rsidRDefault="004C51C8" w:rsidP="004C51C8">
            <w:pPr>
              <w:pStyle w:val="PargrafodaLista"/>
              <w:ind w:right="145"/>
              <w:jc w:val="both"/>
              <w:rPr>
                <w:rFonts w:ascii="Arial" w:eastAsia="Arial Unicode MS" w:hAnsi="Arial" w:cs="Arial"/>
                <w:i/>
                <w:sz w:val="22"/>
                <w:szCs w:val="22"/>
              </w:rPr>
            </w:pPr>
            <w:r w:rsidRPr="004C51C8">
              <w:rPr>
                <w:rFonts w:ascii="Arial" w:eastAsia="Arial Unicode MS" w:hAnsi="Arial" w:cs="Arial"/>
                <w:i/>
                <w:sz w:val="22"/>
                <w:szCs w:val="22"/>
              </w:rPr>
              <w:t>Caso o conflito contenha elementos que fogem à competência da ANP</w:t>
            </w:r>
            <w:r>
              <w:rPr>
                <w:rFonts w:ascii="Arial" w:eastAsia="Arial Unicode MS" w:hAnsi="Arial" w:cs="Arial"/>
                <w:i/>
                <w:sz w:val="22"/>
                <w:szCs w:val="22"/>
              </w:rPr>
              <w:t xml:space="preserve"> </w:t>
            </w:r>
            <w:r w:rsidRPr="004C51C8">
              <w:rPr>
                <w:rFonts w:ascii="Arial" w:eastAsia="Arial Unicode MS" w:hAnsi="Arial" w:cs="Arial"/>
                <w:i/>
                <w:sz w:val="22"/>
                <w:szCs w:val="22"/>
              </w:rPr>
              <w:t>(i.e., análise de condutas anticompetitivas, inclusive com relação a preços de</w:t>
            </w:r>
            <w:r>
              <w:rPr>
                <w:rFonts w:ascii="Arial" w:eastAsia="Arial Unicode MS" w:hAnsi="Arial" w:cs="Arial"/>
                <w:i/>
                <w:sz w:val="22"/>
                <w:szCs w:val="22"/>
              </w:rPr>
              <w:t xml:space="preserve"> </w:t>
            </w:r>
            <w:r w:rsidRPr="004C51C8">
              <w:rPr>
                <w:rFonts w:ascii="Arial" w:eastAsia="Arial Unicode MS" w:hAnsi="Arial" w:cs="Arial"/>
                <w:i/>
                <w:sz w:val="22"/>
                <w:szCs w:val="22"/>
              </w:rPr>
              <w:t>derivados de petróleo), a Lei n. 9.478/1997 também determina a forma de ação da</w:t>
            </w:r>
            <w:r>
              <w:rPr>
                <w:rFonts w:ascii="Arial" w:eastAsia="Arial Unicode MS" w:hAnsi="Arial" w:cs="Arial"/>
                <w:i/>
                <w:sz w:val="22"/>
                <w:szCs w:val="22"/>
              </w:rPr>
              <w:t xml:space="preserve"> </w:t>
            </w:r>
            <w:r w:rsidRPr="004C51C8">
              <w:rPr>
                <w:rFonts w:ascii="Arial" w:eastAsia="Arial Unicode MS" w:hAnsi="Arial" w:cs="Arial"/>
                <w:i/>
                <w:sz w:val="22"/>
                <w:szCs w:val="22"/>
              </w:rPr>
              <w:t>ANP. De acordo com o artigo 10 da referida lei, “[q]uando, no exercício de suas</w:t>
            </w:r>
            <w:r>
              <w:rPr>
                <w:rFonts w:ascii="Arial" w:eastAsia="Arial Unicode MS" w:hAnsi="Arial" w:cs="Arial"/>
                <w:i/>
                <w:sz w:val="22"/>
                <w:szCs w:val="22"/>
              </w:rPr>
              <w:t xml:space="preserve"> </w:t>
            </w:r>
            <w:r w:rsidRPr="004C51C8">
              <w:rPr>
                <w:rFonts w:ascii="Arial" w:eastAsia="Arial Unicode MS" w:hAnsi="Arial" w:cs="Arial"/>
                <w:i/>
                <w:sz w:val="22"/>
                <w:szCs w:val="22"/>
              </w:rPr>
              <w:t>atribuições, a ANP tomar conhecimento de fato que possa configurar indício de</w:t>
            </w:r>
            <w:r>
              <w:rPr>
                <w:rFonts w:ascii="Arial" w:eastAsia="Arial Unicode MS" w:hAnsi="Arial" w:cs="Arial"/>
                <w:i/>
                <w:sz w:val="22"/>
                <w:szCs w:val="22"/>
              </w:rPr>
              <w:t xml:space="preserve"> </w:t>
            </w:r>
            <w:r w:rsidRPr="004C51C8">
              <w:rPr>
                <w:rFonts w:ascii="Arial" w:eastAsia="Arial Unicode MS" w:hAnsi="Arial" w:cs="Arial"/>
                <w:i/>
                <w:sz w:val="22"/>
                <w:szCs w:val="22"/>
              </w:rPr>
              <w:t>infração da ordem econômica, deverá comunicá-lo imediatamente ao Conselho</w:t>
            </w:r>
            <w:r>
              <w:rPr>
                <w:rFonts w:ascii="Arial" w:eastAsia="Arial Unicode MS" w:hAnsi="Arial" w:cs="Arial"/>
                <w:i/>
                <w:sz w:val="22"/>
                <w:szCs w:val="22"/>
              </w:rPr>
              <w:t xml:space="preserve"> </w:t>
            </w:r>
            <w:r w:rsidRPr="004C51C8">
              <w:rPr>
                <w:rFonts w:ascii="Arial" w:eastAsia="Arial Unicode MS" w:hAnsi="Arial" w:cs="Arial"/>
                <w:i/>
                <w:sz w:val="22"/>
                <w:szCs w:val="22"/>
              </w:rPr>
              <w:t>Administrativo de Defesa Econômica [...] para que estes adotem as providências</w:t>
            </w:r>
            <w:r>
              <w:rPr>
                <w:rFonts w:ascii="Arial" w:eastAsia="Arial Unicode MS" w:hAnsi="Arial" w:cs="Arial"/>
                <w:i/>
                <w:sz w:val="22"/>
                <w:szCs w:val="22"/>
              </w:rPr>
              <w:t xml:space="preserve"> </w:t>
            </w:r>
            <w:r w:rsidRPr="004C51C8">
              <w:rPr>
                <w:rFonts w:ascii="Arial" w:eastAsia="Arial Unicode MS" w:hAnsi="Arial" w:cs="Arial"/>
                <w:i/>
                <w:sz w:val="22"/>
                <w:szCs w:val="22"/>
              </w:rPr>
              <w:t>cabíveis, no âmbito da legislação pertinente.” Logo, não caberia à ANP buscar inserir</w:t>
            </w:r>
            <w:r>
              <w:rPr>
                <w:rFonts w:ascii="Arial" w:eastAsia="Arial Unicode MS" w:hAnsi="Arial" w:cs="Arial"/>
                <w:i/>
                <w:sz w:val="22"/>
                <w:szCs w:val="22"/>
              </w:rPr>
              <w:t xml:space="preserve"> </w:t>
            </w:r>
            <w:r w:rsidRPr="004C51C8">
              <w:rPr>
                <w:rFonts w:ascii="Arial" w:eastAsia="Arial Unicode MS" w:hAnsi="Arial" w:cs="Arial"/>
                <w:i/>
                <w:sz w:val="22"/>
                <w:szCs w:val="22"/>
              </w:rPr>
              <w:t>no arcabouço jurídico pátrio conceito novo de “agente dominante” se a própria lei</w:t>
            </w:r>
            <w:r>
              <w:rPr>
                <w:rFonts w:ascii="Arial" w:eastAsia="Arial Unicode MS" w:hAnsi="Arial" w:cs="Arial"/>
                <w:i/>
                <w:sz w:val="22"/>
                <w:szCs w:val="22"/>
              </w:rPr>
              <w:t xml:space="preserve"> </w:t>
            </w:r>
            <w:r w:rsidRPr="004C51C8">
              <w:rPr>
                <w:rFonts w:ascii="Arial" w:eastAsia="Arial Unicode MS" w:hAnsi="Arial" w:cs="Arial"/>
                <w:i/>
                <w:sz w:val="22"/>
                <w:szCs w:val="22"/>
              </w:rPr>
              <w:t>que rege a sua atuação determina que em tais situações, é o CADE o ente estatal</w:t>
            </w:r>
            <w:r>
              <w:rPr>
                <w:rFonts w:ascii="Arial" w:eastAsia="Arial Unicode MS" w:hAnsi="Arial" w:cs="Arial"/>
                <w:i/>
                <w:sz w:val="22"/>
                <w:szCs w:val="22"/>
              </w:rPr>
              <w:t xml:space="preserve"> </w:t>
            </w:r>
            <w:r w:rsidRPr="004C51C8">
              <w:rPr>
                <w:rFonts w:ascii="Arial" w:eastAsia="Arial Unicode MS" w:hAnsi="Arial" w:cs="Arial"/>
                <w:i/>
                <w:sz w:val="22"/>
                <w:szCs w:val="22"/>
              </w:rPr>
              <w:t>competente para atuar.</w:t>
            </w:r>
            <w:r>
              <w:rPr>
                <w:rFonts w:ascii="Arial" w:eastAsia="Arial Unicode MS" w:hAnsi="Arial" w:cs="Arial"/>
                <w:i/>
                <w:sz w:val="22"/>
                <w:szCs w:val="22"/>
              </w:rPr>
              <w:t xml:space="preserve"> (itens 34 e 35 – pág. 11 – anexo II)</w:t>
            </w:r>
          </w:p>
          <w:p w14:paraId="5554FF50" w14:textId="77777777" w:rsidR="0058482B" w:rsidRPr="00DF788D" w:rsidRDefault="0058482B" w:rsidP="00CA0F82">
            <w:pPr>
              <w:pStyle w:val="Default"/>
              <w:ind w:right="145"/>
              <w:jc w:val="both"/>
              <w:rPr>
                <w:rFonts w:eastAsia="Arial Unicode MS"/>
                <w:color w:val="auto"/>
                <w:sz w:val="22"/>
                <w:szCs w:val="22"/>
              </w:rPr>
            </w:pPr>
          </w:p>
          <w:p w14:paraId="38D38478" w14:textId="6BD2538B" w:rsidR="00AD3095" w:rsidRPr="00DF788D" w:rsidRDefault="00326F78" w:rsidP="00CA0F82">
            <w:pPr>
              <w:pStyle w:val="PargrafodaLista"/>
              <w:ind w:left="265" w:right="145"/>
              <w:jc w:val="both"/>
              <w:rPr>
                <w:rFonts w:ascii="Arial" w:eastAsia="Times New Roman" w:hAnsi="Arial" w:cs="Arial"/>
                <w:sz w:val="22"/>
                <w:szCs w:val="22"/>
              </w:rPr>
            </w:pPr>
            <w:r w:rsidRPr="00DF788D">
              <w:rPr>
                <w:rFonts w:ascii="Arial" w:eastAsia="Times New Roman" w:hAnsi="Arial" w:cs="Arial"/>
                <w:sz w:val="22"/>
                <w:szCs w:val="22"/>
              </w:rPr>
              <w:lastRenderedPageBreak/>
              <w:t>Para o Sindigás f</w:t>
            </w:r>
            <w:r w:rsidR="0077237F" w:rsidRPr="00DF788D">
              <w:rPr>
                <w:rFonts w:ascii="Arial" w:eastAsia="Times New Roman" w:hAnsi="Arial" w:cs="Arial"/>
                <w:sz w:val="22"/>
                <w:szCs w:val="22"/>
              </w:rPr>
              <w:t>ica</w:t>
            </w:r>
            <w:r w:rsidR="0058482B" w:rsidRPr="00DF788D">
              <w:rPr>
                <w:rFonts w:ascii="Arial" w:eastAsia="Times New Roman" w:hAnsi="Arial" w:cs="Arial"/>
                <w:sz w:val="22"/>
                <w:szCs w:val="22"/>
              </w:rPr>
              <w:t xml:space="preserve"> claro que a minuta de resolução </w:t>
            </w:r>
            <w:r w:rsidR="005B3F66" w:rsidRPr="00DF788D">
              <w:rPr>
                <w:rFonts w:ascii="Arial" w:eastAsia="Times New Roman" w:hAnsi="Arial" w:cs="Arial"/>
                <w:sz w:val="22"/>
                <w:szCs w:val="22"/>
              </w:rPr>
              <w:t xml:space="preserve">busca </w:t>
            </w:r>
            <w:r w:rsidR="0058482B" w:rsidRPr="00DF788D">
              <w:rPr>
                <w:rFonts w:ascii="Arial" w:eastAsia="Times New Roman" w:hAnsi="Arial" w:cs="Arial"/>
                <w:sz w:val="22"/>
                <w:szCs w:val="22"/>
              </w:rPr>
              <w:t>resolver a obscuridade da precificação do</w:t>
            </w:r>
            <w:r w:rsidR="0077237F" w:rsidRPr="00DF788D">
              <w:rPr>
                <w:rFonts w:ascii="Arial" w:eastAsia="Times New Roman" w:hAnsi="Arial" w:cs="Arial"/>
                <w:sz w:val="22"/>
                <w:szCs w:val="22"/>
              </w:rPr>
              <w:t xml:space="preserve"> atual</w:t>
            </w:r>
            <w:r w:rsidR="0058482B" w:rsidRPr="00DF788D">
              <w:rPr>
                <w:rFonts w:ascii="Arial" w:eastAsia="Times New Roman" w:hAnsi="Arial" w:cs="Arial"/>
                <w:sz w:val="22"/>
                <w:szCs w:val="22"/>
              </w:rPr>
              <w:t xml:space="preserve"> agente dominante</w:t>
            </w:r>
            <w:r w:rsidR="0077237F" w:rsidRPr="00DF788D">
              <w:rPr>
                <w:rFonts w:ascii="Arial" w:eastAsia="Times New Roman" w:hAnsi="Arial" w:cs="Arial"/>
                <w:sz w:val="22"/>
                <w:szCs w:val="22"/>
              </w:rPr>
              <w:t xml:space="preserve"> no mercado brasileiro, visando possibilitar a clareza quanto </w:t>
            </w:r>
            <w:r w:rsidRPr="00DF788D">
              <w:rPr>
                <w:rFonts w:ascii="Arial" w:eastAsia="Times New Roman" w:hAnsi="Arial" w:cs="Arial"/>
                <w:sz w:val="22"/>
                <w:szCs w:val="22"/>
              </w:rPr>
              <w:t>à</w:t>
            </w:r>
            <w:r w:rsidR="0077237F" w:rsidRPr="00DF788D">
              <w:rPr>
                <w:rFonts w:ascii="Arial" w:eastAsia="Times New Roman" w:hAnsi="Arial" w:cs="Arial"/>
                <w:sz w:val="22"/>
                <w:szCs w:val="22"/>
              </w:rPr>
              <w:t xml:space="preserve"> composição dos preços, vez que essa</w:t>
            </w:r>
            <w:r w:rsidR="0058482B" w:rsidRPr="00DF788D">
              <w:rPr>
                <w:rFonts w:ascii="Arial" w:eastAsia="Times New Roman" w:hAnsi="Arial" w:cs="Arial"/>
                <w:sz w:val="22"/>
                <w:szCs w:val="22"/>
              </w:rPr>
              <w:t xml:space="preserve"> falta de transparência  nas políticas de precificação impactam diretamente a dinâmica competitiva dos mercados de combustíveis</w:t>
            </w:r>
            <w:r w:rsidRPr="00DF788D">
              <w:rPr>
                <w:rFonts w:ascii="Arial" w:eastAsia="Times New Roman" w:hAnsi="Arial" w:cs="Arial"/>
                <w:sz w:val="22"/>
                <w:szCs w:val="22"/>
              </w:rPr>
              <w:t>.</w:t>
            </w:r>
          </w:p>
          <w:p w14:paraId="258DB25B" w14:textId="77777777" w:rsidR="009865CE" w:rsidRPr="00DF788D" w:rsidRDefault="009865CE" w:rsidP="00CA0F82">
            <w:pPr>
              <w:pStyle w:val="PargrafodaLista"/>
              <w:ind w:left="265" w:right="145"/>
              <w:jc w:val="both"/>
              <w:rPr>
                <w:rFonts w:ascii="Arial" w:eastAsia="Times New Roman" w:hAnsi="Arial" w:cs="Arial"/>
                <w:sz w:val="22"/>
                <w:szCs w:val="22"/>
              </w:rPr>
            </w:pPr>
          </w:p>
          <w:p w14:paraId="480020D4" w14:textId="5C04DC5E" w:rsidR="00711827" w:rsidRPr="00DF788D" w:rsidRDefault="00326F78" w:rsidP="003C5411">
            <w:pPr>
              <w:pStyle w:val="PargrafodaLista"/>
              <w:ind w:left="265" w:right="145"/>
              <w:jc w:val="both"/>
              <w:rPr>
                <w:rFonts w:ascii="Arial" w:eastAsia="Times New Roman" w:hAnsi="Arial" w:cs="Arial"/>
                <w:sz w:val="22"/>
                <w:szCs w:val="22"/>
              </w:rPr>
            </w:pPr>
            <w:r w:rsidRPr="00DF788D">
              <w:rPr>
                <w:rFonts w:ascii="Arial" w:eastAsia="Times New Roman" w:hAnsi="Arial" w:cs="Arial"/>
                <w:sz w:val="22"/>
                <w:szCs w:val="22"/>
              </w:rPr>
              <w:t xml:space="preserve">O ideal seria que </w:t>
            </w:r>
            <w:r w:rsidR="0058482B" w:rsidRPr="00DF788D">
              <w:rPr>
                <w:rFonts w:ascii="Arial" w:eastAsia="Times New Roman" w:hAnsi="Arial" w:cs="Arial"/>
                <w:sz w:val="22"/>
                <w:szCs w:val="22"/>
              </w:rPr>
              <w:t xml:space="preserve">essas distorções </w:t>
            </w:r>
            <w:r w:rsidRPr="00DF788D">
              <w:rPr>
                <w:rFonts w:ascii="Arial" w:eastAsia="Times New Roman" w:hAnsi="Arial" w:cs="Arial"/>
                <w:sz w:val="22"/>
                <w:szCs w:val="22"/>
              </w:rPr>
              <w:t xml:space="preserve">fossem </w:t>
            </w:r>
            <w:r w:rsidR="0058482B" w:rsidRPr="00DF788D">
              <w:rPr>
                <w:rFonts w:ascii="Arial" w:eastAsia="Times New Roman" w:hAnsi="Arial" w:cs="Arial"/>
                <w:sz w:val="22"/>
                <w:szCs w:val="22"/>
              </w:rPr>
              <w:t xml:space="preserve">mitigadas com a publicação da </w:t>
            </w:r>
            <w:r w:rsidRPr="00DF788D">
              <w:rPr>
                <w:rFonts w:ascii="Arial" w:eastAsia="Times New Roman" w:hAnsi="Arial" w:cs="Arial"/>
                <w:sz w:val="22"/>
                <w:szCs w:val="22"/>
              </w:rPr>
              <w:t xml:space="preserve">minuta de </w:t>
            </w:r>
            <w:r w:rsidR="0058482B" w:rsidRPr="00DF788D">
              <w:rPr>
                <w:rFonts w:ascii="Arial" w:eastAsia="Times New Roman" w:hAnsi="Arial" w:cs="Arial"/>
                <w:sz w:val="22"/>
                <w:szCs w:val="22"/>
              </w:rPr>
              <w:t xml:space="preserve">resolução </w:t>
            </w:r>
            <w:r w:rsidRPr="00DF788D">
              <w:rPr>
                <w:rFonts w:ascii="Arial" w:eastAsia="Times New Roman" w:hAnsi="Arial" w:cs="Arial"/>
                <w:sz w:val="22"/>
                <w:szCs w:val="22"/>
              </w:rPr>
              <w:t>em comento</w:t>
            </w:r>
            <w:r w:rsidR="0058482B" w:rsidRPr="00DF788D">
              <w:rPr>
                <w:rFonts w:ascii="Arial" w:eastAsia="Times New Roman" w:hAnsi="Arial" w:cs="Arial"/>
                <w:sz w:val="22"/>
                <w:szCs w:val="22"/>
              </w:rPr>
              <w:t xml:space="preserve">, </w:t>
            </w:r>
            <w:r w:rsidRPr="00DF788D">
              <w:rPr>
                <w:rFonts w:ascii="Arial" w:eastAsia="Times New Roman" w:hAnsi="Arial" w:cs="Arial"/>
                <w:sz w:val="22"/>
                <w:szCs w:val="22"/>
              </w:rPr>
              <w:t>entretanto destaca-se que</w:t>
            </w:r>
            <w:r w:rsidR="0058482B" w:rsidRPr="00DF788D">
              <w:rPr>
                <w:rFonts w:ascii="Arial" w:eastAsia="Times New Roman" w:hAnsi="Arial" w:cs="Arial"/>
                <w:sz w:val="22"/>
                <w:szCs w:val="22"/>
              </w:rPr>
              <w:t xml:space="preserve"> medidas interventivas devem ser avaliadas com cautela para não causar retrocessos</w:t>
            </w:r>
            <w:r w:rsidR="00711827" w:rsidRPr="00DF788D">
              <w:rPr>
                <w:rFonts w:ascii="Arial" w:eastAsia="Times New Roman" w:hAnsi="Arial" w:cs="Arial"/>
                <w:sz w:val="22"/>
                <w:szCs w:val="22"/>
              </w:rPr>
              <w:t>,</w:t>
            </w:r>
            <w:r w:rsidRPr="00DF788D">
              <w:rPr>
                <w:rFonts w:ascii="Arial" w:eastAsia="Times New Roman" w:hAnsi="Arial" w:cs="Arial"/>
                <w:sz w:val="22"/>
                <w:szCs w:val="22"/>
              </w:rPr>
              <w:t xml:space="preserve"> distorções, </w:t>
            </w:r>
            <w:r w:rsidR="00711827" w:rsidRPr="00DF788D">
              <w:rPr>
                <w:rFonts w:ascii="Arial" w:eastAsia="Times New Roman" w:hAnsi="Arial" w:cs="Arial"/>
                <w:sz w:val="22"/>
                <w:szCs w:val="22"/>
              </w:rPr>
              <w:t xml:space="preserve"> </w:t>
            </w:r>
            <w:r w:rsidR="0058482B" w:rsidRPr="00DF788D">
              <w:rPr>
                <w:rFonts w:ascii="Arial" w:eastAsia="Times New Roman" w:hAnsi="Arial" w:cs="Arial"/>
                <w:sz w:val="22"/>
                <w:szCs w:val="22"/>
              </w:rPr>
              <w:t>tabelamentos</w:t>
            </w:r>
            <w:r w:rsidR="00711827" w:rsidRPr="00DF788D">
              <w:rPr>
                <w:rFonts w:ascii="Arial" w:eastAsia="Times New Roman" w:hAnsi="Arial" w:cs="Arial"/>
                <w:sz w:val="22"/>
                <w:szCs w:val="22"/>
              </w:rPr>
              <w:t xml:space="preserve"> e inibições de investimentos</w:t>
            </w:r>
            <w:r w:rsidRPr="00DF788D">
              <w:rPr>
                <w:rFonts w:ascii="Arial" w:eastAsia="Times New Roman" w:hAnsi="Arial" w:cs="Arial"/>
                <w:sz w:val="22"/>
                <w:szCs w:val="22"/>
              </w:rPr>
              <w:t>, consequências que sabe-se que a ANP visa evitar.</w:t>
            </w:r>
          </w:p>
          <w:p w14:paraId="47F841B4" w14:textId="77777777" w:rsidR="00711827" w:rsidRPr="00DF788D" w:rsidRDefault="00711827" w:rsidP="003C5411">
            <w:pPr>
              <w:pStyle w:val="PargrafodaLista"/>
              <w:ind w:left="265" w:right="145"/>
              <w:jc w:val="both"/>
              <w:rPr>
                <w:rFonts w:ascii="Arial" w:eastAsia="Times New Roman" w:hAnsi="Arial" w:cs="Arial"/>
                <w:sz w:val="22"/>
                <w:szCs w:val="22"/>
              </w:rPr>
            </w:pPr>
          </w:p>
          <w:p w14:paraId="19FD6452" w14:textId="401C14F1" w:rsidR="00711827" w:rsidRPr="00DF788D" w:rsidRDefault="00326F78" w:rsidP="003C5411">
            <w:pPr>
              <w:pStyle w:val="PargrafodaLista"/>
              <w:ind w:left="265" w:right="145"/>
              <w:jc w:val="both"/>
              <w:rPr>
                <w:rFonts w:ascii="Arial" w:eastAsia="Times New Roman" w:hAnsi="Arial" w:cs="Arial"/>
                <w:sz w:val="22"/>
                <w:szCs w:val="22"/>
              </w:rPr>
            </w:pPr>
            <w:r w:rsidRPr="00DF788D">
              <w:rPr>
                <w:rFonts w:ascii="Arial" w:eastAsia="Times New Roman" w:hAnsi="Arial" w:cs="Arial"/>
                <w:sz w:val="22"/>
                <w:szCs w:val="22"/>
              </w:rPr>
              <w:t>Deste modo, o</w:t>
            </w:r>
            <w:r w:rsidR="00711827" w:rsidRPr="00DF788D">
              <w:rPr>
                <w:rFonts w:ascii="Arial" w:eastAsia="Times New Roman" w:hAnsi="Arial" w:cs="Arial"/>
                <w:sz w:val="22"/>
                <w:szCs w:val="22"/>
              </w:rPr>
              <w:t xml:space="preserve"> Sindigás considera crucial que a ANP calibre com racionalidade e proporcionalidade a busca </w:t>
            </w:r>
            <w:r w:rsidRPr="00DF788D">
              <w:rPr>
                <w:rFonts w:ascii="Arial" w:eastAsia="Times New Roman" w:hAnsi="Arial" w:cs="Arial"/>
                <w:sz w:val="22"/>
                <w:szCs w:val="22"/>
              </w:rPr>
              <w:t xml:space="preserve">premente </w:t>
            </w:r>
            <w:r w:rsidR="00711827" w:rsidRPr="00DF788D">
              <w:rPr>
                <w:rFonts w:ascii="Arial" w:eastAsia="Times New Roman" w:hAnsi="Arial" w:cs="Arial"/>
                <w:sz w:val="22"/>
                <w:szCs w:val="22"/>
              </w:rPr>
              <w:t xml:space="preserve">pela </w:t>
            </w:r>
            <w:r w:rsidRPr="00DF788D">
              <w:rPr>
                <w:rFonts w:ascii="Arial" w:eastAsia="Times New Roman" w:hAnsi="Arial" w:cs="Arial"/>
                <w:sz w:val="22"/>
                <w:szCs w:val="22"/>
              </w:rPr>
              <w:t>“</w:t>
            </w:r>
            <w:r w:rsidR="00711827" w:rsidRPr="00DF788D">
              <w:rPr>
                <w:rFonts w:ascii="Arial" w:eastAsia="Times New Roman" w:hAnsi="Arial" w:cs="Arial"/>
                <w:sz w:val="22"/>
                <w:szCs w:val="22"/>
              </w:rPr>
              <w:t>Transparência</w:t>
            </w:r>
            <w:r w:rsidRPr="00DF788D">
              <w:rPr>
                <w:rFonts w:ascii="Arial" w:eastAsia="Times New Roman" w:hAnsi="Arial" w:cs="Arial"/>
                <w:sz w:val="22"/>
                <w:szCs w:val="22"/>
              </w:rPr>
              <w:t>”,</w:t>
            </w:r>
            <w:r w:rsidR="00711827" w:rsidRPr="00DF788D">
              <w:rPr>
                <w:rFonts w:ascii="Arial" w:eastAsia="Times New Roman" w:hAnsi="Arial" w:cs="Arial"/>
                <w:sz w:val="22"/>
                <w:szCs w:val="22"/>
              </w:rPr>
              <w:t xml:space="preserve"> </w:t>
            </w:r>
            <w:r w:rsidR="00F3714C">
              <w:rPr>
                <w:rFonts w:ascii="Arial" w:eastAsia="Times New Roman" w:hAnsi="Arial" w:cs="Arial"/>
                <w:sz w:val="22"/>
                <w:szCs w:val="22"/>
              </w:rPr>
              <w:t>uma vez que</w:t>
            </w:r>
            <w:r w:rsidR="00711827" w:rsidRPr="00DF788D">
              <w:rPr>
                <w:rFonts w:ascii="Arial" w:eastAsia="Times New Roman" w:hAnsi="Arial" w:cs="Arial"/>
                <w:sz w:val="22"/>
                <w:szCs w:val="22"/>
              </w:rPr>
              <w:t xml:space="preserve"> </w:t>
            </w:r>
            <w:r w:rsidR="00117A0A" w:rsidRPr="00DF788D">
              <w:rPr>
                <w:rFonts w:ascii="Arial" w:eastAsia="Times New Roman" w:hAnsi="Arial" w:cs="Arial"/>
                <w:sz w:val="22"/>
                <w:szCs w:val="22"/>
              </w:rPr>
              <w:t>existe um</w:t>
            </w:r>
            <w:r w:rsidR="00711827" w:rsidRPr="00DF788D">
              <w:rPr>
                <w:rFonts w:ascii="Arial" w:eastAsia="Times New Roman" w:hAnsi="Arial" w:cs="Arial"/>
                <w:sz w:val="22"/>
                <w:szCs w:val="22"/>
              </w:rPr>
              <w:t xml:space="preserve"> “agente dominante”</w:t>
            </w:r>
            <w:r w:rsidR="00367549" w:rsidRPr="00DF788D">
              <w:rPr>
                <w:rFonts w:ascii="Arial" w:eastAsia="Times New Roman" w:hAnsi="Arial" w:cs="Arial"/>
                <w:sz w:val="22"/>
                <w:szCs w:val="22"/>
              </w:rPr>
              <w:t xml:space="preserve"> atuando no mercado</w:t>
            </w:r>
            <w:r w:rsidRPr="00DF788D">
              <w:rPr>
                <w:rFonts w:ascii="Arial" w:eastAsia="Times New Roman" w:hAnsi="Arial" w:cs="Arial"/>
                <w:sz w:val="22"/>
                <w:szCs w:val="22"/>
              </w:rPr>
              <w:t>,</w:t>
            </w:r>
            <w:r w:rsidR="00367549" w:rsidRPr="00DF788D">
              <w:rPr>
                <w:rFonts w:ascii="Arial" w:eastAsia="Times New Roman" w:hAnsi="Arial" w:cs="Arial"/>
                <w:sz w:val="22"/>
                <w:szCs w:val="22"/>
              </w:rPr>
              <w:t xml:space="preserve"> e a necessidade de preservação de informações sigilosas </w:t>
            </w:r>
            <w:r w:rsidR="00F3714C">
              <w:rPr>
                <w:rFonts w:ascii="Arial" w:eastAsia="Times New Roman" w:hAnsi="Arial" w:cs="Arial"/>
                <w:sz w:val="22"/>
                <w:szCs w:val="22"/>
              </w:rPr>
              <w:t>visto que</w:t>
            </w:r>
            <w:r w:rsidR="00367549" w:rsidRPr="00DF788D">
              <w:rPr>
                <w:rFonts w:ascii="Arial" w:eastAsia="Times New Roman" w:hAnsi="Arial" w:cs="Arial"/>
                <w:sz w:val="22"/>
                <w:szCs w:val="22"/>
              </w:rPr>
              <w:t xml:space="preserve"> o mercado é regido pela livre concorrência.</w:t>
            </w:r>
          </w:p>
          <w:p w14:paraId="28FE4DAC" w14:textId="77777777" w:rsidR="00711827" w:rsidRPr="00DF788D" w:rsidRDefault="00711827" w:rsidP="003C5411">
            <w:pPr>
              <w:pStyle w:val="PargrafodaLista"/>
              <w:ind w:left="265" w:right="145"/>
              <w:jc w:val="both"/>
              <w:rPr>
                <w:rFonts w:ascii="Arial" w:eastAsia="Times New Roman" w:hAnsi="Arial" w:cs="Arial"/>
                <w:sz w:val="22"/>
                <w:szCs w:val="22"/>
              </w:rPr>
            </w:pPr>
          </w:p>
          <w:p w14:paraId="35B5F5E8" w14:textId="16C69493" w:rsidR="00326F78" w:rsidRPr="00DF788D" w:rsidRDefault="00914362" w:rsidP="003C5411">
            <w:pPr>
              <w:pStyle w:val="PargrafodaLista"/>
              <w:ind w:left="265" w:right="145"/>
              <w:jc w:val="both"/>
              <w:rPr>
                <w:rFonts w:ascii="Arial" w:hAnsi="Arial" w:cs="Arial"/>
                <w:sz w:val="22"/>
                <w:szCs w:val="22"/>
              </w:rPr>
            </w:pPr>
            <w:r w:rsidRPr="00DF788D">
              <w:rPr>
                <w:rFonts w:ascii="Arial" w:eastAsia="Times New Roman" w:hAnsi="Arial" w:cs="Arial"/>
                <w:sz w:val="22"/>
                <w:szCs w:val="22"/>
              </w:rPr>
              <w:t>Por</w:t>
            </w:r>
            <w:r w:rsidR="00326F78" w:rsidRPr="00DF788D">
              <w:rPr>
                <w:rFonts w:ascii="Arial" w:eastAsia="Times New Roman" w:hAnsi="Arial" w:cs="Arial"/>
                <w:sz w:val="22"/>
                <w:szCs w:val="22"/>
              </w:rPr>
              <w:t xml:space="preserve"> conseguinte</w:t>
            </w:r>
            <w:r w:rsidRPr="00DF788D">
              <w:rPr>
                <w:rFonts w:ascii="Arial" w:eastAsia="Times New Roman" w:hAnsi="Arial" w:cs="Arial"/>
                <w:sz w:val="22"/>
                <w:szCs w:val="22"/>
              </w:rPr>
              <w:t xml:space="preserve">, reiteramos que </w:t>
            </w:r>
            <w:r w:rsidR="00326F78" w:rsidRPr="00DF788D">
              <w:rPr>
                <w:rFonts w:ascii="Arial" w:eastAsia="Times New Roman" w:hAnsi="Arial" w:cs="Arial"/>
                <w:sz w:val="22"/>
                <w:szCs w:val="22"/>
              </w:rPr>
              <w:t>a de</w:t>
            </w:r>
            <w:r w:rsidRPr="00DF788D">
              <w:rPr>
                <w:rFonts w:ascii="Arial" w:hAnsi="Arial" w:cs="Arial"/>
                <w:sz w:val="22"/>
                <w:szCs w:val="22"/>
              </w:rPr>
              <w:t xml:space="preserve">finição de </w:t>
            </w:r>
            <w:r w:rsidR="00326F78" w:rsidRPr="00DF788D">
              <w:rPr>
                <w:rFonts w:ascii="Arial" w:hAnsi="Arial" w:cs="Arial"/>
                <w:sz w:val="22"/>
                <w:szCs w:val="22"/>
              </w:rPr>
              <w:t>“</w:t>
            </w:r>
            <w:r w:rsidRPr="00DF788D">
              <w:rPr>
                <w:rFonts w:ascii="Arial" w:hAnsi="Arial" w:cs="Arial"/>
                <w:sz w:val="22"/>
                <w:szCs w:val="22"/>
              </w:rPr>
              <w:t>agente dominante</w:t>
            </w:r>
            <w:r w:rsidR="00326F78" w:rsidRPr="00DF788D">
              <w:rPr>
                <w:rFonts w:ascii="Arial" w:hAnsi="Arial" w:cs="Arial"/>
                <w:sz w:val="22"/>
                <w:szCs w:val="22"/>
              </w:rPr>
              <w:t>”</w:t>
            </w:r>
            <w:r w:rsidRPr="00DF788D">
              <w:rPr>
                <w:rFonts w:ascii="Arial" w:hAnsi="Arial" w:cs="Arial"/>
                <w:sz w:val="22"/>
                <w:szCs w:val="22"/>
              </w:rPr>
              <w:t xml:space="preserve"> constitui</w:t>
            </w:r>
            <w:r w:rsidR="00326F78" w:rsidRPr="00DF788D">
              <w:rPr>
                <w:rFonts w:ascii="Arial" w:hAnsi="Arial" w:cs="Arial"/>
                <w:sz w:val="22"/>
                <w:szCs w:val="22"/>
              </w:rPr>
              <w:t>-se</w:t>
            </w:r>
            <w:r w:rsidRPr="00DF788D">
              <w:rPr>
                <w:rFonts w:ascii="Arial" w:hAnsi="Arial" w:cs="Arial"/>
                <w:sz w:val="22"/>
                <w:szCs w:val="22"/>
              </w:rPr>
              <w:t xml:space="preserve"> </w:t>
            </w:r>
            <w:r w:rsidR="00326F78" w:rsidRPr="00DF788D">
              <w:rPr>
                <w:rFonts w:ascii="Arial" w:hAnsi="Arial" w:cs="Arial"/>
                <w:sz w:val="22"/>
                <w:szCs w:val="22"/>
              </w:rPr>
              <w:t xml:space="preserve">um </w:t>
            </w:r>
            <w:r w:rsidRPr="00DF788D">
              <w:rPr>
                <w:rFonts w:ascii="Arial" w:hAnsi="Arial" w:cs="Arial"/>
                <w:sz w:val="22"/>
                <w:szCs w:val="22"/>
              </w:rPr>
              <w:t>desafio para a ANP, na medida em que se</w:t>
            </w:r>
            <w:r w:rsidR="00326F78" w:rsidRPr="00DF788D">
              <w:rPr>
                <w:rFonts w:ascii="Arial" w:hAnsi="Arial" w:cs="Arial"/>
                <w:sz w:val="22"/>
                <w:szCs w:val="22"/>
              </w:rPr>
              <w:t>rá</w:t>
            </w:r>
            <w:r w:rsidRPr="00DF788D">
              <w:rPr>
                <w:rFonts w:ascii="Arial" w:hAnsi="Arial" w:cs="Arial"/>
                <w:sz w:val="22"/>
                <w:szCs w:val="22"/>
              </w:rPr>
              <w:t xml:space="preserve">, a partir deste critério, </w:t>
            </w:r>
            <w:r w:rsidR="00326F78" w:rsidRPr="00DF788D">
              <w:rPr>
                <w:rFonts w:ascii="Arial" w:hAnsi="Arial" w:cs="Arial"/>
                <w:sz w:val="22"/>
                <w:szCs w:val="22"/>
              </w:rPr>
              <w:t xml:space="preserve">necessário </w:t>
            </w:r>
            <w:r w:rsidRPr="00DF788D">
              <w:rPr>
                <w:rFonts w:ascii="Arial" w:hAnsi="Arial" w:cs="Arial"/>
                <w:sz w:val="22"/>
                <w:szCs w:val="22"/>
              </w:rPr>
              <w:t>equaliza</w:t>
            </w:r>
            <w:r w:rsidR="00326F78" w:rsidRPr="00DF788D">
              <w:rPr>
                <w:rFonts w:ascii="Arial" w:hAnsi="Arial" w:cs="Arial"/>
                <w:sz w:val="22"/>
                <w:szCs w:val="22"/>
              </w:rPr>
              <w:t>r</w:t>
            </w:r>
            <w:r w:rsidRPr="00DF788D">
              <w:rPr>
                <w:rFonts w:ascii="Arial" w:hAnsi="Arial" w:cs="Arial"/>
                <w:sz w:val="22"/>
                <w:szCs w:val="22"/>
              </w:rPr>
              <w:t xml:space="preserve"> os seguintes elementos: concentração de mercado, rivalidade entre competidores e atração de novos investidores.</w:t>
            </w:r>
            <w:r w:rsidR="00326F78" w:rsidRPr="00DF788D">
              <w:rPr>
                <w:rFonts w:ascii="Arial" w:hAnsi="Arial" w:cs="Arial"/>
                <w:sz w:val="22"/>
                <w:szCs w:val="22"/>
              </w:rPr>
              <w:t xml:space="preserve"> </w:t>
            </w:r>
          </w:p>
          <w:p w14:paraId="5762AA06" w14:textId="77777777" w:rsidR="00326F78" w:rsidRPr="00DF788D" w:rsidRDefault="00326F78" w:rsidP="003C5411">
            <w:pPr>
              <w:pStyle w:val="PargrafodaLista"/>
              <w:ind w:left="265" w:right="145"/>
              <w:jc w:val="both"/>
              <w:rPr>
                <w:rFonts w:ascii="Arial" w:hAnsi="Arial" w:cs="Arial"/>
                <w:sz w:val="22"/>
                <w:szCs w:val="22"/>
              </w:rPr>
            </w:pPr>
          </w:p>
          <w:p w14:paraId="306AFB5C" w14:textId="2066C87F" w:rsidR="00326F78" w:rsidRPr="00DF788D" w:rsidRDefault="00326F78" w:rsidP="003C5411">
            <w:pPr>
              <w:pStyle w:val="PargrafodaLista"/>
              <w:ind w:left="265" w:right="145"/>
              <w:jc w:val="both"/>
              <w:rPr>
                <w:rFonts w:ascii="Arial" w:eastAsia="Arial Unicode MS" w:hAnsi="Arial" w:cs="Arial"/>
                <w:sz w:val="22"/>
                <w:szCs w:val="22"/>
              </w:rPr>
            </w:pPr>
            <w:r w:rsidRPr="00DF788D">
              <w:rPr>
                <w:rFonts w:ascii="Arial" w:hAnsi="Arial" w:cs="Arial"/>
                <w:sz w:val="22"/>
                <w:szCs w:val="22"/>
              </w:rPr>
              <w:t xml:space="preserve">Por fim, sugerimos que a ilustre Agência busque de outras maneiras que não por regulação interventiva aprimoramento da transparência, que pode se dar por </w:t>
            </w:r>
            <w:r w:rsidR="00FE181D" w:rsidRPr="00DF788D">
              <w:rPr>
                <w:rFonts w:ascii="Arial" w:hAnsi="Arial" w:cs="Arial"/>
                <w:sz w:val="22"/>
                <w:szCs w:val="22"/>
              </w:rPr>
              <w:t>melhoria nos procedimentos de mediação de conflitos – arbitragens e mediações entre os agentes e inclusive consumidores.</w:t>
            </w:r>
            <w:r w:rsidR="00FE181D" w:rsidRPr="00DF788D">
              <w:rPr>
                <w:rFonts w:ascii="Arial" w:eastAsia="Times New Roman" w:hAnsi="Arial" w:cs="Arial"/>
                <w:sz w:val="22"/>
                <w:szCs w:val="22"/>
              </w:rPr>
              <w:t xml:space="preserve"> Isso porque com a primazia do livre mercado desde 2002 o mais adequado é que as intervenções nos agentes regulados sejam de maneira que não engessem o mercado e eventuais práticas anticompetitivas sejam reportadas ao Cade, conforme argumentos apresentados a seguir.</w:t>
            </w:r>
          </w:p>
          <w:p w14:paraId="1009B484" w14:textId="77777777" w:rsidR="0058482B" w:rsidRPr="00DF788D" w:rsidRDefault="0058482B" w:rsidP="00CA0F82">
            <w:pPr>
              <w:pStyle w:val="Default"/>
              <w:ind w:right="145"/>
              <w:jc w:val="both"/>
              <w:rPr>
                <w:rFonts w:eastAsia="Arial Unicode MS"/>
                <w:sz w:val="22"/>
                <w:szCs w:val="22"/>
              </w:rPr>
            </w:pPr>
          </w:p>
        </w:tc>
      </w:tr>
      <w:tr w:rsidR="0058482B" w:rsidRPr="00DF788D" w14:paraId="57E618B6" w14:textId="77777777" w:rsidTr="00A159E7">
        <w:trPr>
          <w:trHeight w:val="704"/>
        </w:trPr>
        <w:tc>
          <w:tcPr>
            <w:tcW w:w="3661"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6FEA180" w14:textId="77777777" w:rsidR="0058482B" w:rsidRPr="00DF788D" w:rsidRDefault="0058482B" w:rsidP="0058482B">
            <w:pPr>
              <w:spacing w:before="120"/>
              <w:jc w:val="both"/>
              <w:rPr>
                <w:rFonts w:ascii="Arial" w:hAnsi="Arial" w:cs="Arial"/>
                <w:sz w:val="22"/>
                <w:szCs w:val="24"/>
              </w:rPr>
            </w:pPr>
            <w:r w:rsidRPr="008B048F">
              <w:rPr>
                <w:rFonts w:ascii="Arial" w:hAnsi="Arial" w:cs="Arial"/>
                <w:b/>
                <w:sz w:val="22"/>
                <w:szCs w:val="24"/>
              </w:rPr>
              <w:lastRenderedPageBreak/>
              <w:t>Art. 2º</w:t>
            </w:r>
            <w:r w:rsidRPr="00DF788D">
              <w:rPr>
                <w:rFonts w:ascii="Arial" w:hAnsi="Arial" w:cs="Arial"/>
                <w:sz w:val="22"/>
                <w:szCs w:val="24"/>
              </w:rPr>
              <w:t xml:space="preserve">  Para os fins desta Resolução, ficam estabelecidas as seguintes definições:</w:t>
            </w:r>
          </w:p>
          <w:p w14:paraId="01869574" w14:textId="77777777" w:rsidR="0058482B" w:rsidRPr="00DF788D" w:rsidRDefault="0058482B" w:rsidP="0058482B">
            <w:pPr>
              <w:spacing w:before="120"/>
              <w:jc w:val="both"/>
              <w:rPr>
                <w:rFonts w:ascii="Arial" w:hAnsi="Arial" w:cs="Arial"/>
                <w:sz w:val="22"/>
                <w:szCs w:val="24"/>
              </w:rPr>
            </w:pPr>
            <w:r w:rsidRPr="00DF788D">
              <w:rPr>
                <w:rFonts w:ascii="Arial" w:hAnsi="Arial" w:cs="Arial"/>
                <w:sz w:val="22"/>
                <w:szCs w:val="24"/>
              </w:rPr>
              <w:t xml:space="preserve">I - agente dominante: agente ou grupo econômico que tenha </w:t>
            </w:r>
            <w:r w:rsidRPr="00DF788D">
              <w:rPr>
                <w:rFonts w:ascii="Arial" w:hAnsi="Arial" w:cs="Arial"/>
                <w:sz w:val="22"/>
                <w:szCs w:val="24"/>
              </w:rPr>
              <w:lastRenderedPageBreak/>
              <w:t>participação de mercado na etapa de fornecimento primário, via produção ou importação, superior a vinte por cento (20%), contabilizada em termos de volume de produto comercializado no ano anterior, para cada derivado de petróleo, em cada macrorregião política do país, conforme definição do Instituto Brasileiro de Geografia e Estatística (IBGE);</w:t>
            </w:r>
          </w:p>
          <w:p w14:paraId="23203079" w14:textId="77777777" w:rsidR="0058482B" w:rsidRPr="00DF788D" w:rsidRDefault="0058482B" w:rsidP="0058482B">
            <w:pPr>
              <w:rPr>
                <w:rFonts w:ascii="Arial" w:eastAsia="Arial Unicode MS" w:hAnsi="Arial" w:cs="Arial"/>
              </w:rPr>
            </w:pPr>
          </w:p>
          <w:p w14:paraId="24F067AE" w14:textId="77777777" w:rsidR="0058482B" w:rsidRPr="00DF788D" w:rsidRDefault="0058482B" w:rsidP="0058482B">
            <w:pPr>
              <w:rPr>
                <w:rFonts w:ascii="Arial" w:eastAsia="Arial Unicode MS" w:hAnsi="Arial" w:cs="Arial"/>
                <w:b/>
                <w:bCs/>
              </w:rPr>
            </w:pPr>
            <w:r w:rsidRPr="00DF788D">
              <w:rPr>
                <w:rFonts w:ascii="Arial" w:hAnsi="Arial" w:cs="Arial"/>
                <w:b/>
                <w:bCs/>
              </w:rPr>
              <w:t> </w:t>
            </w:r>
          </w:p>
        </w:tc>
        <w:tc>
          <w:tcPr>
            <w:tcW w:w="32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1B0BA3BF" w14:textId="77777777" w:rsidR="00FE181D" w:rsidRPr="00DF788D" w:rsidRDefault="00FE181D" w:rsidP="009865CE">
            <w:pPr>
              <w:ind w:left="130" w:right="117"/>
              <w:jc w:val="both"/>
              <w:rPr>
                <w:rFonts w:ascii="Arial" w:hAnsi="Arial" w:cs="Arial"/>
                <w:sz w:val="22"/>
              </w:rPr>
            </w:pPr>
          </w:p>
          <w:p w14:paraId="224628DF" w14:textId="0A318CFB" w:rsidR="00E01F8E" w:rsidRPr="00E02E22" w:rsidRDefault="00362454" w:rsidP="00E02E22">
            <w:pPr>
              <w:ind w:left="130" w:right="117"/>
              <w:jc w:val="center"/>
              <w:rPr>
                <w:rFonts w:ascii="Arial" w:eastAsia="Arial Unicode MS" w:hAnsi="Arial" w:cs="Arial"/>
                <w:sz w:val="22"/>
                <w:szCs w:val="22"/>
              </w:rPr>
            </w:pPr>
            <w:r w:rsidRPr="008B048F">
              <w:rPr>
                <w:rFonts w:ascii="Arial" w:eastAsia="Arial Unicode MS" w:hAnsi="Arial" w:cs="Arial"/>
                <w:b/>
                <w:color w:val="FF0000"/>
                <w:sz w:val="22"/>
                <w:szCs w:val="22"/>
                <w:highlight w:val="yellow"/>
                <w:u w:val="single"/>
              </w:rPr>
              <w:t>Exclusão</w:t>
            </w:r>
            <w:r w:rsidRPr="008B048F">
              <w:rPr>
                <w:rFonts w:ascii="Arial" w:eastAsia="Arial Unicode MS" w:hAnsi="Arial" w:cs="Arial"/>
                <w:color w:val="FF0000"/>
                <w:sz w:val="22"/>
                <w:szCs w:val="22"/>
                <w:highlight w:val="yellow"/>
                <w:u w:val="single"/>
              </w:rPr>
              <w:t xml:space="preserve"> do inciso I</w:t>
            </w:r>
            <w:r w:rsidR="00A159E7" w:rsidRPr="00DF788D">
              <w:rPr>
                <w:rFonts w:ascii="Arial" w:eastAsia="Arial Unicode MS" w:hAnsi="Arial" w:cs="Arial"/>
                <w:color w:val="FF0000"/>
                <w:sz w:val="22"/>
                <w:szCs w:val="22"/>
              </w:rPr>
              <w:t xml:space="preserve"> </w:t>
            </w:r>
            <w:r w:rsidR="00A159E7" w:rsidRPr="00DF788D">
              <w:rPr>
                <w:rFonts w:ascii="Arial" w:eastAsia="Arial Unicode MS" w:hAnsi="Arial" w:cs="Arial"/>
                <w:sz w:val="22"/>
                <w:szCs w:val="22"/>
              </w:rPr>
              <w:t>– conceito de agente dominante</w:t>
            </w:r>
          </w:p>
          <w:p w14:paraId="7847AE01" w14:textId="2226639D" w:rsidR="001E4E2E" w:rsidRPr="00DF788D" w:rsidRDefault="001E4E2E" w:rsidP="00A159E7">
            <w:pPr>
              <w:ind w:right="117"/>
              <w:jc w:val="both"/>
              <w:rPr>
                <w:rFonts w:ascii="Arial" w:hAnsi="Arial" w:cs="Arial"/>
                <w:highlight w:val="yellow"/>
              </w:rPr>
            </w:pPr>
          </w:p>
          <w:p w14:paraId="66F19684" w14:textId="226E57E9" w:rsidR="001E4E2E" w:rsidRPr="00DF788D" w:rsidRDefault="001E4E2E" w:rsidP="009865CE">
            <w:pPr>
              <w:ind w:left="130" w:right="117"/>
              <w:jc w:val="both"/>
              <w:rPr>
                <w:rFonts w:ascii="Arial" w:eastAsia="Arial Unicode MS" w:hAnsi="Arial" w:cs="Arial"/>
                <w:sz w:val="22"/>
                <w:szCs w:val="22"/>
              </w:rPr>
            </w:pPr>
          </w:p>
          <w:p w14:paraId="7C235354" w14:textId="77777777" w:rsidR="007E6A57" w:rsidRPr="00DF788D" w:rsidRDefault="007E6A57" w:rsidP="00A159E7">
            <w:pPr>
              <w:ind w:left="130" w:right="117"/>
              <w:jc w:val="center"/>
              <w:rPr>
                <w:rFonts w:ascii="Arial" w:eastAsia="Arial Unicode MS" w:hAnsi="Arial" w:cs="Arial"/>
                <w:sz w:val="22"/>
                <w:szCs w:val="22"/>
              </w:rPr>
            </w:pPr>
          </w:p>
          <w:p w14:paraId="35C63566" w14:textId="731CAAC2" w:rsidR="001E4E2E" w:rsidRPr="00DF788D" w:rsidRDefault="001E4E2E" w:rsidP="009865CE">
            <w:pPr>
              <w:ind w:left="130" w:right="117"/>
              <w:jc w:val="both"/>
              <w:rPr>
                <w:rFonts w:ascii="Arial" w:eastAsia="Arial Unicode MS" w:hAnsi="Arial" w:cs="Arial"/>
              </w:rPr>
            </w:pPr>
          </w:p>
        </w:tc>
        <w:tc>
          <w:tcPr>
            <w:tcW w:w="8247"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BF8CA4B" w14:textId="7FDB5B2C" w:rsidR="00914362" w:rsidRPr="00DF788D" w:rsidRDefault="007623C2" w:rsidP="00914362">
            <w:pPr>
              <w:pStyle w:val="Default"/>
              <w:ind w:left="123" w:right="122"/>
              <w:jc w:val="both"/>
              <w:rPr>
                <w:rFonts w:eastAsia="Arial Unicode MS"/>
                <w:color w:val="auto"/>
                <w:sz w:val="22"/>
              </w:rPr>
            </w:pPr>
            <w:r w:rsidRPr="00DF788D">
              <w:rPr>
                <w:rFonts w:eastAsia="Arial Unicode MS"/>
                <w:color w:val="auto"/>
                <w:sz w:val="22"/>
              </w:rPr>
              <w:t>Conforme exposto nas</w:t>
            </w:r>
            <w:r w:rsidR="00914362" w:rsidRPr="00DF788D">
              <w:rPr>
                <w:rFonts w:eastAsia="Arial Unicode MS"/>
                <w:color w:val="auto"/>
                <w:sz w:val="22"/>
              </w:rPr>
              <w:t xml:space="preserve"> considerações iniciais, o critério de 20% do mercado relevante para definição de agente dominante poderá inibir investimentos e sua fixação resulta, respeitosamente, da confusão nos conceitos de concentração e rivalidade</w:t>
            </w:r>
            <w:r w:rsidR="00D3356D" w:rsidRPr="00DF788D">
              <w:rPr>
                <w:rFonts w:eastAsia="Arial Unicode MS"/>
                <w:color w:val="auto"/>
                <w:sz w:val="22"/>
              </w:rPr>
              <w:t>, além da interpretação incorreta do delimitado na Lei 12.529/2011.</w:t>
            </w:r>
          </w:p>
          <w:p w14:paraId="1D4596B4" w14:textId="11B34AA4" w:rsidR="007623C2" w:rsidRPr="00DF788D" w:rsidRDefault="007623C2" w:rsidP="00914362">
            <w:pPr>
              <w:pStyle w:val="Default"/>
              <w:ind w:left="123" w:right="122"/>
              <w:jc w:val="both"/>
              <w:rPr>
                <w:rFonts w:eastAsia="Arial Unicode MS"/>
                <w:color w:val="auto"/>
                <w:sz w:val="22"/>
              </w:rPr>
            </w:pPr>
          </w:p>
          <w:p w14:paraId="2643217D" w14:textId="3744A6D9" w:rsidR="007623C2" w:rsidRPr="00DF788D" w:rsidRDefault="007623C2" w:rsidP="00914362">
            <w:pPr>
              <w:pStyle w:val="Default"/>
              <w:ind w:left="123" w:right="122"/>
              <w:jc w:val="both"/>
              <w:rPr>
                <w:rFonts w:eastAsia="Arial Unicode MS"/>
                <w:color w:val="auto"/>
                <w:sz w:val="22"/>
              </w:rPr>
            </w:pPr>
            <w:r w:rsidRPr="00DF788D">
              <w:rPr>
                <w:rFonts w:eastAsia="Arial Unicode MS"/>
                <w:color w:val="auto"/>
                <w:sz w:val="22"/>
              </w:rPr>
              <w:lastRenderedPageBreak/>
              <w:t xml:space="preserve">O Sindigás contratou dois trabalhos sobre a presente Consulta Pública e cumpre frisar que o </w:t>
            </w:r>
            <w:r w:rsidRPr="00DF788D">
              <w:rPr>
                <w:rFonts w:eastAsia="Arial Unicode MS"/>
                <w:i/>
                <w:color w:val="auto"/>
                <w:sz w:val="22"/>
              </w:rPr>
              <w:t>Legal Opinion</w:t>
            </w:r>
            <w:r w:rsidRPr="00DF788D">
              <w:rPr>
                <w:rFonts w:eastAsia="Arial Unicode MS"/>
                <w:color w:val="auto"/>
                <w:sz w:val="22"/>
              </w:rPr>
              <w:t xml:space="preserve"> do jurista Eric Jasper conclui como sendo ideal a supressão do conceito, sendo o inciso I do art. 2º excluído da minuta. Sob o prisma econômico o </w:t>
            </w:r>
            <w:r w:rsidRPr="00DF788D">
              <w:rPr>
                <w:rFonts w:eastAsia="Arial Unicode MS"/>
                <w:i/>
                <w:color w:val="auto"/>
                <w:sz w:val="22"/>
              </w:rPr>
              <w:t>Paper</w:t>
            </w:r>
            <w:r w:rsidRPr="00DF788D">
              <w:rPr>
                <w:rFonts w:eastAsia="Arial Unicode MS"/>
                <w:color w:val="auto"/>
                <w:sz w:val="22"/>
              </w:rPr>
              <w:t xml:space="preserve"> do economista José Tavares aponta que a </w:t>
            </w:r>
            <w:r w:rsidR="00397DE1" w:rsidRPr="00DF788D">
              <w:rPr>
                <w:rFonts w:eastAsia="Arial Unicode MS"/>
                <w:color w:val="auto"/>
                <w:sz w:val="22"/>
              </w:rPr>
              <w:t>minuta de Resolução</w:t>
            </w:r>
            <w:r w:rsidRPr="00DF788D">
              <w:rPr>
                <w:rFonts w:eastAsia="Arial Unicode MS"/>
                <w:color w:val="auto"/>
                <w:sz w:val="22"/>
              </w:rPr>
              <w:t xml:space="preserve"> deveria ser arquivada em sua totalidade</w:t>
            </w:r>
            <w:r w:rsidR="00397DE1" w:rsidRPr="00DF788D">
              <w:rPr>
                <w:rFonts w:eastAsia="Arial Unicode MS"/>
                <w:color w:val="auto"/>
                <w:sz w:val="22"/>
              </w:rPr>
              <w:t>, pois:</w:t>
            </w:r>
          </w:p>
          <w:p w14:paraId="5FC19298" w14:textId="2021C12A" w:rsidR="00397DE1" w:rsidRPr="00DF788D" w:rsidRDefault="00397DE1" w:rsidP="00914362">
            <w:pPr>
              <w:pStyle w:val="Default"/>
              <w:ind w:left="123" w:right="122"/>
              <w:jc w:val="both"/>
              <w:rPr>
                <w:rFonts w:eastAsia="Arial Unicode MS"/>
                <w:color w:val="auto"/>
                <w:sz w:val="22"/>
              </w:rPr>
            </w:pPr>
          </w:p>
          <w:p w14:paraId="69E2F465" w14:textId="0E2DAE68" w:rsidR="00397DE1" w:rsidRPr="00DF788D" w:rsidRDefault="006B5299" w:rsidP="00A159E7">
            <w:pPr>
              <w:pStyle w:val="Default"/>
              <w:ind w:left="708" w:right="122"/>
              <w:jc w:val="both"/>
              <w:rPr>
                <w:rFonts w:eastAsia="Arial Unicode MS"/>
                <w:i/>
                <w:color w:val="auto"/>
                <w:sz w:val="20"/>
              </w:rPr>
            </w:pPr>
            <w:r w:rsidRPr="00DF788D">
              <w:rPr>
                <w:rFonts w:eastAsia="Arial Unicode MS"/>
                <w:i/>
                <w:color w:val="auto"/>
                <w:sz w:val="20"/>
              </w:rPr>
              <w:t>“...</w:t>
            </w:r>
            <w:r w:rsidR="00397DE1" w:rsidRPr="00DF788D">
              <w:rPr>
                <w:rFonts w:eastAsia="Arial Unicode MS"/>
                <w:i/>
                <w:color w:val="auto"/>
                <w:sz w:val="20"/>
              </w:rPr>
              <w:t>o patamar de 20% é referido no capítulo de infrações à ordem econômica, como a formação de cartel, o abuso de posição dominante e outras condutas que prejudicam a livre concorrência. A lei é explicita quanto à norma de que um grau de concentração elevado do mercado não constitui, por si só, qualquer delito, conforme atesta o primeiro parágrafo do Art. 36: “A conquista do mercado resultante de processo natural fundado na maior eficiência de agente econômico em relação a seus competidores não caracteriza o ilícito previsto no inciso II do caput deste artigo.”</w:t>
            </w:r>
            <w:r w:rsidR="00397DE1" w:rsidRPr="00DF788D">
              <w:rPr>
                <w:rStyle w:val="Refdenotaderodap"/>
                <w:rFonts w:eastAsia="Arial Unicode MS"/>
                <w:color w:val="auto"/>
                <w:sz w:val="22"/>
              </w:rPr>
              <w:t xml:space="preserve"> </w:t>
            </w:r>
            <w:r w:rsidR="00397DE1" w:rsidRPr="00DF788D">
              <w:rPr>
                <w:rStyle w:val="Refdenotaderodap"/>
                <w:rFonts w:eastAsia="Arial Unicode MS"/>
                <w:color w:val="auto"/>
                <w:sz w:val="22"/>
              </w:rPr>
              <w:footnoteReference w:id="4"/>
            </w:r>
          </w:p>
          <w:p w14:paraId="42C6B6B6" w14:textId="77777777" w:rsidR="00397DE1" w:rsidRPr="00DF788D" w:rsidRDefault="00397DE1" w:rsidP="00397DE1">
            <w:pPr>
              <w:pStyle w:val="Default"/>
              <w:ind w:left="123" w:right="122"/>
              <w:jc w:val="both"/>
              <w:rPr>
                <w:rFonts w:eastAsia="Arial Unicode MS"/>
                <w:i/>
                <w:color w:val="auto"/>
                <w:sz w:val="22"/>
              </w:rPr>
            </w:pPr>
          </w:p>
          <w:p w14:paraId="5C5C2CCC" w14:textId="6DD7A4DC" w:rsidR="00397DE1" w:rsidRPr="00DF788D" w:rsidRDefault="00397DE1" w:rsidP="00397DE1">
            <w:pPr>
              <w:pStyle w:val="Default"/>
              <w:ind w:left="123" w:right="122"/>
              <w:jc w:val="both"/>
              <w:rPr>
                <w:rFonts w:eastAsia="Arial Unicode MS"/>
                <w:i/>
                <w:color w:val="auto"/>
                <w:sz w:val="22"/>
                <w:u w:val="single"/>
              </w:rPr>
            </w:pPr>
            <w:r w:rsidRPr="00DF788D">
              <w:rPr>
                <w:rFonts w:eastAsia="Arial Unicode MS"/>
                <w:i/>
                <w:color w:val="auto"/>
                <w:sz w:val="22"/>
                <w:u w:val="single"/>
              </w:rPr>
              <w:t>Assim, reforçamos que mencionar o grau de concentração sem descrever as condições de concorrência vigentes no mercado é um recurso insuficiente sob a ótica antitruste, que também não faz sentido à luz da teoria econômica</w:t>
            </w:r>
            <w:r w:rsidRPr="00DF788D">
              <w:rPr>
                <w:rStyle w:val="Refdenotaderodap"/>
                <w:rFonts w:eastAsia="Arial Unicode MS"/>
                <w:i/>
                <w:color w:val="auto"/>
                <w:sz w:val="22"/>
                <w:u w:val="single"/>
              </w:rPr>
              <w:footnoteReference w:id="5"/>
            </w:r>
            <w:r w:rsidRPr="00DF788D">
              <w:rPr>
                <w:rFonts w:eastAsia="Arial Unicode MS"/>
                <w:i/>
                <w:color w:val="auto"/>
                <w:sz w:val="22"/>
                <w:u w:val="single"/>
              </w:rPr>
              <w:t>.</w:t>
            </w:r>
          </w:p>
          <w:p w14:paraId="49FC29F8" w14:textId="77777777" w:rsidR="00397DE1" w:rsidRPr="00DF788D" w:rsidRDefault="00397DE1" w:rsidP="00914362">
            <w:pPr>
              <w:pStyle w:val="Default"/>
              <w:ind w:left="123" w:right="122"/>
              <w:jc w:val="both"/>
              <w:rPr>
                <w:rFonts w:eastAsia="Arial Unicode MS"/>
                <w:color w:val="auto"/>
                <w:sz w:val="22"/>
              </w:rPr>
            </w:pPr>
          </w:p>
          <w:p w14:paraId="1055DA16" w14:textId="16A10ED0" w:rsidR="00397DE1" w:rsidRPr="00DF788D" w:rsidRDefault="00397DE1" w:rsidP="00397DE1">
            <w:pPr>
              <w:pStyle w:val="Default"/>
              <w:ind w:left="123" w:right="122"/>
              <w:jc w:val="both"/>
              <w:rPr>
                <w:rFonts w:eastAsia="Arial Unicode MS"/>
                <w:sz w:val="22"/>
              </w:rPr>
            </w:pPr>
            <w:r w:rsidRPr="00DF788D">
              <w:rPr>
                <w:rFonts w:eastAsia="Arial Unicode MS"/>
                <w:sz w:val="22"/>
              </w:rPr>
              <w:t>Ainda, nesse contexto, relevante consignar exposição do mesmo economista</w:t>
            </w:r>
            <w:r w:rsidRPr="00DF788D">
              <w:rPr>
                <w:rStyle w:val="Refdenotaderodap"/>
                <w:rFonts w:eastAsia="Arial Unicode MS"/>
                <w:sz w:val="22"/>
              </w:rPr>
              <w:footnoteReference w:id="6"/>
            </w:r>
            <w:r w:rsidRPr="00DF788D">
              <w:rPr>
                <w:rFonts w:eastAsia="Arial Unicode MS"/>
                <w:sz w:val="22"/>
              </w:rPr>
              <w:t>, tratando especificamente da CP ANP 04/2019:</w:t>
            </w:r>
          </w:p>
          <w:p w14:paraId="3BC20BBE" w14:textId="1E494B1F" w:rsidR="00397DE1" w:rsidRPr="00DF788D" w:rsidRDefault="00397DE1" w:rsidP="00397DE1">
            <w:pPr>
              <w:pStyle w:val="Default"/>
              <w:ind w:left="123" w:right="122"/>
              <w:jc w:val="both"/>
              <w:rPr>
                <w:rFonts w:eastAsia="Arial Unicode MS"/>
                <w:sz w:val="22"/>
              </w:rPr>
            </w:pPr>
          </w:p>
          <w:p w14:paraId="5EF7C23B" w14:textId="77777777" w:rsidR="00397DE1" w:rsidRPr="00DF788D" w:rsidRDefault="00397DE1" w:rsidP="00A159E7">
            <w:pPr>
              <w:ind w:left="708" w:right="122"/>
              <w:jc w:val="both"/>
              <w:rPr>
                <w:rFonts w:ascii="Arial" w:eastAsia="Arial Unicode MS" w:hAnsi="Arial" w:cs="Arial"/>
                <w:i/>
              </w:rPr>
            </w:pPr>
            <w:r w:rsidRPr="00DF788D">
              <w:rPr>
                <w:rFonts w:ascii="Arial" w:eastAsia="Arial Unicode MS" w:hAnsi="Arial" w:cs="Arial"/>
                <w:i/>
              </w:rPr>
              <w:t>“ ...sob a ótica dos princípios antitruste, uma firma ocupa uma posição dominante quando tem poder de mercado suficiente para elevar seus preços independentemente das eventuais reações de seus concorrentes, consumidores e fornecedores (Posner e Landes, 1980; Schmalensee, 1987). Este é o critério usado nas leis antitruste contemporâneas das principais economias do mundo. Com base nele, a autoridade define, em casa caso concreto, a dimensão do mercado relevante sob a ótica do produto e de sua extensão territorial, e, a partir daí, estuda o padrão de competição vigente naquele mercado.</w:t>
            </w:r>
          </w:p>
          <w:p w14:paraId="61E34ABE" w14:textId="77777777" w:rsidR="00397DE1" w:rsidRPr="00DF788D" w:rsidRDefault="00397DE1" w:rsidP="00A159E7">
            <w:pPr>
              <w:ind w:left="708" w:right="122"/>
              <w:jc w:val="both"/>
              <w:rPr>
                <w:rFonts w:ascii="Arial" w:eastAsia="Arial Unicode MS" w:hAnsi="Arial" w:cs="Arial"/>
                <w:i/>
              </w:rPr>
            </w:pPr>
          </w:p>
          <w:p w14:paraId="67B737C8" w14:textId="77777777" w:rsidR="00397DE1" w:rsidRPr="00DF788D" w:rsidRDefault="00397DE1" w:rsidP="00A159E7">
            <w:pPr>
              <w:ind w:left="708" w:right="122"/>
              <w:jc w:val="both"/>
              <w:rPr>
                <w:rFonts w:ascii="Arial" w:eastAsia="Arial Unicode MS" w:hAnsi="Arial" w:cs="Arial"/>
                <w:i/>
              </w:rPr>
            </w:pPr>
            <w:r w:rsidRPr="00DF788D">
              <w:rPr>
                <w:rFonts w:ascii="Arial" w:eastAsia="Arial Unicode MS" w:hAnsi="Arial" w:cs="Arial"/>
                <w:i/>
              </w:rPr>
              <w:t xml:space="preserve">Assim, é incorreto, como pretende a ANP, definir a priori, de forma rígida, um agente dominante a partir de sua parcela de mercado (a menos que se trate de um monopolista) sem conhecer o tamanho de seus concorrentes; bem como estabelecer uma dimensão geográfica inalterável de seu mercado relevante, que pode mudar a qualquer momento em virtude de inúmeros fatores, como progresso </w:t>
            </w:r>
            <w:r w:rsidRPr="00DF788D">
              <w:rPr>
                <w:rFonts w:ascii="Arial" w:eastAsia="Arial Unicode MS" w:hAnsi="Arial" w:cs="Arial"/>
                <w:i/>
              </w:rPr>
              <w:lastRenderedPageBreak/>
              <w:t>técnico, crescimento econômico, abertura ou fechamento da economia, etc. No caso da distribuição de GLP no Brasil, por exemplo, nenhuma das quatro firmas líderes ocupa uma posição dominante. Se uma delas tentar aumentar arbitrariamente seus preços, irá enfrentar a reação imediata de seus rivais e de sua rede de revendedores. Além disso, o mercado relevante está circunscrito no âmbito estadual...”</w:t>
            </w:r>
          </w:p>
          <w:p w14:paraId="676674D8" w14:textId="77777777" w:rsidR="00397DE1" w:rsidRPr="00DF788D" w:rsidRDefault="00397DE1" w:rsidP="00397DE1">
            <w:pPr>
              <w:pStyle w:val="Default"/>
              <w:ind w:left="123" w:right="122"/>
              <w:jc w:val="both"/>
              <w:rPr>
                <w:rFonts w:eastAsia="Arial Unicode MS"/>
                <w:sz w:val="22"/>
              </w:rPr>
            </w:pPr>
          </w:p>
          <w:p w14:paraId="7CD3A898" w14:textId="61ADE63C" w:rsidR="00397DE1" w:rsidRPr="00DF788D" w:rsidRDefault="00397DE1" w:rsidP="00397DE1">
            <w:pPr>
              <w:pStyle w:val="Default"/>
              <w:ind w:left="123" w:right="122"/>
              <w:jc w:val="both"/>
              <w:rPr>
                <w:rFonts w:eastAsia="Arial Unicode MS"/>
                <w:sz w:val="22"/>
              </w:rPr>
            </w:pPr>
            <w:r w:rsidRPr="00DF788D">
              <w:rPr>
                <w:rFonts w:eastAsia="Arial Unicode MS"/>
                <w:sz w:val="22"/>
              </w:rPr>
              <w:t>E continua:</w:t>
            </w:r>
          </w:p>
          <w:p w14:paraId="749080A8" w14:textId="66A4A7D6" w:rsidR="00397DE1" w:rsidRPr="00DF788D" w:rsidRDefault="00397DE1" w:rsidP="00914362">
            <w:pPr>
              <w:pStyle w:val="Default"/>
              <w:ind w:left="123" w:right="122"/>
              <w:jc w:val="both"/>
              <w:rPr>
                <w:rFonts w:eastAsia="Arial Unicode MS"/>
                <w:color w:val="auto"/>
                <w:sz w:val="22"/>
              </w:rPr>
            </w:pPr>
          </w:p>
          <w:p w14:paraId="68FEF4B9" w14:textId="77777777" w:rsidR="00397DE1" w:rsidRPr="00DF788D" w:rsidRDefault="00397DE1" w:rsidP="00A159E7">
            <w:pPr>
              <w:pStyle w:val="PargrafodaLista"/>
              <w:numPr>
                <w:ilvl w:val="0"/>
                <w:numId w:val="4"/>
              </w:numPr>
              <w:ind w:left="880" w:hanging="172"/>
              <w:contextualSpacing/>
              <w:jc w:val="both"/>
              <w:rPr>
                <w:rFonts w:ascii="Arial" w:hAnsi="Arial" w:cs="Arial"/>
                <w:i/>
                <w:sz w:val="20"/>
              </w:rPr>
            </w:pPr>
            <w:r w:rsidRPr="00DF788D">
              <w:rPr>
                <w:rFonts w:ascii="Arial" w:hAnsi="Arial" w:cs="Arial"/>
                <w:i/>
                <w:sz w:val="20"/>
              </w:rPr>
              <w:t>A proposta de tornar obrigatória a divulgação das listas de preços praticados pelos produtores e importadores de derivados de petróleo ignora a pertinente advertência feita pelo CADE sobre os riscos de condutas anticompetitivas que seriam advindas de normas deste tipo. Como vimos na seção 4, tal advertência está baseada em princípios solidamente estabelecidos na teoria econômica, e recorrentemente confirmados por evidências empíricas.</w:t>
            </w:r>
          </w:p>
          <w:p w14:paraId="17FF5911" w14:textId="77777777" w:rsidR="00397DE1" w:rsidRPr="00DF788D" w:rsidRDefault="00397DE1" w:rsidP="00A159E7">
            <w:pPr>
              <w:pStyle w:val="PargrafodaLista"/>
              <w:ind w:left="880" w:hanging="172"/>
              <w:jc w:val="both"/>
              <w:rPr>
                <w:rFonts w:ascii="Arial" w:hAnsi="Arial" w:cs="Arial"/>
                <w:i/>
                <w:sz w:val="20"/>
              </w:rPr>
            </w:pPr>
          </w:p>
          <w:p w14:paraId="3A089E51" w14:textId="18E7E68E" w:rsidR="00397DE1" w:rsidRPr="00DF788D" w:rsidRDefault="00397DE1" w:rsidP="00A159E7">
            <w:pPr>
              <w:pStyle w:val="PargrafodaLista"/>
              <w:numPr>
                <w:ilvl w:val="0"/>
                <w:numId w:val="4"/>
              </w:numPr>
              <w:ind w:left="880" w:hanging="172"/>
              <w:contextualSpacing/>
              <w:jc w:val="both"/>
              <w:rPr>
                <w:rFonts w:ascii="Arial" w:hAnsi="Arial" w:cs="Arial"/>
                <w:i/>
                <w:sz w:val="20"/>
              </w:rPr>
            </w:pPr>
            <w:r w:rsidRPr="00DF788D">
              <w:rPr>
                <w:rFonts w:ascii="Arial" w:hAnsi="Arial" w:cs="Arial"/>
                <w:i/>
                <w:sz w:val="20"/>
              </w:rPr>
              <w:t>Em contraposição, os argumentos apresentados pela ANP sobre os benefícios que seriam gerados pela ampliação da transparência dos preços são inspirados em teorias que não se aplicam ao caso de oligopólios homogêneos, que será a configuração industrial mais provável que resultará da venda das refinarias da Petrobras</w:t>
            </w:r>
            <w:r w:rsidRPr="00DF788D">
              <w:rPr>
                <w:rStyle w:val="Refdenotaderodap"/>
                <w:rFonts w:ascii="Arial" w:hAnsi="Arial" w:cs="Arial"/>
                <w:i/>
                <w:sz w:val="20"/>
              </w:rPr>
              <w:footnoteReference w:id="7"/>
            </w:r>
            <w:r w:rsidRPr="00DF788D">
              <w:rPr>
                <w:rFonts w:ascii="Arial" w:hAnsi="Arial" w:cs="Arial"/>
                <w:i/>
                <w:sz w:val="20"/>
              </w:rPr>
              <w:t>.</w:t>
            </w:r>
          </w:p>
          <w:p w14:paraId="55C7B1DB" w14:textId="0A373BA5" w:rsidR="00397DE1" w:rsidRPr="00DF788D" w:rsidRDefault="00397DE1" w:rsidP="00914362">
            <w:pPr>
              <w:pStyle w:val="Default"/>
              <w:ind w:left="123" w:right="122"/>
              <w:jc w:val="both"/>
              <w:rPr>
                <w:rFonts w:eastAsia="Arial Unicode MS"/>
                <w:color w:val="auto"/>
                <w:sz w:val="22"/>
              </w:rPr>
            </w:pPr>
          </w:p>
          <w:p w14:paraId="56E105C4" w14:textId="794C2BA4" w:rsidR="00D06353" w:rsidRPr="00DF788D" w:rsidRDefault="00CD3CAF" w:rsidP="00D06353">
            <w:pPr>
              <w:ind w:left="123" w:right="122"/>
              <w:jc w:val="both"/>
              <w:rPr>
                <w:rFonts w:ascii="Arial" w:eastAsia="Arial Unicode MS" w:hAnsi="Arial" w:cs="Arial"/>
                <w:sz w:val="22"/>
              </w:rPr>
            </w:pPr>
            <w:r w:rsidRPr="00DF788D">
              <w:rPr>
                <w:rFonts w:ascii="Arial" w:eastAsia="Arial Unicode MS" w:hAnsi="Arial" w:cs="Arial"/>
                <w:sz w:val="22"/>
              </w:rPr>
              <w:t>Não obstante, i</w:t>
            </w:r>
            <w:r w:rsidR="00D06353" w:rsidRPr="00DF788D">
              <w:rPr>
                <w:rFonts w:ascii="Arial" w:eastAsia="Arial Unicode MS" w:hAnsi="Arial" w:cs="Arial"/>
                <w:sz w:val="22"/>
              </w:rPr>
              <w:t>mportante</w:t>
            </w:r>
            <w:r w:rsidRPr="00DF788D">
              <w:rPr>
                <w:rFonts w:ascii="Arial" w:eastAsia="Arial Unicode MS" w:hAnsi="Arial" w:cs="Arial"/>
                <w:sz w:val="22"/>
              </w:rPr>
              <w:t xml:space="preserve"> apresentar as</w:t>
            </w:r>
            <w:r w:rsidR="00D06353" w:rsidRPr="00DF788D">
              <w:rPr>
                <w:rFonts w:ascii="Arial" w:eastAsia="Arial Unicode MS" w:hAnsi="Arial" w:cs="Arial"/>
                <w:sz w:val="22"/>
              </w:rPr>
              <w:t xml:space="preserve"> conclusões retiradas do </w:t>
            </w:r>
            <w:r w:rsidR="00D06353" w:rsidRPr="00DF788D">
              <w:rPr>
                <w:rFonts w:ascii="Arial" w:eastAsia="Arial Unicode MS" w:hAnsi="Arial" w:cs="Arial"/>
                <w:i/>
                <w:sz w:val="22"/>
              </w:rPr>
              <w:t>Legal Opinion</w:t>
            </w:r>
            <w:r w:rsidRPr="00DF788D">
              <w:rPr>
                <w:rFonts w:ascii="Arial" w:eastAsia="Arial Unicode MS" w:hAnsi="Arial" w:cs="Arial"/>
                <w:i/>
                <w:sz w:val="22"/>
              </w:rPr>
              <w:t xml:space="preserve"> </w:t>
            </w:r>
            <w:r w:rsidRPr="00DF788D">
              <w:rPr>
                <w:rFonts w:ascii="Arial" w:eastAsia="Arial Unicode MS" w:hAnsi="Arial" w:cs="Arial"/>
                <w:sz w:val="22"/>
              </w:rPr>
              <w:t>que analisou a minuta de Resolução em apreço sob o aspecto concorrencial, constante no a</w:t>
            </w:r>
            <w:r w:rsidR="00D06353" w:rsidRPr="00DF788D">
              <w:rPr>
                <w:rFonts w:ascii="Arial" w:eastAsia="Arial Unicode MS" w:hAnsi="Arial" w:cs="Arial"/>
                <w:sz w:val="22"/>
              </w:rPr>
              <w:t>nexo II, pontuando que:</w:t>
            </w:r>
          </w:p>
          <w:p w14:paraId="11A7173C" w14:textId="77777777" w:rsidR="00D06353" w:rsidRPr="00DF788D" w:rsidRDefault="00D06353" w:rsidP="00D06353">
            <w:pPr>
              <w:ind w:left="123" w:right="122"/>
              <w:jc w:val="both"/>
              <w:rPr>
                <w:rFonts w:ascii="Arial" w:eastAsia="Arial Unicode MS" w:hAnsi="Arial" w:cs="Arial"/>
                <w:sz w:val="22"/>
              </w:rPr>
            </w:pPr>
          </w:p>
          <w:p w14:paraId="523302E8" w14:textId="77777777" w:rsidR="00D06353" w:rsidRPr="00DF788D" w:rsidRDefault="00D06353" w:rsidP="00D06353">
            <w:pPr>
              <w:autoSpaceDE w:val="0"/>
              <w:autoSpaceDN w:val="0"/>
              <w:adjustRightInd w:val="0"/>
              <w:spacing w:line="312" w:lineRule="auto"/>
              <w:ind w:left="708"/>
              <w:jc w:val="both"/>
              <w:rPr>
                <w:rFonts w:ascii="Arial" w:hAnsi="Arial" w:cs="Arial"/>
                <w:i/>
                <w:color w:val="000000"/>
              </w:rPr>
            </w:pPr>
            <w:r w:rsidRPr="00DF788D">
              <w:rPr>
                <w:rFonts w:ascii="Arial" w:eastAsia="Arial Unicode MS" w:hAnsi="Arial" w:cs="Arial"/>
                <w:i/>
                <w:sz w:val="22"/>
              </w:rPr>
              <w:t>“</w:t>
            </w:r>
            <w:r w:rsidRPr="00DF788D">
              <w:rPr>
                <w:rFonts w:ascii="Arial" w:hAnsi="Arial" w:cs="Arial"/>
                <w:i/>
                <w:color w:val="000000"/>
              </w:rPr>
              <w:t>(i)</w:t>
            </w:r>
            <w:r w:rsidRPr="00DF788D">
              <w:rPr>
                <w:rFonts w:ascii="Arial" w:hAnsi="Arial" w:cs="Arial"/>
                <w:i/>
                <w:color w:val="000000"/>
              </w:rPr>
              <w:tab/>
              <w:t>Diante da ausência de AIR e de decisão específica e motivada da Diretoria da ANP determinando a urgência da presente medida, entende-se que seria essencial que a ANP recebesse as críticas, comentários e sugestões em consulta pública e audiência pública e, na sequência, apresentasse à sociedade análise sobre o problema regulatório e concorrencial que busca resolver, incluindo todos os fatores essenciais descritos nos parágrafos anteriores. Após a apresentação da AIR, seria necessário que a ANP, caso ainda entenda que há problema concorrencial e regulatório a ser resolvido, abra novamente prazo para apresentação de comentários e sugestões da sociedade.</w:t>
            </w:r>
          </w:p>
          <w:p w14:paraId="0A035B45" w14:textId="77777777" w:rsidR="00D06353" w:rsidRPr="00DF788D" w:rsidRDefault="00D06353" w:rsidP="00D06353">
            <w:pPr>
              <w:autoSpaceDE w:val="0"/>
              <w:autoSpaceDN w:val="0"/>
              <w:adjustRightInd w:val="0"/>
              <w:spacing w:line="312" w:lineRule="auto"/>
              <w:ind w:left="708"/>
              <w:jc w:val="both"/>
              <w:rPr>
                <w:rFonts w:ascii="Arial" w:hAnsi="Arial" w:cs="Arial"/>
                <w:i/>
                <w:color w:val="000000"/>
              </w:rPr>
            </w:pPr>
          </w:p>
          <w:p w14:paraId="3DD12981" w14:textId="77777777" w:rsidR="00D06353" w:rsidRPr="00DF788D" w:rsidRDefault="00D06353" w:rsidP="00D06353">
            <w:pPr>
              <w:autoSpaceDE w:val="0"/>
              <w:autoSpaceDN w:val="0"/>
              <w:adjustRightInd w:val="0"/>
              <w:spacing w:line="312" w:lineRule="auto"/>
              <w:ind w:left="708"/>
              <w:jc w:val="both"/>
              <w:rPr>
                <w:rFonts w:ascii="Arial" w:hAnsi="Arial" w:cs="Arial"/>
                <w:i/>
                <w:color w:val="000000"/>
              </w:rPr>
            </w:pPr>
            <w:r w:rsidRPr="00DF788D">
              <w:rPr>
                <w:rFonts w:ascii="Arial" w:hAnsi="Arial" w:cs="Arial"/>
                <w:i/>
                <w:color w:val="000000"/>
              </w:rPr>
              <w:t>(ii)</w:t>
            </w:r>
            <w:r w:rsidRPr="00DF788D">
              <w:rPr>
                <w:rFonts w:ascii="Arial" w:hAnsi="Arial" w:cs="Arial"/>
                <w:i/>
                <w:color w:val="000000"/>
              </w:rPr>
              <w:tab/>
              <w:t>A Minuta cria conceito absolutamente novo no arcabouço jurídico relativo às atividades da ANP e, portanto, ofende diretamente os princípios constitucionais da legalidade e separação dos poderes. Tal fato é demonstrado, entre outros, pela inspiração da Minuta em dispositivo previsto na Lei n. 12.529/2011 (norma que, por óbvio, não se aplica à ANP) e não em norma infralegal do CADE.</w:t>
            </w:r>
          </w:p>
          <w:p w14:paraId="1C31FFA0" w14:textId="77777777" w:rsidR="00D06353" w:rsidRPr="00DF788D" w:rsidRDefault="00D06353" w:rsidP="00D06353">
            <w:pPr>
              <w:autoSpaceDE w:val="0"/>
              <w:autoSpaceDN w:val="0"/>
              <w:adjustRightInd w:val="0"/>
              <w:spacing w:line="312" w:lineRule="auto"/>
              <w:ind w:left="708"/>
              <w:jc w:val="both"/>
              <w:rPr>
                <w:rFonts w:ascii="Arial" w:hAnsi="Arial" w:cs="Arial"/>
                <w:i/>
                <w:color w:val="000000"/>
              </w:rPr>
            </w:pPr>
          </w:p>
          <w:p w14:paraId="452854B9" w14:textId="77777777" w:rsidR="00D06353" w:rsidRPr="00DF788D" w:rsidRDefault="00D06353" w:rsidP="00D06353">
            <w:pPr>
              <w:autoSpaceDE w:val="0"/>
              <w:autoSpaceDN w:val="0"/>
              <w:adjustRightInd w:val="0"/>
              <w:spacing w:line="312" w:lineRule="auto"/>
              <w:ind w:left="708"/>
              <w:jc w:val="both"/>
              <w:rPr>
                <w:rFonts w:ascii="Arial" w:hAnsi="Arial" w:cs="Arial"/>
                <w:i/>
                <w:color w:val="000000"/>
              </w:rPr>
            </w:pPr>
            <w:r w:rsidRPr="00DF788D">
              <w:rPr>
                <w:rFonts w:ascii="Arial" w:hAnsi="Arial" w:cs="Arial"/>
                <w:i/>
                <w:color w:val="000000"/>
              </w:rPr>
              <w:t>(iii)</w:t>
            </w:r>
            <w:r w:rsidRPr="00DF788D">
              <w:rPr>
                <w:rFonts w:ascii="Arial" w:hAnsi="Arial" w:cs="Arial"/>
                <w:i/>
                <w:color w:val="000000"/>
              </w:rPr>
              <w:tab/>
              <w:t>Além de configurar infração ao princípio da legalidade e à separação dos poderes, o conceito de “agente dominante” deve ser completamente excluído da Minuta pelas seguintes razões:</w:t>
            </w:r>
          </w:p>
          <w:p w14:paraId="37470E81" w14:textId="77777777" w:rsidR="00D06353" w:rsidRPr="00DF788D" w:rsidRDefault="00D06353" w:rsidP="00D06353">
            <w:pPr>
              <w:autoSpaceDE w:val="0"/>
              <w:autoSpaceDN w:val="0"/>
              <w:adjustRightInd w:val="0"/>
              <w:spacing w:line="312" w:lineRule="auto"/>
              <w:ind w:left="708"/>
              <w:jc w:val="both"/>
              <w:rPr>
                <w:rFonts w:ascii="Arial" w:hAnsi="Arial" w:cs="Arial"/>
                <w:i/>
                <w:color w:val="000000"/>
              </w:rPr>
            </w:pPr>
          </w:p>
          <w:p w14:paraId="3C0447C6" w14:textId="77777777" w:rsidR="00D06353" w:rsidRPr="00DF788D" w:rsidRDefault="00D06353" w:rsidP="00D06353">
            <w:pPr>
              <w:autoSpaceDE w:val="0"/>
              <w:autoSpaceDN w:val="0"/>
              <w:adjustRightInd w:val="0"/>
              <w:spacing w:line="312" w:lineRule="auto"/>
              <w:ind w:left="1417"/>
              <w:jc w:val="both"/>
              <w:rPr>
                <w:rFonts w:ascii="Arial" w:hAnsi="Arial" w:cs="Arial"/>
                <w:i/>
                <w:color w:val="000000"/>
              </w:rPr>
            </w:pPr>
            <w:r w:rsidRPr="00DF788D">
              <w:rPr>
                <w:rFonts w:ascii="Arial" w:hAnsi="Arial" w:cs="Arial"/>
                <w:i/>
                <w:color w:val="000000"/>
              </w:rPr>
              <w:t>(a) a Minuta não leva em consideração o contexto da Lei n. 12.529/2011, pois a referida lei contém conceito de “presunção de posição dominante” em capítulo dedicado exclusivamente às infrações concorrenciais, ou seja, a análise ex-post de condutas anticompetitivas. A Minuta busca inserir o conceito de “agente dominante” em situações de fiscalização ex-ante da estrutura de preços de mercado. Situações incomparáveis e absolutamente diferentes.</w:t>
            </w:r>
          </w:p>
          <w:p w14:paraId="0B4259C3" w14:textId="77777777" w:rsidR="00D06353" w:rsidRPr="00DF788D" w:rsidRDefault="00D06353" w:rsidP="00D06353">
            <w:pPr>
              <w:autoSpaceDE w:val="0"/>
              <w:autoSpaceDN w:val="0"/>
              <w:adjustRightInd w:val="0"/>
              <w:spacing w:line="312" w:lineRule="auto"/>
              <w:ind w:left="1417"/>
              <w:jc w:val="both"/>
              <w:rPr>
                <w:rFonts w:ascii="Arial" w:hAnsi="Arial" w:cs="Arial"/>
                <w:i/>
                <w:color w:val="000000"/>
              </w:rPr>
            </w:pPr>
          </w:p>
          <w:p w14:paraId="0B7A57B9" w14:textId="77777777" w:rsidR="00D06353" w:rsidRPr="00DF788D" w:rsidRDefault="00D06353" w:rsidP="00D06353">
            <w:pPr>
              <w:autoSpaceDE w:val="0"/>
              <w:autoSpaceDN w:val="0"/>
              <w:adjustRightInd w:val="0"/>
              <w:spacing w:line="312" w:lineRule="auto"/>
              <w:ind w:left="1417"/>
              <w:jc w:val="both"/>
              <w:rPr>
                <w:rFonts w:ascii="Arial" w:hAnsi="Arial" w:cs="Arial"/>
                <w:i/>
                <w:color w:val="000000"/>
              </w:rPr>
            </w:pPr>
            <w:r w:rsidRPr="00DF788D">
              <w:rPr>
                <w:rFonts w:ascii="Arial" w:hAnsi="Arial" w:cs="Arial"/>
                <w:i/>
                <w:color w:val="000000"/>
              </w:rPr>
              <w:t>(b) a Lei n. 12.529/2011 criou uma presunção relativa de posição dominante e que, portanto, admite prova em contrário. No presente caso, a Minuta simplesmente estabelece que o agente ou grupo econômico que detiver mais de 20% da produção de qualquer derivado de petróleo específico em qualquer macrorregião do país será considerado “agente dominante”.</w:t>
            </w:r>
          </w:p>
          <w:p w14:paraId="6F840B6D" w14:textId="77777777" w:rsidR="00D06353" w:rsidRPr="00DF788D" w:rsidRDefault="00D06353" w:rsidP="00D06353">
            <w:pPr>
              <w:autoSpaceDE w:val="0"/>
              <w:autoSpaceDN w:val="0"/>
              <w:adjustRightInd w:val="0"/>
              <w:spacing w:line="312" w:lineRule="auto"/>
              <w:ind w:left="1417"/>
              <w:jc w:val="both"/>
              <w:rPr>
                <w:rFonts w:ascii="Arial" w:hAnsi="Arial" w:cs="Arial"/>
                <w:i/>
                <w:color w:val="000000"/>
              </w:rPr>
            </w:pPr>
          </w:p>
          <w:p w14:paraId="37B74FC8" w14:textId="77777777" w:rsidR="00D06353" w:rsidRPr="00DF788D" w:rsidRDefault="00D06353" w:rsidP="00D06353">
            <w:pPr>
              <w:autoSpaceDE w:val="0"/>
              <w:autoSpaceDN w:val="0"/>
              <w:adjustRightInd w:val="0"/>
              <w:spacing w:line="312" w:lineRule="auto"/>
              <w:ind w:left="1417"/>
              <w:jc w:val="both"/>
              <w:rPr>
                <w:rFonts w:ascii="Arial" w:hAnsi="Arial" w:cs="Arial"/>
                <w:i/>
                <w:color w:val="000000"/>
              </w:rPr>
            </w:pPr>
            <w:r w:rsidRPr="00DF788D">
              <w:rPr>
                <w:rFonts w:ascii="Arial" w:hAnsi="Arial" w:cs="Arial"/>
                <w:i/>
                <w:color w:val="000000"/>
              </w:rPr>
              <w:t xml:space="preserve">(c) a Lei n. 12.529/2011 contém duas formas alternativas de se determinar se é possível estabelecer uma presunção de posição dominante e a primeira forma não é o critério formalista e objetivo de 20% de participação em mercado relevante. A lei de defesa da concorrência estabelece que a primeira forma de se analisar se um agente pode ser presumido dominante é por meio da análise se “uma empresa ou grupo de empresas for capaz de alterar </w:t>
            </w:r>
            <w:r w:rsidRPr="00DF788D">
              <w:rPr>
                <w:rFonts w:ascii="Arial" w:hAnsi="Arial" w:cs="Arial"/>
                <w:i/>
                <w:color w:val="000000"/>
              </w:rPr>
              <w:lastRenderedPageBreak/>
              <w:t>unilateral ou coordenadamente as condições de mercado”. Não há qualquer previsão similar na Minuta.</w:t>
            </w:r>
          </w:p>
          <w:p w14:paraId="0E7C76D0" w14:textId="77777777" w:rsidR="00D06353" w:rsidRPr="00DF788D" w:rsidRDefault="00D06353" w:rsidP="00D06353">
            <w:pPr>
              <w:autoSpaceDE w:val="0"/>
              <w:autoSpaceDN w:val="0"/>
              <w:adjustRightInd w:val="0"/>
              <w:spacing w:line="312" w:lineRule="auto"/>
              <w:ind w:left="1417"/>
              <w:jc w:val="both"/>
              <w:rPr>
                <w:rFonts w:ascii="Arial" w:hAnsi="Arial" w:cs="Arial"/>
                <w:i/>
                <w:color w:val="000000"/>
              </w:rPr>
            </w:pPr>
          </w:p>
          <w:p w14:paraId="57E6C428" w14:textId="77777777" w:rsidR="00D06353" w:rsidRPr="00DF788D" w:rsidRDefault="00D06353" w:rsidP="00D06353">
            <w:pPr>
              <w:autoSpaceDE w:val="0"/>
              <w:autoSpaceDN w:val="0"/>
              <w:adjustRightInd w:val="0"/>
              <w:spacing w:line="312" w:lineRule="auto"/>
              <w:ind w:left="1417"/>
              <w:jc w:val="both"/>
              <w:rPr>
                <w:rFonts w:ascii="Arial" w:hAnsi="Arial" w:cs="Arial"/>
                <w:i/>
                <w:color w:val="000000"/>
              </w:rPr>
            </w:pPr>
            <w:r w:rsidRPr="00DF788D">
              <w:rPr>
                <w:rFonts w:ascii="Arial" w:hAnsi="Arial" w:cs="Arial"/>
                <w:i/>
                <w:color w:val="000000"/>
              </w:rPr>
              <w:t>(d) a lei de defesa da concorrência utiliza o conceito da literatura econômica e jurídica de “mercado relevante” enquanto a Minuta propõe o uso dos parâmetros de “cada derivado de petróleo” (em substituição ao estabelecido conceito econômico e jurídico de “mercado relevante, em dimensão produto”) e “em cada macrorregião política do país, conforme definição do IBGE” (em substituição ao critério de “mercado relevante, dimensão geográfica”).</w:t>
            </w:r>
          </w:p>
          <w:p w14:paraId="4B000E05" w14:textId="77777777" w:rsidR="00D06353" w:rsidRPr="00DF788D" w:rsidRDefault="00D06353" w:rsidP="00D06353">
            <w:pPr>
              <w:autoSpaceDE w:val="0"/>
              <w:autoSpaceDN w:val="0"/>
              <w:adjustRightInd w:val="0"/>
              <w:spacing w:line="312" w:lineRule="auto"/>
              <w:ind w:left="708"/>
              <w:jc w:val="both"/>
              <w:rPr>
                <w:rFonts w:ascii="Arial" w:hAnsi="Arial" w:cs="Arial"/>
                <w:i/>
                <w:color w:val="000000"/>
              </w:rPr>
            </w:pPr>
          </w:p>
          <w:p w14:paraId="5C26A756" w14:textId="7F0520BF" w:rsidR="00D06353" w:rsidRPr="00DF788D" w:rsidRDefault="00D06353" w:rsidP="00D06353">
            <w:pPr>
              <w:autoSpaceDE w:val="0"/>
              <w:autoSpaceDN w:val="0"/>
              <w:adjustRightInd w:val="0"/>
              <w:spacing w:line="312" w:lineRule="auto"/>
              <w:ind w:left="708"/>
              <w:jc w:val="both"/>
              <w:rPr>
                <w:rFonts w:ascii="Arial" w:hAnsi="Arial" w:cs="Arial"/>
                <w:i/>
                <w:color w:val="000000"/>
              </w:rPr>
            </w:pPr>
            <w:r w:rsidRPr="00DF788D">
              <w:rPr>
                <w:rFonts w:ascii="Arial" w:hAnsi="Arial" w:cs="Arial"/>
                <w:i/>
                <w:color w:val="000000"/>
              </w:rPr>
              <w:t>(iv)</w:t>
            </w:r>
            <w:r w:rsidRPr="00DF788D">
              <w:rPr>
                <w:rFonts w:ascii="Arial" w:hAnsi="Arial" w:cs="Arial"/>
                <w:i/>
                <w:color w:val="000000"/>
              </w:rPr>
              <w:tab/>
              <w:t>No tocante ao novo critério de “ênfase na promoção da livre concorrência”, entende-se que se trata, mais uma vez, de infração aos princípios constitucionais da legalidade e separação dos poderes. Mas caso a ANP decida manter a criação desse novo critério, sugere-se que a autarquia apresente urgente detalhamento sobre os critérios que nortearão a análise com “ênfase na promoção da livre concorrência”, sob pena de gerar grave insegurança jurídica no processo de homologação prévia de contratos.</w:t>
            </w:r>
            <w:r w:rsidRPr="00DF788D">
              <w:rPr>
                <w:rFonts w:ascii="Arial" w:eastAsia="Arial Unicode MS" w:hAnsi="Arial" w:cs="Arial"/>
                <w:i/>
                <w:sz w:val="22"/>
              </w:rPr>
              <w:t>”</w:t>
            </w:r>
            <w:r w:rsidR="00CD3CAF" w:rsidRPr="00DF788D">
              <w:rPr>
                <w:rStyle w:val="Refdenotaderodap"/>
                <w:rFonts w:ascii="Arial" w:eastAsia="Arial Unicode MS" w:hAnsi="Arial" w:cs="Arial"/>
                <w:sz w:val="22"/>
              </w:rPr>
              <w:t xml:space="preserve"> </w:t>
            </w:r>
            <w:r w:rsidR="00CD3CAF" w:rsidRPr="00DF788D">
              <w:rPr>
                <w:rStyle w:val="Refdenotaderodap"/>
                <w:rFonts w:ascii="Arial" w:eastAsia="Arial Unicode MS" w:hAnsi="Arial" w:cs="Arial"/>
                <w:sz w:val="22"/>
              </w:rPr>
              <w:footnoteReference w:id="8"/>
            </w:r>
          </w:p>
          <w:p w14:paraId="03F7DCDF" w14:textId="77777777" w:rsidR="00D06353" w:rsidRPr="00DF788D" w:rsidRDefault="00D06353" w:rsidP="00914362">
            <w:pPr>
              <w:pStyle w:val="Default"/>
              <w:ind w:left="123" w:right="122"/>
              <w:jc w:val="both"/>
              <w:rPr>
                <w:rFonts w:eastAsia="Arial Unicode MS"/>
                <w:color w:val="auto"/>
                <w:sz w:val="22"/>
              </w:rPr>
            </w:pPr>
          </w:p>
          <w:p w14:paraId="79F090E6" w14:textId="77777777" w:rsidR="00F3714C" w:rsidRDefault="00461FDA" w:rsidP="00D06353">
            <w:pPr>
              <w:ind w:left="123" w:right="122"/>
              <w:jc w:val="both"/>
              <w:rPr>
                <w:rFonts w:ascii="Arial" w:eastAsia="Arial Unicode MS" w:hAnsi="Arial" w:cs="Arial"/>
                <w:color w:val="FF0000"/>
                <w:sz w:val="22"/>
                <w:szCs w:val="22"/>
              </w:rPr>
            </w:pPr>
            <w:r w:rsidRPr="00DF788D">
              <w:rPr>
                <w:rFonts w:ascii="Arial" w:eastAsia="Arial Unicode MS" w:hAnsi="Arial" w:cs="Arial"/>
                <w:color w:val="FF0000"/>
                <w:sz w:val="22"/>
                <w:szCs w:val="22"/>
              </w:rPr>
              <w:t xml:space="preserve">Portanto, </w:t>
            </w:r>
            <w:r w:rsidR="00D06353" w:rsidRPr="00DF788D">
              <w:rPr>
                <w:rFonts w:ascii="Arial" w:eastAsia="Arial Unicode MS" w:hAnsi="Arial" w:cs="Arial"/>
                <w:color w:val="FF0000"/>
                <w:sz w:val="22"/>
                <w:szCs w:val="22"/>
              </w:rPr>
              <w:t>o Sindigás</w:t>
            </w:r>
            <w:r w:rsidR="00F3714C">
              <w:rPr>
                <w:rFonts w:ascii="Arial" w:eastAsia="Arial Unicode MS" w:hAnsi="Arial" w:cs="Arial"/>
                <w:color w:val="FF0000"/>
                <w:sz w:val="22"/>
                <w:szCs w:val="22"/>
              </w:rPr>
              <w:t xml:space="preserve"> retificando sua manifestação anterior, após avaliar a matéria e pelos fundamentos apontados nos trabalhos anexos a esse formulário, </w:t>
            </w:r>
            <w:r w:rsidR="00D06353" w:rsidRPr="00DF788D">
              <w:rPr>
                <w:rFonts w:ascii="Arial" w:eastAsia="Arial Unicode MS" w:hAnsi="Arial" w:cs="Arial"/>
                <w:color w:val="FF0000"/>
                <w:sz w:val="22"/>
                <w:szCs w:val="22"/>
              </w:rPr>
              <w:t xml:space="preserve"> entende que extrapola da capacidade regulatória da ANP</w:t>
            </w:r>
            <w:r w:rsidR="00F3714C">
              <w:rPr>
                <w:rFonts w:ascii="Arial" w:eastAsia="Arial Unicode MS" w:hAnsi="Arial" w:cs="Arial"/>
                <w:color w:val="FF0000"/>
                <w:sz w:val="22"/>
                <w:szCs w:val="22"/>
              </w:rPr>
              <w:t xml:space="preserve"> a definição do “agente dominante”, mormente com base no critério escolhido </w:t>
            </w:r>
            <w:r w:rsidR="00D06353" w:rsidRPr="00DF788D">
              <w:rPr>
                <w:rFonts w:ascii="Arial" w:eastAsia="Arial Unicode MS" w:hAnsi="Arial" w:cs="Arial"/>
                <w:color w:val="FF0000"/>
                <w:sz w:val="22"/>
                <w:szCs w:val="22"/>
              </w:rPr>
              <w:t xml:space="preserve"> </w:t>
            </w:r>
            <w:r w:rsidR="00F3714C">
              <w:rPr>
                <w:rFonts w:ascii="Arial" w:eastAsia="Arial Unicode MS" w:hAnsi="Arial" w:cs="Arial"/>
                <w:color w:val="FF0000"/>
                <w:sz w:val="22"/>
                <w:szCs w:val="22"/>
              </w:rPr>
              <w:t>(</w:t>
            </w:r>
            <w:r w:rsidR="00D06353" w:rsidRPr="00DF788D">
              <w:rPr>
                <w:rFonts w:ascii="Arial" w:eastAsia="Arial Unicode MS" w:hAnsi="Arial" w:cs="Arial"/>
                <w:color w:val="FF0000"/>
                <w:sz w:val="22"/>
                <w:szCs w:val="22"/>
              </w:rPr>
              <w:t xml:space="preserve">20% </w:t>
            </w:r>
            <w:r w:rsidR="00F3714C">
              <w:rPr>
                <w:rFonts w:ascii="Arial" w:eastAsia="Arial Unicode MS" w:hAnsi="Arial" w:cs="Arial"/>
                <w:color w:val="FF0000"/>
                <w:sz w:val="22"/>
                <w:szCs w:val="22"/>
              </w:rPr>
              <w:t>de participação de mercado), inclusive em dissenso da discricionariedade atribuída pela</w:t>
            </w:r>
            <w:r w:rsidR="00914362" w:rsidRPr="00DF788D">
              <w:rPr>
                <w:rFonts w:ascii="Arial" w:eastAsia="Arial Unicode MS" w:hAnsi="Arial" w:cs="Arial"/>
                <w:color w:val="FF0000"/>
                <w:sz w:val="22"/>
                <w:szCs w:val="22"/>
              </w:rPr>
              <w:t xml:space="preserve"> Lei 12.529/11</w:t>
            </w:r>
            <w:r w:rsidRPr="00DF788D">
              <w:rPr>
                <w:rFonts w:ascii="Arial" w:eastAsia="Arial Unicode MS" w:hAnsi="Arial" w:cs="Arial"/>
                <w:color w:val="FF0000"/>
                <w:sz w:val="22"/>
                <w:szCs w:val="22"/>
              </w:rPr>
              <w:t xml:space="preserve">. </w:t>
            </w:r>
          </w:p>
          <w:p w14:paraId="4DC2008D" w14:textId="77777777" w:rsidR="00F3714C" w:rsidRDefault="00F3714C" w:rsidP="00D06353">
            <w:pPr>
              <w:ind w:left="123" w:right="122"/>
              <w:jc w:val="both"/>
              <w:rPr>
                <w:rFonts w:ascii="Arial" w:eastAsia="Arial Unicode MS" w:hAnsi="Arial" w:cs="Arial"/>
                <w:color w:val="FF0000"/>
                <w:sz w:val="22"/>
                <w:szCs w:val="22"/>
              </w:rPr>
            </w:pPr>
          </w:p>
          <w:p w14:paraId="4C3A211C" w14:textId="77777777" w:rsidR="00F3714C" w:rsidRDefault="00461FDA" w:rsidP="00D06353">
            <w:pPr>
              <w:ind w:left="123" w:right="122"/>
              <w:jc w:val="both"/>
              <w:rPr>
                <w:rFonts w:ascii="Arial" w:eastAsia="Arial Unicode MS" w:hAnsi="Arial" w:cs="Arial"/>
                <w:color w:val="FF0000"/>
                <w:sz w:val="22"/>
                <w:szCs w:val="22"/>
              </w:rPr>
            </w:pPr>
            <w:r w:rsidRPr="00DF788D">
              <w:rPr>
                <w:rFonts w:ascii="Arial" w:eastAsia="Arial Unicode MS" w:hAnsi="Arial" w:cs="Arial"/>
                <w:color w:val="FF0000"/>
                <w:sz w:val="22"/>
                <w:szCs w:val="22"/>
              </w:rPr>
              <w:t>Isso porque</w:t>
            </w:r>
            <w:r w:rsidR="00D06353" w:rsidRPr="00DF788D">
              <w:rPr>
                <w:rFonts w:ascii="Arial" w:eastAsia="Arial Unicode MS" w:hAnsi="Arial" w:cs="Arial"/>
                <w:color w:val="FF0000"/>
                <w:sz w:val="22"/>
                <w:szCs w:val="22"/>
              </w:rPr>
              <w:t>, como amplamente demonstrado,</w:t>
            </w:r>
            <w:r w:rsidRPr="00DF788D">
              <w:rPr>
                <w:rFonts w:ascii="Arial" w:eastAsia="Arial Unicode MS" w:hAnsi="Arial" w:cs="Arial"/>
                <w:color w:val="FF0000"/>
                <w:sz w:val="22"/>
                <w:szCs w:val="22"/>
              </w:rPr>
              <w:t xml:space="preserve"> o CADE utiliza o percentual de 20% como uma </w:t>
            </w:r>
            <w:r w:rsidRPr="00DF788D">
              <w:rPr>
                <w:rFonts w:ascii="Arial" w:eastAsia="Arial Unicode MS" w:hAnsi="Arial" w:cs="Arial"/>
                <w:b/>
                <w:color w:val="FF0000"/>
                <w:sz w:val="22"/>
                <w:szCs w:val="22"/>
                <w:u w:val="single"/>
              </w:rPr>
              <w:t>presunção</w:t>
            </w:r>
            <w:r w:rsidRPr="00DF788D">
              <w:rPr>
                <w:rFonts w:ascii="Arial" w:eastAsia="Arial Unicode MS" w:hAnsi="Arial" w:cs="Arial"/>
                <w:color w:val="FF0000"/>
                <w:sz w:val="22"/>
                <w:szCs w:val="22"/>
              </w:rPr>
              <w:t xml:space="preserve"> de posição dominante, </w:t>
            </w:r>
            <w:r w:rsidR="00D06353" w:rsidRPr="00DF788D">
              <w:rPr>
                <w:rFonts w:ascii="Arial" w:eastAsia="Arial Unicode MS" w:hAnsi="Arial" w:cs="Arial"/>
                <w:color w:val="FF0000"/>
                <w:sz w:val="22"/>
                <w:szCs w:val="22"/>
              </w:rPr>
              <w:t>e</w:t>
            </w:r>
            <w:r w:rsidRPr="00DF788D">
              <w:rPr>
                <w:rFonts w:ascii="Arial" w:eastAsia="Arial Unicode MS" w:hAnsi="Arial" w:cs="Arial"/>
                <w:color w:val="FF0000"/>
                <w:sz w:val="22"/>
                <w:szCs w:val="22"/>
              </w:rPr>
              <w:t xml:space="preserve"> não como uma certeza</w:t>
            </w:r>
            <w:r w:rsidR="00D06353" w:rsidRPr="00DF788D">
              <w:rPr>
                <w:rFonts w:ascii="Arial" w:eastAsia="Arial Unicode MS" w:hAnsi="Arial" w:cs="Arial"/>
                <w:color w:val="FF0000"/>
                <w:sz w:val="22"/>
                <w:szCs w:val="22"/>
              </w:rPr>
              <w:t>,</w:t>
            </w:r>
            <w:r w:rsidRPr="00DF788D">
              <w:rPr>
                <w:rFonts w:ascii="Arial" w:eastAsia="Arial Unicode MS" w:hAnsi="Arial" w:cs="Arial"/>
                <w:color w:val="FF0000"/>
                <w:sz w:val="22"/>
                <w:szCs w:val="22"/>
              </w:rPr>
              <w:t xml:space="preserve"> como pretende a ANP </w:t>
            </w:r>
            <w:r w:rsidR="00815BA6" w:rsidRPr="00DF788D">
              <w:rPr>
                <w:rFonts w:ascii="Arial" w:eastAsia="Arial Unicode MS" w:hAnsi="Arial" w:cs="Arial"/>
                <w:color w:val="FF0000"/>
                <w:sz w:val="22"/>
                <w:szCs w:val="22"/>
              </w:rPr>
              <w:t xml:space="preserve">na </w:t>
            </w:r>
            <w:r w:rsidRPr="00DF788D">
              <w:rPr>
                <w:rFonts w:ascii="Arial" w:eastAsia="Arial Unicode MS" w:hAnsi="Arial" w:cs="Arial"/>
                <w:color w:val="FF0000"/>
                <w:sz w:val="22"/>
                <w:szCs w:val="22"/>
              </w:rPr>
              <w:t>min</w:t>
            </w:r>
            <w:bookmarkStart w:id="0" w:name="_GoBack"/>
            <w:bookmarkEnd w:id="0"/>
            <w:r w:rsidRPr="00DF788D">
              <w:rPr>
                <w:rFonts w:ascii="Arial" w:eastAsia="Arial Unicode MS" w:hAnsi="Arial" w:cs="Arial"/>
                <w:color w:val="FF0000"/>
                <w:sz w:val="22"/>
                <w:szCs w:val="22"/>
              </w:rPr>
              <w:t>uta</w:t>
            </w:r>
            <w:r w:rsidR="00CD3CAF" w:rsidRPr="00DF788D">
              <w:rPr>
                <w:rFonts w:ascii="Arial" w:eastAsia="Arial Unicode MS" w:hAnsi="Arial" w:cs="Arial"/>
                <w:color w:val="FF0000"/>
                <w:sz w:val="22"/>
                <w:szCs w:val="22"/>
              </w:rPr>
              <w:t xml:space="preserve"> em comento</w:t>
            </w:r>
            <w:r w:rsidRPr="00DF788D">
              <w:rPr>
                <w:rFonts w:ascii="Arial" w:eastAsia="Arial Unicode MS" w:hAnsi="Arial" w:cs="Arial"/>
                <w:color w:val="FF0000"/>
                <w:sz w:val="22"/>
                <w:szCs w:val="22"/>
              </w:rPr>
              <w:t xml:space="preserve">. Ademais, o próprio CADE entende que esse percentual é variável para setores específicos da economia. </w:t>
            </w:r>
          </w:p>
          <w:p w14:paraId="5AB42D83" w14:textId="77777777" w:rsidR="00F3714C" w:rsidRDefault="00F3714C" w:rsidP="00D06353">
            <w:pPr>
              <w:ind w:left="123" w:right="122"/>
              <w:jc w:val="both"/>
              <w:rPr>
                <w:rFonts w:ascii="Arial" w:eastAsia="Arial Unicode MS" w:hAnsi="Arial" w:cs="Arial"/>
                <w:color w:val="FF0000"/>
                <w:sz w:val="22"/>
                <w:szCs w:val="22"/>
              </w:rPr>
            </w:pPr>
          </w:p>
          <w:p w14:paraId="64171F34" w14:textId="4DBE97A7" w:rsidR="00461FDA" w:rsidRPr="00DF788D" w:rsidRDefault="00D06353" w:rsidP="00D06353">
            <w:pPr>
              <w:ind w:left="123" w:right="122"/>
              <w:jc w:val="both"/>
              <w:rPr>
                <w:rFonts w:ascii="Arial" w:eastAsia="Arial Unicode MS" w:hAnsi="Arial" w:cs="Arial"/>
                <w:color w:val="FF0000"/>
                <w:sz w:val="22"/>
                <w:szCs w:val="22"/>
              </w:rPr>
            </w:pPr>
            <w:r w:rsidRPr="00DF788D">
              <w:rPr>
                <w:rFonts w:ascii="Arial" w:eastAsia="Arial Unicode MS" w:hAnsi="Arial" w:cs="Arial"/>
                <w:color w:val="FF0000"/>
                <w:sz w:val="22"/>
                <w:szCs w:val="22"/>
              </w:rPr>
              <w:t xml:space="preserve">Portanto, </w:t>
            </w:r>
            <w:r w:rsidR="00461FDA" w:rsidRPr="00DF788D">
              <w:rPr>
                <w:rFonts w:ascii="Arial" w:eastAsia="Arial Unicode MS" w:hAnsi="Arial" w:cs="Arial"/>
                <w:color w:val="FF0000"/>
                <w:sz w:val="22"/>
                <w:szCs w:val="22"/>
              </w:rPr>
              <w:t>reitera</w:t>
            </w:r>
            <w:r w:rsidRPr="00DF788D">
              <w:rPr>
                <w:rFonts w:ascii="Arial" w:eastAsia="Arial Unicode MS" w:hAnsi="Arial" w:cs="Arial"/>
                <w:color w:val="FF0000"/>
                <w:sz w:val="22"/>
                <w:szCs w:val="22"/>
              </w:rPr>
              <w:t xml:space="preserve">-se que a ANP </w:t>
            </w:r>
            <w:r w:rsidR="00F3714C">
              <w:rPr>
                <w:rFonts w:ascii="Arial" w:eastAsia="Arial Unicode MS" w:hAnsi="Arial" w:cs="Arial"/>
                <w:color w:val="FF0000"/>
                <w:sz w:val="22"/>
                <w:szCs w:val="22"/>
              </w:rPr>
              <w:t xml:space="preserve">caracteriza o termo “agente dominante” em acepção divergente daquela utilizada pelo </w:t>
            </w:r>
            <w:r w:rsidRPr="00DF788D">
              <w:rPr>
                <w:rFonts w:ascii="Arial" w:eastAsia="Arial Unicode MS" w:hAnsi="Arial" w:cs="Arial"/>
                <w:color w:val="FF0000"/>
                <w:sz w:val="22"/>
                <w:szCs w:val="22"/>
              </w:rPr>
              <w:t>Cade</w:t>
            </w:r>
            <w:r w:rsidR="00F3714C">
              <w:rPr>
                <w:rFonts w:ascii="Arial" w:eastAsia="Arial Unicode MS" w:hAnsi="Arial" w:cs="Arial"/>
                <w:color w:val="FF0000"/>
                <w:sz w:val="22"/>
                <w:szCs w:val="22"/>
              </w:rPr>
              <w:t>. A</w:t>
            </w:r>
            <w:r w:rsidR="00CD3CAF" w:rsidRPr="00DF788D">
              <w:rPr>
                <w:rFonts w:ascii="Arial" w:eastAsia="Arial Unicode MS" w:hAnsi="Arial" w:cs="Arial"/>
                <w:color w:val="FF0000"/>
                <w:sz w:val="22"/>
                <w:szCs w:val="22"/>
              </w:rPr>
              <w:t>ssim a manutenção d</w:t>
            </w:r>
            <w:r w:rsidR="00E81AF7" w:rsidRPr="00DF788D">
              <w:rPr>
                <w:rFonts w:ascii="Arial" w:eastAsia="Arial Unicode MS" w:hAnsi="Arial" w:cs="Arial"/>
                <w:color w:val="FF0000"/>
                <w:sz w:val="22"/>
                <w:szCs w:val="22"/>
              </w:rPr>
              <w:t xml:space="preserve">o </w:t>
            </w:r>
            <w:r w:rsidR="00F3714C">
              <w:rPr>
                <w:rFonts w:ascii="Arial" w:eastAsia="Arial Unicode MS" w:hAnsi="Arial" w:cs="Arial"/>
                <w:color w:val="FF0000"/>
                <w:sz w:val="22"/>
                <w:szCs w:val="22"/>
              </w:rPr>
              <w:t xml:space="preserve">critério </w:t>
            </w:r>
            <w:r w:rsidR="00F3714C">
              <w:rPr>
                <w:rFonts w:ascii="Arial" w:eastAsia="Arial Unicode MS" w:hAnsi="Arial" w:cs="Arial"/>
                <w:color w:val="FF0000"/>
                <w:sz w:val="22"/>
                <w:szCs w:val="22"/>
              </w:rPr>
              <w:lastRenderedPageBreak/>
              <w:t xml:space="preserve">estático do inciso I, do Art. 2º </w:t>
            </w:r>
            <w:r w:rsidR="00E81AF7" w:rsidRPr="00DF788D">
              <w:rPr>
                <w:rFonts w:ascii="Arial" w:eastAsia="Arial Unicode MS" w:hAnsi="Arial" w:cs="Arial"/>
                <w:color w:val="FF0000"/>
                <w:sz w:val="22"/>
                <w:szCs w:val="22"/>
              </w:rPr>
              <w:t>na minuta</w:t>
            </w:r>
            <w:r w:rsidR="00F3714C">
              <w:rPr>
                <w:rFonts w:ascii="Arial" w:eastAsia="Arial Unicode MS" w:hAnsi="Arial" w:cs="Arial"/>
                <w:color w:val="FF0000"/>
                <w:sz w:val="22"/>
                <w:szCs w:val="22"/>
              </w:rPr>
              <w:t xml:space="preserve"> de Resolução não </w:t>
            </w:r>
            <w:r w:rsidRPr="00DF788D">
              <w:rPr>
                <w:rFonts w:ascii="Arial" w:eastAsia="Arial Unicode MS" w:hAnsi="Arial" w:cs="Arial"/>
                <w:color w:val="FF0000"/>
                <w:sz w:val="22"/>
                <w:szCs w:val="22"/>
              </w:rPr>
              <w:t>se demonstra</w:t>
            </w:r>
            <w:r w:rsidR="00461FDA" w:rsidRPr="00DF788D">
              <w:rPr>
                <w:rFonts w:ascii="Arial" w:eastAsia="Arial Unicode MS" w:hAnsi="Arial" w:cs="Arial"/>
                <w:color w:val="FF0000"/>
                <w:sz w:val="22"/>
                <w:szCs w:val="22"/>
              </w:rPr>
              <w:t xml:space="preserve"> adequada e nem </w:t>
            </w:r>
            <w:r w:rsidR="00D32699">
              <w:rPr>
                <w:rFonts w:ascii="Arial" w:eastAsia="Arial Unicode MS" w:hAnsi="Arial" w:cs="Arial"/>
                <w:color w:val="FF0000"/>
                <w:sz w:val="22"/>
                <w:szCs w:val="22"/>
              </w:rPr>
              <w:t>é</w:t>
            </w:r>
            <w:r w:rsidR="00461FDA" w:rsidRPr="00DF788D">
              <w:rPr>
                <w:rFonts w:ascii="Arial" w:eastAsia="Arial Unicode MS" w:hAnsi="Arial" w:cs="Arial"/>
                <w:color w:val="FF0000"/>
                <w:sz w:val="22"/>
                <w:szCs w:val="22"/>
              </w:rPr>
              <w:t xml:space="preserve"> coerente com o contexto da preservação do Direito Concorrencial.</w:t>
            </w:r>
          </w:p>
          <w:p w14:paraId="6614FCB5" w14:textId="77777777" w:rsidR="0058482B" w:rsidRPr="00DF788D" w:rsidRDefault="0058482B" w:rsidP="009865CE">
            <w:pPr>
              <w:pStyle w:val="Default"/>
              <w:ind w:left="123" w:right="122"/>
              <w:jc w:val="both"/>
              <w:rPr>
                <w:rFonts w:eastAsia="Arial Unicode MS"/>
                <w:color w:val="auto"/>
                <w:sz w:val="22"/>
                <w:szCs w:val="22"/>
              </w:rPr>
            </w:pPr>
          </w:p>
          <w:p w14:paraId="71848D8F" w14:textId="2A2969A8" w:rsidR="00E621E0" w:rsidRPr="00DF788D" w:rsidRDefault="00E621E0" w:rsidP="00E621E0">
            <w:pPr>
              <w:ind w:left="123" w:right="122"/>
              <w:jc w:val="both"/>
              <w:rPr>
                <w:rFonts w:ascii="Arial" w:eastAsia="Arial Unicode MS" w:hAnsi="Arial" w:cs="Arial"/>
                <w:color w:val="FF0000"/>
                <w:sz w:val="22"/>
                <w:szCs w:val="22"/>
              </w:rPr>
            </w:pPr>
            <w:r w:rsidRPr="00DF788D">
              <w:rPr>
                <w:rFonts w:ascii="Arial" w:eastAsia="Arial Unicode MS" w:hAnsi="Arial" w:cs="Arial"/>
                <w:color w:val="FF0000"/>
                <w:sz w:val="22"/>
                <w:szCs w:val="22"/>
              </w:rPr>
              <w:t xml:space="preserve">Assim, como a </w:t>
            </w:r>
            <w:r w:rsidR="00D32699">
              <w:rPr>
                <w:rFonts w:ascii="Arial" w:eastAsia="Arial Unicode MS" w:hAnsi="Arial" w:cs="Arial"/>
                <w:color w:val="FF0000"/>
                <w:sz w:val="22"/>
                <w:szCs w:val="22"/>
              </w:rPr>
              <w:t>fixação</w:t>
            </w:r>
            <w:r w:rsidRPr="00DF788D">
              <w:rPr>
                <w:rFonts w:ascii="Arial" w:eastAsia="Arial Unicode MS" w:hAnsi="Arial" w:cs="Arial"/>
                <w:color w:val="FF0000"/>
                <w:sz w:val="22"/>
                <w:szCs w:val="22"/>
              </w:rPr>
              <w:t xml:space="preserve"> dos 20% pela ANP restringe em absoluto as atividades</w:t>
            </w:r>
            <w:r w:rsidR="00D32699">
              <w:rPr>
                <w:rFonts w:ascii="Arial" w:eastAsia="Arial Unicode MS" w:hAnsi="Arial" w:cs="Arial"/>
                <w:color w:val="FF0000"/>
                <w:sz w:val="22"/>
                <w:szCs w:val="22"/>
              </w:rPr>
              <w:t xml:space="preserve"> e</w:t>
            </w:r>
            <w:r w:rsidRPr="00DF788D">
              <w:rPr>
                <w:rFonts w:ascii="Arial" w:eastAsia="Arial Unicode MS" w:hAnsi="Arial" w:cs="Arial"/>
                <w:color w:val="FF0000"/>
                <w:sz w:val="22"/>
                <w:szCs w:val="22"/>
              </w:rPr>
              <w:t>,</w:t>
            </w:r>
            <w:r w:rsidR="00D32699">
              <w:rPr>
                <w:rFonts w:ascii="Arial" w:eastAsia="Arial Unicode MS" w:hAnsi="Arial" w:cs="Arial"/>
                <w:color w:val="FF0000"/>
                <w:sz w:val="22"/>
                <w:szCs w:val="22"/>
              </w:rPr>
              <w:t xml:space="preserve"> respeitosamente,</w:t>
            </w:r>
            <w:r w:rsidRPr="00DF788D">
              <w:rPr>
                <w:rFonts w:ascii="Arial" w:eastAsia="Arial Unicode MS" w:hAnsi="Arial" w:cs="Arial"/>
                <w:color w:val="FF0000"/>
                <w:sz w:val="22"/>
                <w:szCs w:val="22"/>
              </w:rPr>
              <w:t xml:space="preserve"> não</w:t>
            </w:r>
            <w:r w:rsidR="00D32699">
              <w:rPr>
                <w:rFonts w:ascii="Arial" w:eastAsia="Arial Unicode MS" w:hAnsi="Arial" w:cs="Arial"/>
                <w:color w:val="FF0000"/>
                <w:sz w:val="22"/>
                <w:szCs w:val="22"/>
              </w:rPr>
              <w:t xml:space="preserve"> há</w:t>
            </w:r>
            <w:r w:rsidR="00E81AF7" w:rsidRPr="00DF788D">
              <w:rPr>
                <w:rFonts w:ascii="Arial" w:eastAsia="Arial Unicode MS" w:hAnsi="Arial" w:cs="Arial"/>
                <w:color w:val="FF0000"/>
                <w:sz w:val="22"/>
                <w:szCs w:val="22"/>
              </w:rPr>
              <w:t xml:space="preserve"> </w:t>
            </w:r>
            <w:r w:rsidRPr="00DF788D">
              <w:rPr>
                <w:rFonts w:ascii="Arial" w:eastAsia="Arial Unicode MS" w:hAnsi="Arial" w:cs="Arial"/>
                <w:color w:val="FF0000"/>
                <w:sz w:val="22"/>
                <w:szCs w:val="22"/>
              </w:rPr>
              <w:t xml:space="preserve">qualquer argumento razoável que </w:t>
            </w:r>
            <w:r w:rsidR="00E81AF7" w:rsidRPr="00DF788D">
              <w:rPr>
                <w:rFonts w:ascii="Arial" w:eastAsia="Arial Unicode MS" w:hAnsi="Arial" w:cs="Arial"/>
                <w:color w:val="FF0000"/>
                <w:sz w:val="22"/>
                <w:szCs w:val="22"/>
              </w:rPr>
              <w:t>possa sustentar</w:t>
            </w:r>
            <w:r w:rsidRPr="00DF788D">
              <w:rPr>
                <w:rFonts w:ascii="Arial" w:eastAsia="Arial Unicode MS" w:hAnsi="Arial" w:cs="Arial"/>
                <w:color w:val="FF0000"/>
                <w:sz w:val="22"/>
                <w:szCs w:val="22"/>
              </w:rPr>
              <w:t xml:space="preserve"> ess</w:t>
            </w:r>
            <w:r w:rsidR="00D32699">
              <w:rPr>
                <w:rFonts w:ascii="Arial" w:eastAsia="Arial Unicode MS" w:hAnsi="Arial" w:cs="Arial"/>
                <w:color w:val="FF0000"/>
                <w:sz w:val="22"/>
                <w:szCs w:val="22"/>
              </w:rPr>
              <w:t xml:space="preserve">e critério, </w:t>
            </w:r>
            <w:r w:rsidR="00E81AF7" w:rsidRPr="00DF788D">
              <w:rPr>
                <w:rFonts w:ascii="Arial" w:eastAsia="Arial Unicode MS" w:hAnsi="Arial" w:cs="Arial"/>
                <w:color w:val="FF0000"/>
                <w:sz w:val="22"/>
                <w:szCs w:val="22"/>
              </w:rPr>
              <w:t>em verdade</w:t>
            </w:r>
            <w:r w:rsidR="00D32699">
              <w:rPr>
                <w:rFonts w:ascii="Arial" w:eastAsia="Arial Unicode MS" w:hAnsi="Arial" w:cs="Arial"/>
                <w:color w:val="FF0000"/>
                <w:sz w:val="22"/>
                <w:szCs w:val="22"/>
              </w:rPr>
              <w:t>, somente</w:t>
            </w:r>
            <w:r w:rsidRPr="00DF788D">
              <w:rPr>
                <w:rFonts w:ascii="Arial" w:eastAsia="Arial Unicode MS" w:hAnsi="Arial" w:cs="Arial"/>
                <w:color w:val="FF0000"/>
                <w:sz w:val="22"/>
                <w:szCs w:val="22"/>
              </w:rPr>
              <w:t xml:space="preserve"> </w:t>
            </w:r>
            <w:r w:rsidR="00E81AF7" w:rsidRPr="00DF788D">
              <w:rPr>
                <w:rFonts w:ascii="Arial" w:eastAsia="Arial Unicode MS" w:hAnsi="Arial" w:cs="Arial"/>
                <w:color w:val="FF0000"/>
                <w:sz w:val="22"/>
                <w:szCs w:val="22"/>
              </w:rPr>
              <w:t xml:space="preserve">resultaria em </w:t>
            </w:r>
            <w:r w:rsidRPr="00DF788D">
              <w:rPr>
                <w:rFonts w:ascii="Arial" w:eastAsia="Arial Unicode MS" w:hAnsi="Arial" w:cs="Arial"/>
                <w:color w:val="FF0000"/>
                <w:sz w:val="22"/>
                <w:szCs w:val="22"/>
              </w:rPr>
              <w:t>distorções graves no mercado</w:t>
            </w:r>
            <w:r w:rsidR="00E81AF7" w:rsidRPr="00DF788D">
              <w:rPr>
                <w:rFonts w:ascii="Arial" w:eastAsia="Arial Unicode MS" w:hAnsi="Arial" w:cs="Arial"/>
                <w:color w:val="FF0000"/>
                <w:sz w:val="22"/>
                <w:szCs w:val="22"/>
              </w:rPr>
              <w:t>.</w:t>
            </w:r>
          </w:p>
          <w:p w14:paraId="5372E510" w14:textId="77777777" w:rsidR="006B5299" w:rsidRPr="00DF788D" w:rsidRDefault="006B5299" w:rsidP="009F5DDC">
            <w:pPr>
              <w:ind w:right="122"/>
              <w:jc w:val="both"/>
              <w:rPr>
                <w:rFonts w:ascii="Arial" w:eastAsia="Arial Unicode MS" w:hAnsi="Arial" w:cs="Arial"/>
                <w:sz w:val="22"/>
                <w:szCs w:val="22"/>
              </w:rPr>
            </w:pPr>
          </w:p>
          <w:p w14:paraId="7AE2520A" w14:textId="77E87731" w:rsidR="001E69E3" w:rsidRPr="00DF788D" w:rsidRDefault="0027334F" w:rsidP="009865CE">
            <w:pPr>
              <w:ind w:left="123" w:right="122"/>
              <w:jc w:val="both"/>
              <w:rPr>
                <w:rFonts w:ascii="Arial" w:eastAsia="Arial Unicode MS" w:hAnsi="Arial" w:cs="Arial"/>
                <w:sz w:val="22"/>
                <w:szCs w:val="22"/>
              </w:rPr>
            </w:pPr>
            <w:r w:rsidRPr="00DF788D">
              <w:rPr>
                <w:rFonts w:ascii="Arial" w:eastAsia="Arial Unicode MS" w:hAnsi="Arial" w:cs="Arial"/>
                <w:sz w:val="22"/>
                <w:szCs w:val="22"/>
              </w:rPr>
              <w:t xml:space="preserve">Adicionalmente, </w:t>
            </w:r>
            <w:r w:rsidR="00FE181D" w:rsidRPr="00DF788D">
              <w:rPr>
                <w:rFonts w:ascii="Arial" w:eastAsia="Arial Unicode MS" w:hAnsi="Arial" w:cs="Arial"/>
                <w:sz w:val="22"/>
                <w:szCs w:val="22"/>
              </w:rPr>
              <w:t xml:space="preserve">se mantido o inciso I, </w:t>
            </w:r>
            <w:r w:rsidRPr="00DF788D">
              <w:rPr>
                <w:rFonts w:ascii="Arial" w:eastAsia="Arial Unicode MS" w:hAnsi="Arial" w:cs="Arial"/>
                <w:sz w:val="22"/>
                <w:szCs w:val="22"/>
              </w:rPr>
              <w:t>r</w:t>
            </w:r>
            <w:r w:rsidR="001E69E3" w:rsidRPr="00DF788D">
              <w:rPr>
                <w:rFonts w:ascii="Arial" w:eastAsia="Arial Unicode MS" w:hAnsi="Arial" w:cs="Arial"/>
                <w:sz w:val="22"/>
                <w:szCs w:val="22"/>
              </w:rPr>
              <w:t xml:space="preserve">elevante </w:t>
            </w:r>
            <w:r w:rsidR="00956260" w:rsidRPr="00DF788D">
              <w:rPr>
                <w:rFonts w:ascii="Arial" w:eastAsia="Arial Unicode MS" w:hAnsi="Arial" w:cs="Arial"/>
                <w:sz w:val="22"/>
                <w:szCs w:val="22"/>
              </w:rPr>
              <w:t xml:space="preserve">compreender adequadamente o </w:t>
            </w:r>
            <w:r w:rsidR="001E69E3" w:rsidRPr="00DF788D">
              <w:rPr>
                <w:rFonts w:ascii="Arial" w:eastAsia="Arial Unicode MS" w:hAnsi="Arial" w:cs="Arial"/>
                <w:sz w:val="22"/>
                <w:szCs w:val="22"/>
              </w:rPr>
              <w:t xml:space="preserve">termo “macrorregião política” </w:t>
            </w:r>
            <w:r w:rsidR="00B87C2B" w:rsidRPr="00DF788D">
              <w:rPr>
                <w:rFonts w:ascii="Arial" w:eastAsia="Arial Unicode MS" w:hAnsi="Arial" w:cs="Arial"/>
                <w:sz w:val="22"/>
                <w:szCs w:val="22"/>
              </w:rPr>
              <w:t xml:space="preserve">apontado pela ANP, </w:t>
            </w:r>
            <w:r w:rsidR="00FE181D" w:rsidRPr="00DF788D">
              <w:rPr>
                <w:rFonts w:ascii="Arial" w:eastAsia="Arial Unicode MS" w:hAnsi="Arial" w:cs="Arial"/>
                <w:sz w:val="22"/>
                <w:szCs w:val="22"/>
              </w:rPr>
              <w:t xml:space="preserve">que segue </w:t>
            </w:r>
            <w:r w:rsidR="001E69E3" w:rsidRPr="00DF788D">
              <w:rPr>
                <w:rFonts w:ascii="Arial" w:eastAsia="Arial Unicode MS" w:hAnsi="Arial" w:cs="Arial"/>
                <w:sz w:val="22"/>
                <w:szCs w:val="22"/>
              </w:rPr>
              <w:t>definição</w:t>
            </w:r>
            <w:r w:rsidR="00FE181D" w:rsidRPr="00DF788D">
              <w:rPr>
                <w:rFonts w:ascii="Arial" w:eastAsia="Arial Unicode MS" w:hAnsi="Arial" w:cs="Arial"/>
                <w:sz w:val="22"/>
                <w:szCs w:val="22"/>
              </w:rPr>
              <w:t xml:space="preserve"> incerta</w:t>
            </w:r>
            <w:r w:rsidR="001E69E3" w:rsidRPr="00DF788D">
              <w:rPr>
                <w:rFonts w:ascii="Arial" w:eastAsia="Arial Unicode MS" w:hAnsi="Arial" w:cs="Arial"/>
                <w:sz w:val="22"/>
                <w:szCs w:val="22"/>
              </w:rPr>
              <w:t xml:space="preserve"> do IBGE</w:t>
            </w:r>
            <w:r w:rsidR="004C6531" w:rsidRPr="00DF788D">
              <w:rPr>
                <w:rFonts w:ascii="Arial" w:eastAsia="Arial Unicode MS" w:hAnsi="Arial" w:cs="Arial"/>
                <w:sz w:val="22"/>
                <w:szCs w:val="22"/>
              </w:rPr>
              <w:t>, podendo se referir as</w:t>
            </w:r>
            <w:r w:rsidR="001E69E3" w:rsidRPr="00DF788D">
              <w:rPr>
                <w:rFonts w:ascii="Arial" w:eastAsia="Arial Unicode MS" w:hAnsi="Arial" w:cs="Arial"/>
                <w:sz w:val="22"/>
                <w:szCs w:val="22"/>
              </w:rPr>
              <w:t xml:space="preserve"> </w:t>
            </w:r>
            <w:r w:rsidR="004C6531" w:rsidRPr="00DF788D">
              <w:rPr>
                <w:rFonts w:ascii="Arial" w:eastAsia="Arial Unicode MS" w:hAnsi="Arial" w:cs="Arial"/>
                <w:sz w:val="22"/>
                <w:szCs w:val="22"/>
              </w:rPr>
              <w:t>0</w:t>
            </w:r>
            <w:r w:rsidR="001E69E3" w:rsidRPr="00DF788D">
              <w:rPr>
                <w:rFonts w:ascii="Arial" w:eastAsia="Arial Unicode MS" w:hAnsi="Arial" w:cs="Arial"/>
                <w:sz w:val="22"/>
                <w:szCs w:val="22"/>
              </w:rPr>
              <w:t>5 regiões geopolíticas brasileiras – Sul, Sudeste, Centro-Oeste, Norte e Nordeste.</w:t>
            </w:r>
            <w:r w:rsidR="00FE181D" w:rsidRPr="00DF788D">
              <w:rPr>
                <w:rFonts w:ascii="Arial" w:eastAsia="Arial Unicode MS" w:hAnsi="Arial" w:cs="Arial"/>
                <w:sz w:val="22"/>
                <w:szCs w:val="22"/>
              </w:rPr>
              <w:t xml:space="preserve"> Contudo, cumpre frisar que </w:t>
            </w:r>
            <w:r w:rsidR="00B87C2B" w:rsidRPr="00DF788D">
              <w:rPr>
                <w:rFonts w:ascii="Arial" w:eastAsia="Arial Unicode MS" w:hAnsi="Arial" w:cs="Arial"/>
                <w:sz w:val="22"/>
                <w:szCs w:val="22"/>
              </w:rPr>
              <w:t xml:space="preserve">tal conceituação </w:t>
            </w:r>
            <w:r w:rsidR="00956260" w:rsidRPr="00DF788D">
              <w:rPr>
                <w:rFonts w:ascii="Arial" w:eastAsia="Arial Unicode MS" w:hAnsi="Arial" w:cs="Arial"/>
                <w:sz w:val="22"/>
                <w:szCs w:val="22"/>
              </w:rPr>
              <w:t xml:space="preserve">não é </w:t>
            </w:r>
            <w:r w:rsidR="00B87C2B" w:rsidRPr="00DF788D">
              <w:rPr>
                <w:rFonts w:ascii="Arial" w:eastAsia="Arial Unicode MS" w:hAnsi="Arial" w:cs="Arial"/>
                <w:sz w:val="22"/>
                <w:szCs w:val="22"/>
              </w:rPr>
              <w:t>a</w:t>
            </w:r>
            <w:r w:rsidR="00956260" w:rsidRPr="00DF788D">
              <w:rPr>
                <w:rFonts w:ascii="Arial" w:eastAsia="Arial Unicode MS" w:hAnsi="Arial" w:cs="Arial"/>
                <w:sz w:val="22"/>
                <w:szCs w:val="22"/>
              </w:rPr>
              <w:t xml:space="preserve"> adotad</w:t>
            </w:r>
            <w:r w:rsidR="00B87C2B" w:rsidRPr="00DF788D">
              <w:rPr>
                <w:rFonts w:ascii="Arial" w:eastAsia="Arial Unicode MS" w:hAnsi="Arial" w:cs="Arial"/>
                <w:sz w:val="22"/>
                <w:szCs w:val="22"/>
              </w:rPr>
              <w:t>a</w:t>
            </w:r>
            <w:r w:rsidR="00956260" w:rsidRPr="00DF788D">
              <w:rPr>
                <w:rFonts w:ascii="Arial" w:eastAsia="Arial Unicode MS" w:hAnsi="Arial" w:cs="Arial"/>
                <w:sz w:val="22"/>
                <w:szCs w:val="22"/>
              </w:rPr>
              <w:t xml:space="preserve"> pelo Cade</w:t>
            </w:r>
            <w:r w:rsidR="00FE181D" w:rsidRPr="00DF788D">
              <w:rPr>
                <w:rFonts w:ascii="Arial" w:eastAsia="Arial Unicode MS" w:hAnsi="Arial" w:cs="Arial"/>
                <w:sz w:val="22"/>
                <w:szCs w:val="22"/>
              </w:rPr>
              <w:t xml:space="preserve"> e</w:t>
            </w:r>
            <w:r w:rsidR="00956260" w:rsidRPr="00DF788D">
              <w:rPr>
                <w:rFonts w:ascii="Arial" w:eastAsia="Arial Unicode MS" w:hAnsi="Arial" w:cs="Arial"/>
                <w:sz w:val="22"/>
                <w:szCs w:val="22"/>
              </w:rPr>
              <w:t xml:space="preserve"> </w:t>
            </w:r>
            <w:r w:rsidR="004C6531" w:rsidRPr="00DF788D">
              <w:rPr>
                <w:rFonts w:ascii="Arial" w:eastAsia="Arial Unicode MS" w:hAnsi="Arial" w:cs="Arial"/>
                <w:sz w:val="22"/>
                <w:szCs w:val="22"/>
              </w:rPr>
              <w:t xml:space="preserve">o Sindigás entende </w:t>
            </w:r>
            <w:r w:rsidR="00956260" w:rsidRPr="00DF788D">
              <w:rPr>
                <w:rFonts w:ascii="Arial" w:eastAsia="Arial Unicode MS" w:hAnsi="Arial" w:cs="Arial"/>
                <w:sz w:val="22"/>
                <w:szCs w:val="22"/>
              </w:rPr>
              <w:t xml:space="preserve">que a metodologia escolhida pela ANP </w:t>
            </w:r>
            <w:r w:rsidR="00B87C2B" w:rsidRPr="00DF788D">
              <w:rPr>
                <w:rFonts w:ascii="Arial" w:eastAsia="Arial Unicode MS" w:hAnsi="Arial" w:cs="Arial"/>
                <w:sz w:val="22"/>
                <w:szCs w:val="22"/>
              </w:rPr>
              <w:t>resta</w:t>
            </w:r>
            <w:r w:rsidR="00956260" w:rsidRPr="00DF788D">
              <w:rPr>
                <w:rFonts w:ascii="Arial" w:eastAsia="Arial Unicode MS" w:hAnsi="Arial" w:cs="Arial"/>
                <w:sz w:val="22"/>
                <w:szCs w:val="22"/>
              </w:rPr>
              <w:t xml:space="preserve"> </w:t>
            </w:r>
            <w:r w:rsidR="00B87C2B" w:rsidRPr="00DF788D">
              <w:rPr>
                <w:rFonts w:ascii="Arial" w:eastAsia="Arial Unicode MS" w:hAnsi="Arial" w:cs="Arial"/>
                <w:sz w:val="22"/>
                <w:szCs w:val="22"/>
              </w:rPr>
              <w:t>completamente inadequada</w:t>
            </w:r>
            <w:r w:rsidR="00956260" w:rsidRPr="00DF788D">
              <w:rPr>
                <w:rFonts w:ascii="Arial" w:eastAsia="Arial Unicode MS" w:hAnsi="Arial" w:cs="Arial"/>
                <w:sz w:val="22"/>
                <w:szCs w:val="22"/>
              </w:rPr>
              <w:t>,</w:t>
            </w:r>
            <w:r w:rsidR="00B87C2B" w:rsidRPr="00DF788D">
              <w:rPr>
                <w:rFonts w:ascii="Arial" w:eastAsia="Arial Unicode MS" w:hAnsi="Arial" w:cs="Arial"/>
                <w:sz w:val="22"/>
                <w:szCs w:val="22"/>
              </w:rPr>
              <w:t xml:space="preserve"> </w:t>
            </w:r>
            <w:r w:rsidR="00956260" w:rsidRPr="00DF788D">
              <w:rPr>
                <w:rFonts w:ascii="Arial" w:eastAsia="Arial Unicode MS" w:hAnsi="Arial" w:cs="Arial"/>
                <w:sz w:val="22"/>
                <w:szCs w:val="22"/>
              </w:rPr>
              <w:t xml:space="preserve">necessitando </w:t>
            </w:r>
            <w:r w:rsidR="00B87C2B" w:rsidRPr="00DF788D">
              <w:rPr>
                <w:rFonts w:ascii="Arial" w:eastAsia="Arial Unicode MS" w:hAnsi="Arial" w:cs="Arial"/>
                <w:sz w:val="22"/>
                <w:szCs w:val="22"/>
              </w:rPr>
              <w:t>ser revista</w:t>
            </w:r>
            <w:r w:rsidR="00112CAC" w:rsidRPr="00DF788D">
              <w:rPr>
                <w:rFonts w:ascii="Arial" w:eastAsia="Arial Unicode MS" w:hAnsi="Arial" w:cs="Arial"/>
                <w:sz w:val="22"/>
                <w:szCs w:val="22"/>
              </w:rPr>
              <w:t>,</w:t>
            </w:r>
            <w:r w:rsidR="00A37F97" w:rsidRPr="00DF788D">
              <w:rPr>
                <w:rFonts w:ascii="Arial" w:eastAsia="Arial Unicode MS" w:hAnsi="Arial" w:cs="Arial"/>
                <w:sz w:val="22"/>
                <w:szCs w:val="22"/>
              </w:rPr>
              <w:t xml:space="preserve"> por instaurar insegurança regulatória para todos os agentes regulados</w:t>
            </w:r>
            <w:r w:rsidR="004C6531" w:rsidRPr="00DF788D">
              <w:rPr>
                <w:rFonts w:ascii="Arial" w:eastAsia="Arial Unicode MS" w:hAnsi="Arial" w:cs="Arial"/>
                <w:sz w:val="22"/>
                <w:szCs w:val="22"/>
              </w:rPr>
              <w:t xml:space="preserve">, com consequências </w:t>
            </w:r>
            <w:r w:rsidR="00FE181D" w:rsidRPr="00DF788D">
              <w:rPr>
                <w:rFonts w:ascii="Arial" w:eastAsia="Arial Unicode MS" w:hAnsi="Arial" w:cs="Arial"/>
                <w:sz w:val="22"/>
                <w:szCs w:val="22"/>
              </w:rPr>
              <w:t>incalculáveis</w:t>
            </w:r>
            <w:r w:rsidR="00956260" w:rsidRPr="00DF788D">
              <w:rPr>
                <w:rFonts w:ascii="Arial" w:eastAsia="Arial Unicode MS" w:hAnsi="Arial" w:cs="Arial"/>
                <w:sz w:val="22"/>
                <w:szCs w:val="22"/>
              </w:rPr>
              <w:t>.</w:t>
            </w:r>
          </w:p>
          <w:p w14:paraId="0B49B363" w14:textId="2573A2BA" w:rsidR="0027334F" w:rsidRPr="00DF788D" w:rsidRDefault="0027334F" w:rsidP="009865CE">
            <w:pPr>
              <w:ind w:left="123" w:right="122"/>
              <w:jc w:val="both"/>
              <w:rPr>
                <w:rFonts w:ascii="Arial" w:eastAsia="Arial Unicode MS" w:hAnsi="Arial" w:cs="Arial"/>
                <w:color w:val="FF0000"/>
                <w:sz w:val="22"/>
                <w:szCs w:val="22"/>
              </w:rPr>
            </w:pPr>
          </w:p>
          <w:p w14:paraId="680B346C" w14:textId="2C3186F1" w:rsidR="006B5299" w:rsidRPr="00DF788D" w:rsidRDefault="0027334F" w:rsidP="008F5D7B">
            <w:pPr>
              <w:ind w:left="123" w:right="122"/>
              <w:jc w:val="both"/>
              <w:rPr>
                <w:rFonts w:ascii="Arial" w:eastAsia="Arial Unicode MS" w:hAnsi="Arial" w:cs="Arial"/>
                <w:color w:val="FF0000"/>
                <w:sz w:val="22"/>
              </w:rPr>
            </w:pPr>
            <w:r w:rsidRPr="00DF788D">
              <w:rPr>
                <w:rFonts w:ascii="Arial" w:eastAsia="Arial Unicode MS" w:hAnsi="Arial" w:cs="Arial"/>
                <w:color w:val="FF0000"/>
                <w:sz w:val="22"/>
                <w:szCs w:val="22"/>
              </w:rPr>
              <w:t xml:space="preserve">Por todo exposto, o Sindigás </w:t>
            </w:r>
            <w:r w:rsidR="00836D02" w:rsidRPr="00DF788D">
              <w:rPr>
                <w:rFonts w:ascii="Arial" w:eastAsia="Arial Unicode MS" w:hAnsi="Arial" w:cs="Arial"/>
                <w:color w:val="FF0000"/>
                <w:sz w:val="22"/>
                <w:szCs w:val="22"/>
              </w:rPr>
              <w:t>solicita</w:t>
            </w:r>
            <w:r w:rsidRPr="00DF788D">
              <w:rPr>
                <w:rFonts w:ascii="Arial" w:eastAsia="Arial Unicode MS" w:hAnsi="Arial" w:cs="Arial"/>
                <w:color w:val="FF0000"/>
                <w:sz w:val="22"/>
                <w:szCs w:val="22"/>
              </w:rPr>
              <w:t xml:space="preserve"> que a ANP reavalie</w:t>
            </w:r>
            <w:r w:rsidR="00836D02" w:rsidRPr="00DF788D">
              <w:rPr>
                <w:rFonts w:ascii="Arial" w:eastAsia="Arial Unicode MS" w:hAnsi="Arial" w:cs="Arial"/>
                <w:color w:val="FF0000"/>
                <w:sz w:val="22"/>
                <w:szCs w:val="22"/>
              </w:rPr>
              <w:t xml:space="preserve"> </w:t>
            </w:r>
            <w:r w:rsidR="00FE181D" w:rsidRPr="00DF788D">
              <w:rPr>
                <w:rFonts w:ascii="Arial" w:eastAsia="Arial Unicode MS" w:hAnsi="Arial" w:cs="Arial"/>
                <w:color w:val="FF0000"/>
                <w:sz w:val="22"/>
                <w:szCs w:val="22"/>
              </w:rPr>
              <w:t xml:space="preserve">o disposto no inciso I, do artigo 2º da minuta </w:t>
            </w:r>
            <w:r w:rsidR="00836D02" w:rsidRPr="00DF788D">
              <w:rPr>
                <w:rFonts w:ascii="Arial" w:eastAsia="Arial Unicode MS" w:hAnsi="Arial" w:cs="Arial"/>
                <w:color w:val="FF0000"/>
                <w:sz w:val="22"/>
                <w:szCs w:val="22"/>
              </w:rPr>
              <w:t xml:space="preserve">e apresente AIR sobre </w:t>
            </w:r>
            <w:r w:rsidR="00FF3336" w:rsidRPr="00DF788D">
              <w:rPr>
                <w:rFonts w:ascii="Arial" w:eastAsia="Arial Unicode MS" w:hAnsi="Arial" w:cs="Arial"/>
                <w:color w:val="FF0000"/>
                <w:sz w:val="22"/>
                <w:szCs w:val="22"/>
              </w:rPr>
              <w:t xml:space="preserve">o tema </w:t>
            </w:r>
            <w:r w:rsidR="00836D02" w:rsidRPr="00DF788D">
              <w:rPr>
                <w:rFonts w:ascii="Arial" w:eastAsia="Arial Unicode MS" w:hAnsi="Arial" w:cs="Arial"/>
                <w:i/>
                <w:color w:val="FF0000"/>
                <w:sz w:val="22"/>
                <w:szCs w:val="22"/>
              </w:rPr>
              <w:t>da</w:t>
            </w:r>
            <w:r w:rsidR="0075642A" w:rsidRPr="00DF788D">
              <w:rPr>
                <w:rFonts w:ascii="Arial" w:eastAsia="Arial Unicode MS" w:hAnsi="Arial" w:cs="Arial"/>
                <w:i/>
                <w:color w:val="FF0000"/>
                <w:sz w:val="22"/>
                <w:szCs w:val="22"/>
              </w:rPr>
              <w:t xml:space="preserve"> obrigatoriedade de apresentação de dados de preços relativos à comercialização de derivados de </w:t>
            </w:r>
            <w:r w:rsidR="00836D02" w:rsidRPr="00DF788D">
              <w:rPr>
                <w:rFonts w:ascii="Arial" w:eastAsia="Arial Unicode MS" w:hAnsi="Arial" w:cs="Arial"/>
                <w:i/>
                <w:color w:val="FF0000"/>
                <w:sz w:val="22"/>
                <w:szCs w:val="22"/>
              </w:rPr>
              <w:t>petróleo e biocombustíveis por produtores, importadores e distribuidores</w:t>
            </w:r>
            <w:r w:rsidR="00836D02" w:rsidRPr="00DF788D">
              <w:rPr>
                <w:rFonts w:ascii="Arial" w:eastAsia="Arial Unicode MS" w:hAnsi="Arial" w:cs="Arial"/>
                <w:color w:val="FF0000"/>
                <w:sz w:val="22"/>
                <w:szCs w:val="22"/>
              </w:rPr>
              <w:t>, para que não criem</w:t>
            </w:r>
            <w:r w:rsidR="004C6531" w:rsidRPr="00DF788D">
              <w:rPr>
                <w:rFonts w:ascii="Arial" w:eastAsia="Arial Unicode MS" w:hAnsi="Arial" w:cs="Arial"/>
                <w:color w:val="FF0000"/>
                <w:sz w:val="22"/>
                <w:szCs w:val="22"/>
              </w:rPr>
              <w:t>-se</w:t>
            </w:r>
            <w:r w:rsidR="00836D02" w:rsidRPr="00DF788D">
              <w:rPr>
                <w:rFonts w:ascii="Arial" w:eastAsia="Arial Unicode MS" w:hAnsi="Arial" w:cs="Arial"/>
                <w:color w:val="FF0000"/>
                <w:sz w:val="22"/>
                <w:szCs w:val="22"/>
              </w:rPr>
              <w:t xml:space="preserve"> anomalias/distorções no mercado </w:t>
            </w:r>
            <w:r w:rsidR="00FF3336" w:rsidRPr="00DF788D">
              <w:rPr>
                <w:rFonts w:ascii="Arial" w:eastAsia="Arial Unicode MS" w:hAnsi="Arial" w:cs="Arial"/>
                <w:color w:val="FF0000"/>
                <w:sz w:val="22"/>
                <w:szCs w:val="22"/>
              </w:rPr>
              <w:t>ou</w:t>
            </w:r>
            <w:r w:rsidR="00836D02" w:rsidRPr="00DF788D">
              <w:rPr>
                <w:rFonts w:ascii="Arial" w:eastAsia="Arial Unicode MS" w:hAnsi="Arial" w:cs="Arial"/>
                <w:color w:val="FF0000"/>
                <w:sz w:val="22"/>
                <w:szCs w:val="22"/>
              </w:rPr>
              <w:t xml:space="preserve"> instaure</w:t>
            </w:r>
            <w:r w:rsidR="00FF3336" w:rsidRPr="00DF788D">
              <w:rPr>
                <w:rFonts w:ascii="Arial" w:eastAsia="Arial Unicode MS" w:hAnsi="Arial" w:cs="Arial"/>
                <w:color w:val="FF0000"/>
                <w:sz w:val="22"/>
                <w:szCs w:val="22"/>
              </w:rPr>
              <w:t>-se</w:t>
            </w:r>
            <w:r w:rsidR="00836D02" w:rsidRPr="00DF788D">
              <w:rPr>
                <w:rFonts w:ascii="Arial" w:eastAsia="Arial Unicode MS" w:hAnsi="Arial" w:cs="Arial"/>
                <w:color w:val="FF0000"/>
                <w:sz w:val="22"/>
                <w:szCs w:val="22"/>
              </w:rPr>
              <w:t xml:space="preserve"> cenário de insegurança não só aos agentes regulados, mas </w:t>
            </w:r>
            <w:r w:rsidR="00FF3336" w:rsidRPr="00DF788D">
              <w:rPr>
                <w:rFonts w:ascii="Arial" w:eastAsia="Arial Unicode MS" w:hAnsi="Arial" w:cs="Arial"/>
                <w:color w:val="FF0000"/>
                <w:sz w:val="22"/>
                <w:szCs w:val="22"/>
              </w:rPr>
              <w:t>para</w:t>
            </w:r>
            <w:r w:rsidR="00836D02" w:rsidRPr="00DF788D">
              <w:rPr>
                <w:rFonts w:ascii="Arial" w:eastAsia="Arial Unicode MS" w:hAnsi="Arial" w:cs="Arial"/>
                <w:color w:val="FF0000"/>
                <w:sz w:val="22"/>
                <w:szCs w:val="22"/>
              </w:rPr>
              <w:t xml:space="preserve"> própria ANP e</w:t>
            </w:r>
            <w:r w:rsidR="00FF3336" w:rsidRPr="00DF788D">
              <w:rPr>
                <w:rFonts w:ascii="Arial" w:eastAsia="Arial Unicode MS" w:hAnsi="Arial" w:cs="Arial"/>
                <w:color w:val="FF0000"/>
                <w:sz w:val="22"/>
                <w:szCs w:val="22"/>
              </w:rPr>
              <w:t xml:space="preserve"> consequentemente à</w:t>
            </w:r>
            <w:r w:rsidR="00836D02" w:rsidRPr="00DF788D">
              <w:rPr>
                <w:rFonts w:ascii="Arial" w:eastAsia="Arial Unicode MS" w:hAnsi="Arial" w:cs="Arial"/>
                <w:color w:val="FF0000"/>
                <w:sz w:val="22"/>
                <w:szCs w:val="22"/>
              </w:rPr>
              <w:t xml:space="preserve"> sociedade.</w:t>
            </w:r>
          </w:p>
          <w:p w14:paraId="577252FA" w14:textId="77777777" w:rsidR="00380E3F" w:rsidRPr="00DF788D" w:rsidRDefault="00380E3F" w:rsidP="00FF3336">
            <w:pPr>
              <w:ind w:left="123" w:right="122"/>
              <w:jc w:val="both"/>
              <w:rPr>
                <w:rFonts w:ascii="Arial" w:eastAsia="Arial Unicode MS" w:hAnsi="Arial" w:cs="Arial"/>
                <w:sz w:val="22"/>
                <w:szCs w:val="24"/>
              </w:rPr>
            </w:pPr>
          </w:p>
        </w:tc>
      </w:tr>
      <w:tr w:rsidR="0058482B" w:rsidRPr="00DF788D" w14:paraId="6671F3E4" w14:textId="77777777" w:rsidTr="008B048F">
        <w:trPr>
          <w:trHeight w:val="317"/>
        </w:trPr>
        <w:tc>
          <w:tcPr>
            <w:tcW w:w="3661"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14:paraId="5638D3B5" w14:textId="77777777" w:rsidR="007F17D2" w:rsidRDefault="00A37F97" w:rsidP="008B048F">
            <w:pPr>
              <w:rPr>
                <w:rFonts w:ascii="Arial" w:eastAsia="Arial Unicode MS" w:hAnsi="Arial" w:cs="Arial"/>
                <w:bCs/>
                <w:sz w:val="22"/>
                <w:szCs w:val="24"/>
              </w:rPr>
            </w:pPr>
            <w:r w:rsidRPr="008B048F">
              <w:rPr>
                <w:rFonts w:ascii="Arial" w:hAnsi="Arial" w:cs="Arial"/>
                <w:b/>
                <w:sz w:val="22"/>
                <w:szCs w:val="24"/>
              </w:rPr>
              <w:lastRenderedPageBreak/>
              <w:t>Art. 3º</w:t>
            </w:r>
            <w:r w:rsidRPr="00DF788D">
              <w:rPr>
                <w:rFonts w:ascii="Arial" w:hAnsi="Arial" w:cs="Arial"/>
                <w:sz w:val="22"/>
                <w:szCs w:val="24"/>
              </w:rPr>
              <w:t xml:space="preserve">  Os agentes dominantes deverão publicar os preços de lista atuais, bem como os vigentes nos últimos dozes meses, com descrição das modalidades de venda, no sítio eletrônico da empresa, para cada um dos seguintes produtos:</w:t>
            </w:r>
            <w:r w:rsidR="00C27485" w:rsidRPr="00DF788D">
              <w:rPr>
                <w:rFonts w:ascii="Arial" w:hAnsi="Arial" w:cs="Arial"/>
                <w:sz w:val="22"/>
                <w:szCs w:val="24"/>
              </w:rPr>
              <w:t xml:space="preserve"> </w:t>
            </w:r>
            <w:r w:rsidRPr="00DF788D">
              <w:rPr>
                <w:rFonts w:ascii="Arial" w:eastAsia="Arial Unicode MS" w:hAnsi="Arial" w:cs="Arial"/>
                <w:bCs/>
                <w:sz w:val="22"/>
                <w:szCs w:val="24"/>
              </w:rPr>
              <w:t>(...)</w:t>
            </w:r>
          </w:p>
          <w:p w14:paraId="391E7F69" w14:textId="067F219A" w:rsidR="008B048F" w:rsidRPr="00DF788D" w:rsidRDefault="008B048F" w:rsidP="008B048F">
            <w:pPr>
              <w:rPr>
                <w:rFonts w:ascii="Arial" w:eastAsia="Arial Unicode MS" w:hAnsi="Arial" w:cs="Arial"/>
                <w:b/>
                <w:bCs/>
                <w:sz w:val="24"/>
                <w:szCs w:val="24"/>
              </w:rPr>
            </w:pPr>
          </w:p>
        </w:tc>
        <w:tc>
          <w:tcPr>
            <w:tcW w:w="32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620AA3A1" w14:textId="778A4EB0" w:rsidR="0058482B" w:rsidRPr="00DF788D" w:rsidRDefault="00A37F97" w:rsidP="00A159E7">
            <w:pPr>
              <w:jc w:val="center"/>
              <w:rPr>
                <w:rFonts w:ascii="Arial" w:eastAsia="Arial Unicode MS" w:hAnsi="Arial" w:cs="Arial"/>
                <w:sz w:val="22"/>
                <w:szCs w:val="24"/>
              </w:rPr>
            </w:pPr>
            <w:r w:rsidRPr="00DF788D">
              <w:rPr>
                <w:rFonts w:ascii="Arial" w:hAnsi="Arial" w:cs="Arial"/>
                <w:sz w:val="22"/>
              </w:rPr>
              <w:t>Adequação</w:t>
            </w:r>
          </w:p>
        </w:tc>
        <w:tc>
          <w:tcPr>
            <w:tcW w:w="8247"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14:paraId="7A1AE35D" w14:textId="77777777" w:rsidR="008B048F" w:rsidRDefault="008B048F" w:rsidP="00A159E7">
            <w:pPr>
              <w:ind w:left="122" w:right="122"/>
              <w:jc w:val="both"/>
              <w:rPr>
                <w:rFonts w:ascii="Arial" w:eastAsia="Arial Unicode MS" w:hAnsi="Arial" w:cs="Arial"/>
                <w:sz w:val="22"/>
              </w:rPr>
            </w:pPr>
          </w:p>
          <w:p w14:paraId="4D343213" w14:textId="5D1E9A86" w:rsidR="0058482B" w:rsidRPr="00DF788D" w:rsidRDefault="00737AA8" w:rsidP="00A159E7">
            <w:pPr>
              <w:ind w:left="122" w:right="122"/>
              <w:jc w:val="both"/>
              <w:rPr>
                <w:rFonts w:ascii="Arial" w:eastAsia="Arial Unicode MS" w:hAnsi="Arial" w:cs="Arial"/>
                <w:sz w:val="24"/>
                <w:szCs w:val="24"/>
              </w:rPr>
            </w:pPr>
            <w:r w:rsidRPr="00DF788D">
              <w:rPr>
                <w:rFonts w:ascii="Arial" w:eastAsia="Arial Unicode MS" w:hAnsi="Arial" w:cs="Arial"/>
                <w:sz w:val="22"/>
              </w:rPr>
              <w:t xml:space="preserve">Em relação ao </w:t>
            </w:r>
            <w:r w:rsidR="00A37F97" w:rsidRPr="00DF788D">
              <w:rPr>
                <w:rFonts w:ascii="Arial" w:eastAsia="Arial Unicode MS" w:hAnsi="Arial" w:cs="Arial"/>
                <w:i/>
                <w:sz w:val="22"/>
              </w:rPr>
              <w:t>artigo 3 da Minuta</w:t>
            </w:r>
            <w:r w:rsidRPr="00DF788D">
              <w:rPr>
                <w:rFonts w:ascii="Arial" w:eastAsia="Arial Unicode MS" w:hAnsi="Arial" w:cs="Arial"/>
                <w:i/>
                <w:sz w:val="22"/>
              </w:rPr>
              <w:t xml:space="preserve"> que</w:t>
            </w:r>
            <w:r w:rsidR="00A37F97" w:rsidRPr="00DF788D">
              <w:rPr>
                <w:rFonts w:ascii="Arial" w:eastAsia="Arial Unicode MS" w:hAnsi="Arial" w:cs="Arial"/>
                <w:i/>
                <w:sz w:val="22"/>
              </w:rPr>
              <w:t xml:space="preserve"> prevê a obrigação de produtores, importadores e distribuidores de derivados de petróleo e biocombustíveis considerados “agentes dominantes” de publicarem seus preços de lista, atuais e dos últimos 12 meses, na página da empresa na internet</w:t>
            </w:r>
            <w:r w:rsidRPr="00DF788D">
              <w:rPr>
                <w:rFonts w:ascii="Arial" w:eastAsia="Arial Unicode MS" w:hAnsi="Arial" w:cs="Arial"/>
                <w:i/>
                <w:sz w:val="22"/>
              </w:rPr>
              <w:t>, o Sindigás entende que n</w:t>
            </w:r>
            <w:r w:rsidR="00A37F97" w:rsidRPr="00DF788D">
              <w:rPr>
                <w:rFonts w:ascii="Arial" w:eastAsia="Arial Unicode MS" w:hAnsi="Arial" w:cs="Arial"/>
                <w:i/>
                <w:sz w:val="22"/>
              </w:rPr>
              <w:t>ão há definição na Minuta do termo “preços atuais”</w:t>
            </w:r>
            <w:r w:rsidRPr="00DF788D">
              <w:rPr>
                <w:rStyle w:val="Refdenotaderodap"/>
                <w:rFonts w:ascii="Arial" w:eastAsia="Arial Unicode MS" w:hAnsi="Arial" w:cs="Arial"/>
                <w:i/>
                <w:sz w:val="22"/>
              </w:rPr>
              <w:footnoteReference w:id="9"/>
            </w:r>
            <w:r w:rsidR="00A37F97" w:rsidRPr="00DF788D">
              <w:rPr>
                <w:rFonts w:ascii="Arial" w:eastAsia="Arial Unicode MS" w:hAnsi="Arial" w:cs="Arial"/>
                <w:i/>
                <w:sz w:val="22"/>
              </w:rPr>
              <w:t>.</w:t>
            </w:r>
            <w:r w:rsidR="00A37F97" w:rsidRPr="00DF788D">
              <w:rPr>
                <w:rFonts w:ascii="Arial" w:eastAsia="Arial Unicode MS" w:hAnsi="Arial" w:cs="Arial"/>
                <w:sz w:val="22"/>
              </w:rPr>
              <w:t xml:space="preserve"> </w:t>
            </w:r>
            <w:r w:rsidRPr="00DF788D">
              <w:rPr>
                <w:rFonts w:ascii="Arial" w:eastAsia="Arial Unicode MS" w:hAnsi="Arial" w:cs="Arial"/>
                <w:sz w:val="22"/>
              </w:rPr>
              <w:t>Deste modo s</w:t>
            </w:r>
            <w:r w:rsidR="00A37F97" w:rsidRPr="00DF788D">
              <w:rPr>
                <w:rFonts w:ascii="Arial" w:eastAsia="Arial Unicode MS" w:hAnsi="Arial" w:cs="Arial"/>
                <w:sz w:val="22"/>
              </w:rPr>
              <w:t>ugere-se que a Minuta traga especificação sobre o que a ANP entende por “preços atuais”.</w:t>
            </w:r>
          </w:p>
        </w:tc>
      </w:tr>
      <w:tr w:rsidR="00A37F97" w:rsidRPr="00DF788D" w14:paraId="5E195CA8" w14:textId="77777777" w:rsidTr="008B048F">
        <w:trPr>
          <w:trHeight w:val="317"/>
        </w:trPr>
        <w:tc>
          <w:tcPr>
            <w:tcW w:w="3661"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14:paraId="7AD2E921" w14:textId="77777777" w:rsidR="00A37F97" w:rsidRPr="00DF788D" w:rsidRDefault="00A37F97" w:rsidP="00A37F97">
            <w:pPr>
              <w:tabs>
                <w:tab w:val="left" w:pos="1701"/>
              </w:tabs>
              <w:spacing w:before="120"/>
              <w:jc w:val="both"/>
              <w:rPr>
                <w:rFonts w:ascii="Arial" w:hAnsi="Arial" w:cs="Arial"/>
                <w:sz w:val="22"/>
                <w:szCs w:val="24"/>
              </w:rPr>
            </w:pPr>
            <w:r w:rsidRPr="008B048F">
              <w:rPr>
                <w:rFonts w:ascii="Arial" w:hAnsi="Arial" w:cs="Arial"/>
                <w:b/>
                <w:sz w:val="22"/>
                <w:szCs w:val="24"/>
              </w:rPr>
              <w:t>Art. 9º</w:t>
            </w:r>
            <w:r w:rsidRPr="00DF788D">
              <w:rPr>
                <w:rFonts w:ascii="Arial" w:hAnsi="Arial" w:cs="Arial"/>
                <w:sz w:val="22"/>
                <w:szCs w:val="24"/>
              </w:rPr>
              <w:t xml:space="preserve">  O envio das informações de valor unitário do produto e de modalidade de frete, </w:t>
            </w:r>
            <w:r w:rsidRPr="00DF788D">
              <w:rPr>
                <w:rFonts w:ascii="Arial" w:hAnsi="Arial" w:cs="Arial"/>
                <w:sz w:val="22"/>
                <w:szCs w:val="24"/>
              </w:rPr>
              <w:lastRenderedPageBreak/>
              <w:t>correspondentes às informações constantes nas notas fiscais eletrônicas, para as operações de venda de derivados de petróleo e biocombustíveis, por parte de produtores, importadores e distribuidores, deve atender o estabelecido na Resolução ANP nº 729, de 11 de maio de 2018.</w:t>
            </w:r>
          </w:p>
          <w:p w14:paraId="16A85DF3" w14:textId="77777777" w:rsidR="00A37F97" w:rsidRPr="00DF788D" w:rsidRDefault="00A37F97" w:rsidP="0058482B">
            <w:pPr>
              <w:rPr>
                <w:rFonts w:ascii="Arial" w:hAnsi="Arial" w:cs="Arial"/>
                <w:b/>
                <w:bCs/>
              </w:rPr>
            </w:pPr>
          </w:p>
        </w:tc>
        <w:tc>
          <w:tcPr>
            <w:tcW w:w="3260"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5428E328" w14:textId="3ACB7337" w:rsidR="00A37F97" w:rsidRPr="00DF788D" w:rsidRDefault="00A37F97" w:rsidP="00A159E7">
            <w:pPr>
              <w:jc w:val="center"/>
              <w:rPr>
                <w:rFonts w:ascii="Arial" w:hAnsi="Arial" w:cs="Arial"/>
              </w:rPr>
            </w:pPr>
            <w:r w:rsidRPr="00DF788D">
              <w:rPr>
                <w:rFonts w:ascii="Arial" w:hAnsi="Arial" w:cs="Arial"/>
                <w:sz w:val="22"/>
              </w:rPr>
              <w:lastRenderedPageBreak/>
              <w:t>Adequação</w:t>
            </w:r>
          </w:p>
        </w:tc>
        <w:tc>
          <w:tcPr>
            <w:tcW w:w="8247" w:type="dxa"/>
            <w:gridSpan w:val="2"/>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14:paraId="7238FAA3" w14:textId="77777777" w:rsidR="00516E10" w:rsidRPr="00DF788D" w:rsidRDefault="00516E10" w:rsidP="00A37F97">
            <w:pPr>
              <w:ind w:left="122" w:right="122"/>
              <w:jc w:val="both"/>
              <w:rPr>
                <w:rFonts w:ascii="Arial" w:eastAsia="Arial Unicode MS" w:hAnsi="Arial" w:cs="Arial"/>
                <w:sz w:val="22"/>
              </w:rPr>
            </w:pPr>
          </w:p>
          <w:p w14:paraId="05D97301" w14:textId="77777777" w:rsidR="00516E10" w:rsidRPr="00DF788D" w:rsidRDefault="00516E10" w:rsidP="00A37F97">
            <w:pPr>
              <w:ind w:left="122" w:right="122"/>
              <w:jc w:val="both"/>
              <w:rPr>
                <w:rFonts w:ascii="Arial" w:eastAsia="Arial Unicode MS" w:hAnsi="Arial" w:cs="Arial"/>
                <w:sz w:val="22"/>
              </w:rPr>
            </w:pPr>
            <w:r w:rsidRPr="00DF788D">
              <w:rPr>
                <w:rFonts w:ascii="Arial" w:eastAsia="Arial Unicode MS" w:hAnsi="Arial" w:cs="Arial"/>
                <w:sz w:val="22"/>
              </w:rPr>
              <w:t xml:space="preserve">Sobre o disposto no </w:t>
            </w:r>
            <w:r w:rsidR="00A37F97" w:rsidRPr="00DF788D">
              <w:rPr>
                <w:rFonts w:ascii="Arial" w:eastAsia="Arial Unicode MS" w:hAnsi="Arial" w:cs="Arial"/>
                <w:sz w:val="22"/>
              </w:rPr>
              <w:t>artigo 9</w:t>
            </w:r>
            <w:r w:rsidRPr="00DF788D">
              <w:rPr>
                <w:rFonts w:ascii="Arial" w:eastAsia="Arial Unicode MS" w:hAnsi="Arial" w:cs="Arial"/>
                <w:sz w:val="22"/>
              </w:rPr>
              <w:t>º</w:t>
            </w:r>
            <w:r w:rsidR="00A37F97" w:rsidRPr="00DF788D">
              <w:rPr>
                <w:rFonts w:ascii="Arial" w:eastAsia="Arial Unicode MS" w:hAnsi="Arial" w:cs="Arial"/>
                <w:sz w:val="22"/>
              </w:rPr>
              <w:t xml:space="preserve"> da Minuta</w:t>
            </w:r>
            <w:r w:rsidRPr="00DF788D">
              <w:rPr>
                <w:rFonts w:ascii="Arial" w:eastAsia="Arial Unicode MS" w:hAnsi="Arial" w:cs="Arial"/>
                <w:sz w:val="22"/>
              </w:rPr>
              <w:t xml:space="preserve"> </w:t>
            </w:r>
            <w:r w:rsidRPr="00DF788D">
              <w:rPr>
                <w:rFonts w:ascii="Arial" w:eastAsia="Arial Unicode MS" w:hAnsi="Arial" w:cs="Arial"/>
                <w:i/>
                <w:sz w:val="22"/>
              </w:rPr>
              <w:t>que</w:t>
            </w:r>
            <w:r w:rsidR="00A37F97" w:rsidRPr="00DF788D">
              <w:rPr>
                <w:rFonts w:ascii="Arial" w:eastAsia="Arial Unicode MS" w:hAnsi="Arial" w:cs="Arial"/>
                <w:i/>
                <w:sz w:val="22"/>
              </w:rPr>
              <w:t xml:space="preserve"> prevê a obrigação de todos os produtores, importadores e distribuidores, independentemente de serem “agentes </w:t>
            </w:r>
            <w:r w:rsidR="00A37F97" w:rsidRPr="00DF788D">
              <w:rPr>
                <w:rFonts w:ascii="Arial" w:eastAsia="Arial Unicode MS" w:hAnsi="Arial" w:cs="Arial"/>
                <w:i/>
                <w:sz w:val="22"/>
              </w:rPr>
              <w:lastRenderedPageBreak/>
              <w:t>dominantes” ou não, de enviarem à ANP informações de valor unitário do produto e de modalidade de frete. De acordo com o artigo 12 da Minuta, “[o]s dados referentes a preços praticados pelos agentes econômicos regulados obtidos pela ANP poderão estar sujeitos a agregação estatística, quando da sua publicação, bem como incluir defasagem temporal, de modo a preservar informações abrangidas por sigilo legal ou minimizar possíveis efeitos anticoncorrenciais.” (g.n.). Diferentemente do que ocorre com o CADE, que dedicou toda uma seção sobre sigilo e acesso restrito a documentos e informações no seu Regimento Interno, o Regimento Interno da ANP (Portaria n. 69/2011) não possui tal regramento</w:t>
            </w:r>
            <w:r w:rsidRPr="00DF788D">
              <w:rPr>
                <w:rStyle w:val="Refdenotaderodap"/>
                <w:rFonts w:ascii="Arial" w:eastAsia="Arial Unicode MS" w:hAnsi="Arial" w:cs="Arial"/>
                <w:i/>
                <w:sz w:val="22"/>
              </w:rPr>
              <w:footnoteReference w:id="10"/>
            </w:r>
            <w:r w:rsidR="00A37F97" w:rsidRPr="00DF788D">
              <w:rPr>
                <w:rFonts w:ascii="Arial" w:eastAsia="Arial Unicode MS" w:hAnsi="Arial" w:cs="Arial"/>
                <w:i/>
                <w:sz w:val="22"/>
              </w:rPr>
              <w:t>.</w:t>
            </w:r>
            <w:r w:rsidR="00A37F97" w:rsidRPr="00DF788D">
              <w:rPr>
                <w:rFonts w:ascii="Arial" w:eastAsia="Arial Unicode MS" w:hAnsi="Arial" w:cs="Arial"/>
                <w:sz w:val="22"/>
              </w:rPr>
              <w:t xml:space="preserve"> </w:t>
            </w:r>
          </w:p>
          <w:p w14:paraId="45DB47D6" w14:textId="77777777" w:rsidR="00516E10" w:rsidRPr="00DF788D" w:rsidRDefault="00516E10" w:rsidP="00A37F97">
            <w:pPr>
              <w:ind w:left="122" w:right="122"/>
              <w:jc w:val="both"/>
              <w:rPr>
                <w:rFonts w:ascii="Arial" w:eastAsia="Arial Unicode MS" w:hAnsi="Arial" w:cs="Arial"/>
                <w:sz w:val="22"/>
              </w:rPr>
            </w:pPr>
          </w:p>
          <w:p w14:paraId="10394A73" w14:textId="4C748EDE" w:rsidR="00A37F97" w:rsidRPr="00DF788D" w:rsidRDefault="00516E10" w:rsidP="00A37F97">
            <w:pPr>
              <w:ind w:left="122" w:right="122"/>
              <w:jc w:val="both"/>
              <w:rPr>
                <w:rFonts w:ascii="Arial" w:eastAsia="Arial Unicode MS" w:hAnsi="Arial" w:cs="Arial"/>
                <w:sz w:val="22"/>
              </w:rPr>
            </w:pPr>
            <w:r w:rsidRPr="00DF788D">
              <w:rPr>
                <w:rFonts w:ascii="Arial" w:eastAsia="Arial Unicode MS" w:hAnsi="Arial" w:cs="Arial"/>
                <w:sz w:val="22"/>
              </w:rPr>
              <w:t>Desta maneira o Sindigás s</w:t>
            </w:r>
            <w:r w:rsidR="00A37F97" w:rsidRPr="00DF788D">
              <w:rPr>
                <w:rFonts w:ascii="Arial" w:eastAsia="Arial Unicode MS" w:hAnsi="Arial" w:cs="Arial"/>
                <w:sz w:val="22"/>
              </w:rPr>
              <w:t>ugere</w:t>
            </w:r>
            <w:r w:rsidRPr="00DF788D">
              <w:rPr>
                <w:rFonts w:ascii="Arial" w:eastAsia="Arial Unicode MS" w:hAnsi="Arial" w:cs="Arial"/>
                <w:sz w:val="22"/>
              </w:rPr>
              <w:t xml:space="preserve">, conforme demonstrado no </w:t>
            </w:r>
            <w:r w:rsidRPr="00DF788D">
              <w:rPr>
                <w:rFonts w:ascii="Arial" w:eastAsia="Arial Unicode MS" w:hAnsi="Arial" w:cs="Arial"/>
                <w:i/>
                <w:sz w:val="22"/>
              </w:rPr>
              <w:t>Legal Opinion</w:t>
            </w:r>
            <w:r w:rsidRPr="00DF788D">
              <w:rPr>
                <w:rFonts w:ascii="Arial" w:eastAsia="Arial Unicode MS" w:hAnsi="Arial" w:cs="Arial"/>
                <w:sz w:val="22"/>
              </w:rPr>
              <w:t xml:space="preserve"> (anexo I</w:t>
            </w:r>
            <w:r w:rsidR="00EB61EF" w:rsidRPr="00DF788D">
              <w:rPr>
                <w:rFonts w:ascii="Arial" w:eastAsia="Arial Unicode MS" w:hAnsi="Arial" w:cs="Arial"/>
                <w:sz w:val="22"/>
              </w:rPr>
              <w:t>I</w:t>
            </w:r>
            <w:r w:rsidRPr="00DF788D">
              <w:rPr>
                <w:rFonts w:ascii="Arial" w:eastAsia="Arial Unicode MS" w:hAnsi="Arial" w:cs="Arial"/>
                <w:sz w:val="22"/>
              </w:rPr>
              <w:t>) desse formulário</w:t>
            </w:r>
            <w:r w:rsidR="00A37F97" w:rsidRPr="00DF788D">
              <w:rPr>
                <w:rFonts w:ascii="Arial" w:eastAsia="Arial Unicode MS" w:hAnsi="Arial" w:cs="Arial"/>
                <w:sz w:val="22"/>
              </w:rPr>
              <w:t xml:space="preserve"> que a Minuta </w:t>
            </w:r>
            <w:r w:rsidRPr="00DF788D">
              <w:rPr>
                <w:rFonts w:ascii="Arial" w:eastAsia="Arial Unicode MS" w:hAnsi="Arial" w:cs="Arial"/>
                <w:i/>
                <w:sz w:val="22"/>
              </w:rPr>
              <w:t>deveria estabelecer</w:t>
            </w:r>
            <w:r w:rsidR="00A37F97" w:rsidRPr="00DF788D">
              <w:rPr>
                <w:rFonts w:ascii="Arial" w:eastAsia="Arial Unicode MS" w:hAnsi="Arial" w:cs="Arial"/>
                <w:i/>
                <w:sz w:val="22"/>
              </w:rPr>
              <w:t xml:space="preserve"> claramente as regras de sigilo e confidencialidade, incluindo os direitos e deveres dos administrados.</w:t>
            </w:r>
          </w:p>
          <w:p w14:paraId="3F9F51FE" w14:textId="17FAEBEB" w:rsidR="0027334F" w:rsidRPr="00DF788D" w:rsidRDefault="0027334F" w:rsidP="00A159E7">
            <w:pPr>
              <w:ind w:left="122" w:right="122"/>
              <w:jc w:val="both"/>
              <w:rPr>
                <w:rFonts w:ascii="Arial" w:hAnsi="Arial" w:cs="Arial"/>
              </w:rPr>
            </w:pPr>
          </w:p>
        </w:tc>
      </w:tr>
    </w:tbl>
    <w:p w14:paraId="3CA66EBC" w14:textId="77777777" w:rsidR="004602FD" w:rsidRPr="00A159E7" w:rsidRDefault="00100689" w:rsidP="00100689">
      <w:pPr>
        <w:jc w:val="center"/>
        <w:rPr>
          <w:sz w:val="24"/>
          <w:szCs w:val="26"/>
        </w:rPr>
      </w:pPr>
      <w:r w:rsidRPr="00A159E7">
        <w:rPr>
          <w:rFonts w:ascii="Arial" w:eastAsia="Arial Unicode MS" w:hAnsi="Arial" w:cs="Arial"/>
          <w:sz w:val="22"/>
          <w:szCs w:val="24"/>
        </w:rPr>
        <w:lastRenderedPageBreak/>
        <w:t xml:space="preserve">Este formulário deverá ser encaminhado à ANP para o endereço eletrônico: </w:t>
      </w:r>
      <w:r w:rsidR="00AB154F" w:rsidRPr="00A159E7">
        <w:rPr>
          <w:rFonts w:ascii="Arial" w:eastAsia="Arial Unicode MS" w:hAnsi="Arial" w:cs="Arial"/>
          <w:i/>
          <w:sz w:val="22"/>
          <w:szCs w:val="24"/>
        </w:rPr>
        <w:t>transparencia_precos@anp.gov.br</w:t>
      </w:r>
      <w:r w:rsidRPr="00A159E7">
        <w:rPr>
          <w:rFonts w:ascii="Arial" w:eastAsia="Arial Unicode MS" w:hAnsi="Arial" w:cs="Arial"/>
          <w:sz w:val="22"/>
          <w:szCs w:val="24"/>
        </w:rPr>
        <w:t xml:space="preserve">, fax (21) </w:t>
      </w:r>
      <w:r w:rsidR="00CC5472" w:rsidRPr="00A159E7">
        <w:rPr>
          <w:rFonts w:ascii="Arial" w:eastAsia="Arial Unicode MS" w:hAnsi="Arial" w:cs="Arial"/>
          <w:sz w:val="22"/>
          <w:szCs w:val="24"/>
        </w:rPr>
        <w:t>2112-81</w:t>
      </w:r>
      <w:r w:rsidR="00FD66A5" w:rsidRPr="00A159E7">
        <w:rPr>
          <w:rFonts w:ascii="Arial" w:eastAsia="Arial Unicode MS" w:hAnsi="Arial" w:cs="Arial"/>
          <w:sz w:val="22"/>
          <w:szCs w:val="24"/>
        </w:rPr>
        <w:t>2</w:t>
      </w:r>
      <w:r w:rsidR="009B4815" w:rsidRPr="00A159E7">
        <w:rPr>
          <w:rFonts w:ascii="Arial" w:eastAsia="Arial Unicode MS" w:hAnsi="Arial" w:cs="Arial"/>
          <w:sz w:val="22"/>
          <w:szCs w:val="24"/>
        </w:rPr>
        <w:t>9</w:t>
      </w:r>
      <w:r w:rsidRPr="00A159E7">
        <w:rPr>
          <w:rFonts w:ascii="Arial" w:eastAsia="Arial Unicode MS" w:hAnsi="Arial" w:cs="Arial"/>
          <w:sz w:val="22"/>
          <w:szCs w:val="24"/>
        </w:rPr>
        <w:t>, ou diretamente em um dos protocolos da ANP</w:t>
      </w:r>
      <w:r w:rsidR="00570C4C" w:rsidRPr="00A159E7">
        <w:rPr>
          <w:rFonts w:ascii="Arial" w:eastAsia="Arial Unicode MS" w:hAnsi="Arial" w:cs="Arial"/>
          <w:sz w:val="22"/>
          <w:szCs w:val="24"/>
        </w:rPr>
        <w:t xml:space="preserve"> indicado</w:t>
      </w:r>
      <w:r w:rsidRPr="00A159E7">
        <w:rPr>
          <w:rFonts w:ascii="Arial" w:eastAsia="Arial Unicode MS" w:hAnsi="Arial" w:cs="Arial"/>
          <w:sz w:val="22"/>
          <w:szCs w:val="24"/>
        </w:rPr>
        <w:t xml:space="preserve"> no item 2.1 do Aviso</w:t>
      </w:r>
      <w:r w:rsidR="00570C4C" w:rsidRPr="00A159E7">
        <w:rPr>
          <w:rFonts w:ascii="Arial" w:eastAsia="Arial Unicode MS" w:hAnsi="Arial" w:cs="Arial"/>
          <w:sz w:val="22"/>
          <w:szCs w:val="24"/>
        </w:rPr>
        <w:t xml:space="preserve"> dessa Consulta Pública.</w:t>
      </w:r>
    </w:p>
    <w:sectPr w:rsidR="004602FD" w:rsidRPr="00A159E7" w:rsidSect="00CF534B">
      <w:pgSz w:w="16840" w:h="11907" w:orient="landscape" w:code="9"/>
      <w:pgMar w:top="1418"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981FE" w14:textId="77777777" w:rsidR="00AE5CF7" w:rsidRDefault="00AE5CF7" w:rsidP="0058482B">
      <w:r>
        <w:separator/>
      </w:r>
    </w:p>
  </w:endnote>
  <w:endnote w:type="continuationSeparator" w:id="0">
    <w:p w14:paraId="55272236" w14:textId="77777777" w:rsidR="00AE5CF7" w:rsidRDefault="00AE5CF7" w:rsidP="0058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77C59" w14:textId="77777777" w:rsidR="00AE5CF7" w:rsidRDefault="00AE5CF7" w:rsidP="0058482B">
      <w:r>
        <w:separator/>
      </w:r>
    </w:p>
  </w:footnote>
  <w:footnote w:type="continuationSeparator" w:id="0">
    <w:p w14:paraId="26AA4F94" w14:textId="77777777" w:rsidR="00AE5CF7" w:rsidRDefault="00AE5CF7" w:rsidP="0058482B">
      <w:r>
        <w:continuationSeparator/>
      </w:r>
    </w:p>
  </w:footnote>
  <w:footnote w:id="1">
    <w:p w14:paraId="54EC9A50" w14:textId="63DD6E4D" w:rsidR="005B3F66" w:rsidRDefault="005B3F66">
      <w:pPr>
        <w:pStyle w:val="Textodenotaderodap"/>
      </w:pPr>
      <w:r>
        <w:rPr>
          <w:rStyle w:val="Refdenotaderodap"/>
        </w:rPr>
        <w:footnoteRef/>
      </w:r>
      <w:r>
        <w:t xml:space="preserve"> </w:t>
      </w:r>
      <w:r w:rsidRPr="005B5552">
        <w:rPr>
          <w:rFonts w:ascii="Arial" w:hAnsi="Arial" w:cs="Arial"/>
          <w:sz w:val="18"/>
        </w:rPr>
        <w:t>José Tavares de Araujo Jr. Transparência na Formação de Preços e Incentivos à Colusão. Março de 201</w:t>
      </w:r>
      <w:r>
        <w:rPr>
          <w:rFonts w:ascii="Arial" w:hAnsi="Arial" w:cs="Arial"/>
          <w:sz w:val="18"/>
        </w:rPr>
        <w:t>9</w:t>
      </w:r>
    </w:p>
  </w:footnote>
  <w:footnote w:id="2">
    <w:p w14:paraId="08CDDB17" w14:textId="5966EA3A" w:rsidR="005B3F66" w:rsidRDefault="005B3F66">
      <w:pPr>
        <w:pStyle w:val="Textodenotaderodap"/>
      </w:pPr>
      <w:r>
        <w:rPr>
          <w:rStyle w:val="Refdenotaderodap"/>
        </w:rPr>
        <w:footnoteRef/>
      </w:r>
      <w:r>
        <w:t xml:space="preserve"> </w:t>
      </w:r>
      <w:r w:rsidRPr="009278E4">
        <w:rPr>
          <w:rFonts w:ascii="Arial" w:hAnsi="Arial" w:cs="Arial"/>
          <w:sz w:val="18"/>
        </w:rPr>
        <w:t>Hadmann Jasper, Eric. Legal Opinion: Análise concorrencial da Consulta Pública ANP n. 4/2019</w:t>
      </w:r>
      <w:r>
        <w:rPr>
          <w:rFonts w:ascii="Arial" w:hAnsi="Arial" w:cs="Arial"/>
          <w:sz w:val="18"/>
        </w:rPr>
        <w:t>. Março 2019.</w:t>
      </w:r>
    </w:p>
  </w:footnote>
  <w:footnote w:id="3">
    <w:p w14:paraId="5FAA41A0" w14:textId="013254D6" w:rsidR="0027182E" w:rsidRDefault="0027182E">
      <w:pPr>
        <w:pStyle w:val="Textodenotaderodap"/>
      </w:pPr>
      <w:r>
        <w:rPr>
          <w:rStyle w:val="Refdenotaderodap"/>
        </w:rPr>
        <w:footnoteRef/>
      </w:r>
      <w:r>
        <w:t xml:space="preserve"> </w:t>
      </w:r>
      <w:r w:rsidRPr="009278E4">
        <w:rPr>
          <w:rFonts w:ascii="Arial" w:hAnsi="Arial" w:cs="Arial"/>
          <w:sz w:val="18"/>
        </w:rPr>
        <w:t>Hadmann Jasper, Eric. Legal Opinion: Análise concorrencial da Consulta Pública ANP n. 4/2019</w:t>
      </w:r>
      <w:r>
        <w:rPr>
          <w:rFonts w:ascii="Arial" w:hAnsi="Arial" w:cs="Arial"/>
          <w:sz w:val="18"/>
        </w:rPr>
        <w:t>. Pág. 11-12.</w:t>
      </w:r>
    </w:p>
  </w:footnote>
  <w:footnote w:id="4">
    <w:p w14:paraId="23377EF4" w14:textId="77777777" w:rsidR="00397DE1" w:rsidRPr="008B048F" w:rsidRDefault="00397DE1" w:rsidP="00397DE1">
      <w:pPr>
        <w:pStyle w:val="Textodenotaderodap"/>
        <w:rPr>
          <w:rFonts w:ascii="Arial" w:hAnsi="Arial" w:cs="Arial"/>
          <w:sz w:val="18"/>
          <w:szCs w:val="18"/>
        </w:rPr>
      </w:pPr>
      <w:r w:rsidRPr="008B048F">
        <w:rPr>
          <w:rStyle w:val="Refdenotaderodap"/>
          <w:rFonts w:ascii="Arial" w:hAnsi="Arial" w:cs="Arial"/>
          <w:sz w:val="18"/>
          <w:szCs w:val="18"/>
        </w:rPr>
        <w:footnoteRef/>
      </w:r>
      <w:r w:rsidRPr="008B048F">
        <w:rPr>
          <w:rFonts w:ascii="Arial" w:hAnsi="Arial" w:cs="Arial"/>
          <w:sz w:val="18"/>
          <w:szCs w:val="18"/>
        </w:rPr>
        <w:t xml:space="preserve"> José Tavares de Araujo Jr. Integração Vertical e Competição no Setor de GLP: Anatomia de um falso debate. Julho 2015.</w:t>
      </w:r>
    </w:p>
  </w:footnote>
  <w:footnote w:id="5">
    <w:p w14:paraId="04DC7CD8" w14:textId="174F7A86" w:rsidR="00397DE1" w:rsidRPr="008B048F" w:rsidRDefault="00397DE1">
      <w:pPr>
        <w:pStyle w:val="Textodenotaderodap"/>
        <w:rPr>
          <w:sz w:val="18"/>
          <w:szCs w:val="18"/>
        </w:rPr>
      </w:pPr>
      <w:r w:rsidRPr="008B048F">
        <w:rPr>
          <w:rStyle w:val="Refdenotaderodap"/>
          <w:sz w:val="18"/>
          <w:szCs w:val="18"/>
        </w:rPr>
        <w:footnoteRef/>
      </w:r>
      <w:r w:rsidRPr="008B048F">
        <w:rPr>
          <w:sz w:val="18"/>
          <w:szCs w:val="18"/>
        </w:rPr>
        <w:t xml:space="preserve"> </w:t>
      </w:r>
      <w:r w:rsidRPr="008B048F">
        <w:rPr>
          <w:rFonts w:ascii="Arial" w:hAnsi="Arial" w:cs="Arial"/>
          <w:sz w:val="18"/>
          <w:szCs w:val="18"/>
        </w:rPr>
        <w:t>Idem</w:t>
      </w:r>
      <w:r w:rsidR="006076D5" w:rsidRPr="008B048F">
        <w:rPr>
          <w:rFonts w:ascii="Arial" w:hAnsi="Arial" w:cs="Arial"/>
          <w:sz w:val="18"/>
          <w:szCs w:val="18"/>
        </w:rPr>
        <w:t>.</w:t>
      </w:r>
    </w:p>
  </w:footnote>
  <w:footnote w:id="6">
    <w:p w14:paraId="489C4267" w14:textId="7866C030" w:rsidR="00397DE1" w:rsidRPr="005B5552" w:rsidRDefault="00397DE1" w:rsidP="00397DE1">
      <w:pPr>
        <w:pStyle w:val="Textodenotaderodap"/>
        <w:rPr>
          <w:rFonts w:ascii="Arial" w:hAnsi="Arial" w:cs="Arial"/>
          <w:sz w:val="18"/>
        </w:rPr>
      </w:pPr>
      <w:r w:rsidRPr="008B048F">
        <w:rPr>
          <w:rFonts w:ascii="Arial" w:hAnsi="Arial" w:cs="Arial"/>
          <w:sz w:val="18"/>
          <w:szCs w:val="18"/>
          <w:vertAlign w:val="superscript"/>
        </w:rPr>
        <w:footnoteRef/>
      </w:r>
      <w:r w:rsidRPr="008B048F">
        <w:rPr>
          <w:rFonts w:ascii="Arial" w:hAnsi="Arial" w:cs="Arial"/>
          <w:sz w:val="18"/>
          <w:szCs w:val="18"/>
        </w:rPr>
        <w:t xml:space="preserve"> José Tavares de Araujo Jr. Transparência na Formação de Preços e Incentivos à Colusão. Março de 2019. Pág. 6-7.</w:t>
      </w:r>
    </w:p>
  </w:footnote>
  <w:footnote w:id="7">
    <w:p w14:paraId="13848578" w14:textId="1B4B73B7" w:rsidR="00397DE1" w:rsidRPr="00A159E7" w:rsidRDefault="00397DE1">
      <w:pPr>
        <w:pStyle w:val="Textodenotaderodap"/>
        <w:rPr>
          <w:rFonts w:ascii="Arial" w:hAnsi="Arial" w:cs="Arial"/>
          <w:sz w:val="18"/>
        </w:rPr>
      </w:pPr>
      <w:r w:rsidRPr="00A159E7">
        <w:rPr>
          <w:rStyle w:val="Refdenotaderodap"/>
          <w:rFonts w:ascii="Arial" w:hAnsi="Arial" w:cs="Arial"/>
          <w:sz w:val="18"/>
        </w:rPr>
        <w:footnoteRef/>
      </w:r>
      <w:r w:rsidRPr="00A159E7">
        <w:rPr>
          <w:rFonts w:ascii="Arial" w:hAnsi="Arial" w:cs="Arial"/>
          <w:sz w:val="18"/>
        </w:rPr>
        <w:t xml:space="preserve"> Idem. Pág. 15.</w:t>
      </w:r>
    </w:p>
  </w:footnote>
  <w:footnote w:id="8">
    <w:p w14:paraId="1A8BC4AF" w14:textId="3549001A" w:rsidR="00CD3CAF" w:rsidRDefault="00CD3CAF" w:rsidP="00CD3CAF">
      <w:pPr>
        <w:pStyle w:val="Textodenotaderodap"/>
      </w:pPr>
      <w:r>
        <w:rPr>
          <w:rStyle w:val="Refdenotaderodap"/>
        </w:rPr>
        <w:footnoteRef/>
      </w:r>
      <w:r>
        <w:t xml:space="preserve"> </w:t>
      </w:r>
      <w:r w:rsidRPr="009278E4">
        <w:rPr>
          <w:rFonts w:ascii="Arial" w:hAnsi="Arial" w:cs="Arial"/>
          <w:sz w:val="18"/>
        </w:rPr>
        <w:t>Hadmann Jasper, Eric. Legal Opinion: Análise concorrencial da Consulta Pública ANP n. 4/2019</w:t>
      </w:r>
      <w:r>
        <w:rPr>
          <w:rFonts w:ascii="Arial" w:hAnsi="Arial" w:cs="Arial"/>
          <w:sz w:val="18"/>
        </w:rPr>
        <w:t>. Pág. 13-15.</w:t>
      </w:r>
    </w:p>
  </w:footnote>
  <w:footnote w:id="9">
    <w:p w14:paraId="21C7FE74" w14:textId="32FF731A" w:rsidR="00D77770" w:rsidRPr="00A159E7" w:rsidRDefault="00D77770">
      <w:pPr>
        <w:pStyle w:val="Textodenotaderodap"/>
        <w:rPr>
          <w:rFonts w:ascii="Arial" w:hAnsi="Arial" w:cs="Arial"/>
          <w:sz w:val="18"/>
        </w:rPr>
      </w:pPr>
      <w:r w:rsidRPr="00A159E7">
        <w:rPr>
          <w:rStyle w:val="Refdenotaderodap"/>
          <w:rFonts w:ascii="Arial" w:hAnsi="Arial" w:cs="Arial"/>
          <w:sz w:val="18"/>
        </w:rPr>
        <w:footnoteRef/>
      </w:r>
      <w:r w:rsidRPr="00A159E7">
        <w:rPr>
          <w:rFonts w:ascii="Arial" w:hAnsi="Arial" w:cs="Arial"/>
          <w:sz w:val="18"/>
        </w:rPr>
        <w:t xml:space="preserve"> Hadmann Jasper, Eric. Legal Opinion: Análise concorrencial da Consulta Pública ANP n. 4/2019 – </w:t>
      </w:r>
      <w:r w:rsidR="00653682">
        <w:rPr>
          <w:rFonts w:ascii="Arial" w:hAnsi="Arial" w:cs="Arial"/>
          <w:sz w:val="18"/>
        </w:rPr>
        <w:t>Pá</w:t>
      </w:r>
      <w:r w:rsidRPr="00A159E7">
        <w:rPr>
          <w:rFonts w:ascii="Arial" w:hAnsi="Arial" w:cs="Arial"/>
          <w:sz w:val="18"/>
        </w:rPr>
        <w:t>g.</w:t>
      </w:r>
      <w:r w:rsidR="00653682">
        <w:rPr>
          <w:rFonts w:ascii="Arial" w:hAnsi="Arial" w:cs="Arial"/>
          <w:sz w:val="18"/>
        </w:rPr>
        <w:t xml:space="preserve"> </w:t>
      </w:r>
      <w:r w:rsidRPr="00A159E7">
        <w:rPr>
          <w:rFonts w:ascii="Arial" w:hAnsi="Arial" w:cs="Arial"/>
          <w:sz w:val="18"/>
        </w:rPr>
        <w:t>12.</w:t>
      </w:r>
    </w:p>
  </w:footnote>
  <w:footnote w:id="10">
    <w:p w14:paraId="70FCF6DB" w14:textId="5E7F382C" w:rsidR="00D77770" w:rsidRPr="00A159E7" w:rsidRDefault="00D77770">
      <w:pPr>
        <w:pStyle w:val="Textodenotaderodap"/>
        <w:rPr>
          <w:rFonts w:ascii="Arial" w:hAnsi="Arial" w:cs="Arial"/>
          <w:sz w:val="18"/>
        </w:rPr>
      </w:pPr>
      <w:r w:rsidRPr="00A159E7">
        <w:rPr>
          <w:rStyle w:val="Refdenotaderodap"/>
          <w:rFonts w:ascii="Arial" w:hAnsi="Arial" w:cs="Arial"/>
          <w:sz w:val="18"/>
        </w:rPr>
        <w:footnoteRef/>
      </w:r>
      <w:r w:rsidRPr="00A159E7">
        <w:rPr>
          <w:rFonts w:ascii="Arial" w:hAnsi="Arial" w:cs="Arial"/>
          <w:sz w:val="18"/>
        </w:rPr>
        <w:t xml:space="preserve"> Hadmann Jasper, Eric. Legal Opinion: Análise concorrencial da Consulta Pública ANP n. 4/2019 – </w:t>
      </w:r>
      <w:r w:rsidR="00653682">
        <w:rPr>
          <w:rFonts w:ascii="Arial" w:hAnsi="Arial" w:cs="Arial"/>
          <w:sz w:val="18"/>
        </w:rPr>
        <w:t>Pá</w:t>
      </w:r>
      <w:r w:rsidRPr="00A159E7">
        <w:rPr>
          <w:rFonts w:ascii="Arial" w:hAnsi="Arial" w:cs="Arial"/>
          <w:sz w:val="18"/>
        </w:rPr>
        <w:t>g. 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7393D"/>
    <w:multiLevelType w:val="hybridMultilevel"/>
    <w:tmpl w:val="17DEE336"/>
    <w:lvl w:ilvl="0" w:tplc="0416001B">
      <w:start w:val="1"/>
      <w:numFmt w:val="low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43171446"/>
    <w:multiLevelType w:val="multilevel"/>
    <w:tmpl w:val="7B283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41813C9"/>
    <w:multiLevelType w:val="multilevel"/>
    <w:tmpl w:val="DF6E21D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DD64C00"/>
    <w:multiLevelType w:val="hybridMultilevel"/>
    <w:tmpl w:val="87961BA6"/>
    <w:lvl w:ilvl="0" w:tplc="30B603BA">
      <w:start w:val="1"/>
      <w:numFmt w:val="decimal"/>
      <w:lvlText w:val="%1."/>
      <w:lvlJc w:val="left"/>
      <w:pPr>
        <w:ind w:left="720" w:hanging="360"/>
      </w:pPr>
      <w:rPr>
        <w:b/>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2C"/>
    <w:rsid w:val="000303C4"/>
    <w:rsid w:val="00035C63"/>
    <w:rsid w:val="00050F3F"/>
    <w:rsid w:val="00074056"/>
    <w:rsid w:val="000873C6"/>
    <w:rsid w:val="000A08A4"/>
    <w:rsid w:val="000C72BB"/>
    <w:rsid w:val="000C742C"/>
    <w:rsid w:val="000E7618"/>
    <w:rsid w:val="000F43D7"/>
    <w:rsid w:val="00100689"/>
    <w:rsid w:val="0010541F"/>
    <w:rsid w:val="00112CAC"/>
    <w:rsid w:val="00117A0A"/>
    <w:rsid w:val="001312BC"/>
    <w:rsid w:val="00185C28"/>
    <w:rsid w:val="001C5D32"/>
    <w:rsid w:val="001D0FCD"/>
    <w:rsid w:val="001D5423"/>
    <w:rsid w:val="001E4E2E"/>
    <w:rsid w:val="001E69E3"/>
    <w:rsid w:val="001F3A71"/>
    <w:rsid w:val="001F74A0"/>
    <w:rsid w:val="002109D6"/>
    <w:rsid w:val="0021638C"/>
    <w:rsid w:val="00242273"/>
    <w:rsid w:val="00263B52"/>
    <w:rsid w:val="0026582D"/>
    <w:rsid w:val="0027182E"/>
    <w:rsid w:val="0027334F"/>
    <w:rsid w:val="002808DC"/>
    <w:rsid w:val="00287B41"/>
    <w:rsid w:val="002A7F99"/>
    <w:rsid w:val="002B3B50"/>
    <w:rsid w:val="002E5A49"/>
    <w:rsid w:val="00326F78"/>
    <w:rsid w:val="00335A11"/>
    <w:rsid w:val="003514A1"/>
    <w:rsid w:val="0035599D"/>
    <w:rsid w:val="00362454"/>
    <w:rsid w:val="00364180"/>
    <w:rsid w:val="003667A5"/>
    <w:rsid w:val="00367549"/>
    <w:rsid w:val="00380E3F"/>
    <w:rsid w:val="00397DE1"/>
    <w:rsid w:val="003B27F6"/>
    <w:rsid w:val="003C5411"/>
    <w:rsid w:val="004017EF"/>
    <w:rsid w:val="0043479D"/>
    <w:rsid w:val="00452D91"/>
    <w:rsid w:val="004602FD"/>
    <w:rsid w:val="00461FDA"/>
    <w:rsid w:val="00482F43"/>
    <w:rsid w:val="00494A88"/>
    <w:rsid w:val="004C51C8"/>
    <w:rsid w:val="004C5AA8"/>
    <w:rsid w:val="004C6531"/>
    <w:rsid w:val="004D09A2"/>
    <w:rsid w:val="004E6BA1"/>
    <w:rsid w:val="005010EF"/>
    <w:rsid w:val="00516E10"/>
    <w:rsid w:val="00517D77"/>
    <w:rsid w:val="0055564A"/>
    <w:rsid w:val="00562FAE"/>
    <w:rsid w:val="00570C4C"/>
    <w:rsid w:val="00571EAB"/>
    <w:rsid w:val="0058482B"/>
    <w:rsid w:val="00585740"/>
    <w:rsid w:val="00586DD3"/>
    <w:rsid w:val="005B3F66"/>
    <w:rsid w:val="005E2BE6"/>
    <w:rsid w:val="005F230D"/>
    <w:rsid w:val="006076D5"/>
    <w:rsid w:val="0063117B"/>
    <w:rsid w:val="00653682"/>
    <w:rsid w:val="00672CEC"/>
    <w:rsid w:val="006B5299"/>
    <w:rsid w:val="006C7878"/>
    <w:rsid w:val="006E69BF"/>
    <w:rsid w:val="00711723"/>
    <w:rsid w:val="00711827"/>
    <w:rsid w:val="007220DF"/>
    <w:rsid w:val="00732705"/>
    <w:rsid w:val="00735912"/>
    <w:rsid w:val="00737AA8"/>
    <w:rsid w:val="00754009"/>
    <w:rsid w:val="0075642A"/>
    <w:rsid w:val="007623C2"/>
    <w:rsid w:val="00762754"/>
    <w:rsid w:val="00763429"/>
    <w:rsid w:val="0077237F"/>
    <w:rsid w:val="00790EF4"/>
    <w:rsid w:val="007A7C09"/>
    <w:rsid w:val="007E6A57"/>
    <w:rsid w:val="007F17D2"/>
    <w:rsid w:val="00815BA6"/>
    <w:rsid w:val="008241D3"/>
    <w:rsid w:val="00833E0A"/>
    <w:rsid w:val="00834A5C"/>
    <w:rsid w:val="00836D02"/>
    <w:rsid w:val="0085243A"/>
    <w:rsid w:val="00852D24"/>
    <w:rsid w:val="00881C58"/>
    <w:rsid w:val="008B048F"/>
    <w:rsid w:val="008B6D99"/>
    <w:rsid w:val="008C0A6C"/>
    <w:rsid w:val="008E1D4F"/>
    <w:rsid w:val="008F5D7B"/>
    <w:rsid w:val="00914362"/>
    <w:rsid w:val="00935563"/>
    <w:rsid w:val="009439A9"/>
    <w:rsid w:val="00956260"/>
    <w:rsid w:val="009865CE"/>
    <w:rsid w:val="009A7203"/>
    <w:rsid w:val="009B4815"/>
    <w:rsid w:val="009D59B7"/>
    <w:rsid w:val="009E5AD5"/>
    <w:rsid w:val="009F4F0E"/>
    <w:rsid w:val="009F5DDC"/>
    <w:rsid w:val="00A1439E"/>
    <w:rsid w:val="00A159E7"/>
    <w:rsid w:val="00A225FB"/>
    <w:rsid w:val="00A30346"/>
    <w:rsid w:val="00A37F97"/>
    <w:rsid w:val="00A8005F"/>
    <w:rsid w:val="00A8643E"/>
    <w:rsid w:val="00A94E85"/>
    <w:rsid w:val="00AB154F"/>
    <w:rsid w:val="00AC5BC1"/>
    <w:rsid w:val="00AD3095"/>
    <w:rsid w:val="00AE31C4"/>
    <w:rsid w:val="00AE5CF7"/>
    <w:rsid w:val="00AF2899"/>
    <w:rsid w:val="00B4490B"/>
    <w:rsid w:val="00B540D8"/>
    <w:rsid w:val="00B74C89"/>
    <w:rsid w:val="00B86344"/>
    <w:rsid w:val="00B87441"/>
    <w:rsid w:val="00B87C2B"/>
    <w:rsid w:val="00BA0A8F"/>
    <w:rsid w:val="00BB004F"/>
    <w:rsid w:val="00BB727D"/>
    <w:rsid w:val="00BC59FF"/>
    <w:rsid w:val="00BD3040"/>
    <w:rsid w:val="00BD479F"/>
    <w:rsid w:val="00BD5993"/>
    <w:rsid w:val="00BE64D1"/>
    <w:rsid w:val="00C13A89"/>
    <w:rsid w:val="00C14B46"/>
    <w:rsid w:val="00C27485"/>
    <w:rsid w:val="00C35B6E"/>
    <w:rsid w:val="00C6590F"/>
    <w:rsid w:val="00C74BAD"/>
    <w:rsid w:val="00C76DFE"/>
    <w:rsid w:val="00C77253"/>
    <w:rsid w:val="00CA0F82"/>
    <w:rsid w:val="00CA6FE8"/>
    <w:rsid w:val="00CB4E90"/>
    <w:rsid w:val="00CC5472"/>
    <w:rsid w:val="00CD3CAF"/>
    <w:rsid w:val="00CD7D9E"/>
    <w:rsid w:val="00CF2605"/>
    <w:rsid w:val="00CF534B"/>
    <w:rsid w:val="00D060D3"/>
    <w:rsid w:val="00D06353"/>
    <w:rsid w:val="00D079AF"/>
    <w:rsid w:val="00D11D93"/>
    <w:rsid w:val="00D32699"/>
    <w:rsid w:val="00D3356D"/>
    <w:rsid w:val="00D43352"/>
    <w:rsid w:val="00D627E3"/>
    <w:rsid w:val="00D67BB9"/>
    <w:rsid w:val="00D77770"/>
    <w:rsid w:val="00DA4E37"/>
    <w:rsid w:val="00DB34B2"/>
    <w:rsid w:val="00DC0FFA"/>
    <w:rsid w:val="00DE64B2"/>
    <w:rsid w:val="00DF788D"/>
    <w:rsid w:val="00E01F8E"/>
    <w:rsid w:val="00E02E22"/>
    <w:rsid w:val="00E03CA7"/>
    <w:rsid w:val="00E06319"/>
    <w:rsid w:val="00E51418"/>
    <w:rsid w:val="00E621E0"/>
    <w:rsid w:val="00E656C1"/>
    <w:rsid w:val="00E7707E"/>
    <w:rsid w:val="00E81AF7"/>
    <w:rsid w:val="00EA1B67"/>
    <w:rsid w:val="00EA5913"/>
    <w:rsid w:val="00EA73B0"/>
    <w:rsid w:val="00EB2C96"/>
    <w:rsid w:val="00EB61EF"/>
    <w:rsid w:val="00ED7714"/>
    <w:rsid w:val="00F026F8"/>
    <w:rsid w:val="00F229D8"/>
    <w:rsid w:val="00F3714C"/>
    <w:rsid w:val="00F42EA5"/>
    <w:rsid w:val="00F45CB8"/>
    <w:rsid w:val="00FB0E77"/>
    <w:rsid w:val="00FB63F2"/>
    <w:rsid w:val="00FC045F"/>
    <w:rsid w:val="00FD2C11"/>
    <w:rsid w:val="00FD3A8A"/>
    <w:rsid w:val="00FD3B38"/>
    <w:rsid w:val="00FD4CBC"/>
    <w:rsid w:val="00FD55B7"/>
    <w:rsid w:val="00FD66A5"/>
    <w:rsid w:val="00FE181D"/>
    <w:rsid w:val="00FF3336"/>
    <w:rsid w:val="00FF495F"/>
    <w:rsid w:val="00FF70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D48F3CC"/>
  <w15:docId w15:val="{3E8ADA8C-8CFC-4AB3-B0AC-A1FEB316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B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CF2605"/>
    <w:pPr>
      <w:autoSpaceDE w:val="0"/>
      <w:autoSpaceDN w:val="0"/>
      <w:adjustRightInd w:val="0"/>
      <w:jc w:val="both"/>
    </w:pPr>
    <w:rPr>
      <w:color w:val="000000"/>
      <w:sz w:val="24"/>
      <w:szCs w:val="24"/>
    </w:rPr>
  </w:style>
  <w:style w:type="character" w:customStyle="1" w:styleId="CorpodetextoChar">
    <w:name w:val="Corpo de texto Char"/>
    <w:basedOn w:val="Fontepargpadro"/>
    <w:link w:val="Corpodetexto"/>
    <w:semiHidden/>
    <w:rsid w:val="00CF2605"/>
    <w:rPr>
      <w:color w:val="000000"/>
      <w:sz w:val="24"/>
      <w:szCs w:val="24"/>
    </w:rPr>
  </w:style>
  <w:style w:type="paragraph" w:styleId="Legenda">
    <w:name w:val="caption"/>
    <w:basedOn w:val="Normal"/>
    <w:next w:val="Normal"/>
    <w:qFormat/>
    <w:rsid w:val="00BD5993"/>
    <w:rPr>
      <w:rFonts w:ascii="Arial" w:hAnsi="Arial"/>
      <w:sz w:val="24"/>
    </w:rPr>
  </w:style>
  <w:style w:type="character" w:styleId="Hyperlink">
    <w:name w:val="Hyperlink"/>
    <w:basedOn w:val="Fontepargpadro"/>
    <w:uiPriority w:val="99"/>
    <w:unhideWhenUsed/>
    <w:rsid w:val="00100689"/>
    <w:rPr>
      <w:color w:val="0000FF"/>
      <w:u w:val="single"/>
    </w:rPr>
  </w:style>
  <w:style w:type="paragraph" w:customStyle="1" w:styleId="Default">
    <w:name w:val="Default"/>
    <w:rsid w:val="0058482B"/>
    <w:pPr>
      <w:autoSpaceDE w:val="0"/>
      <w:autoSpaceDN w:val="0"/>
      <w:adjustRightInd w:val="0"/>
    </w:pPr>
    <w:rPr>
      <w:rFonts w:ascii="Arial" w:hAnsi="Arial" w:cs="Arial"/>
      <w:color w:val="000000"/>
      <w:sz w:val="24"/>
      <w:szCs w:val="24"/>
    </w:rPr>
  </w:style>
  <w:style w:type="paragraph" w:styleId="Textodenotaderodap">
    <w:name w:val="footnote text"/>
    <w:basedOn w:val="Normal"/>
    <w:link w:val="TextodenotaderodapChar"/>
    <w:uiPriority w:val="99"/>
    <w:semiHidden/>
    <w:unhideWhenUsed/>
    <w:rsid w:val="0058482B"/>
  </w:style>
  <w:style w:type="character" w:customStyle="1" w:styleId="TextodenotaderodapChar">
    <w:name w:val="Texto de nota de rodapé Char"/>
    <w:basedOn w:val="Fontepargpadro"/>
    <w:link w:val="Textodenotaderodap"/>
    <w:uiPriority w:val="99"/>
    <w:semiHidden/>
    <w:rsid w:val="0058482B"/>
  </w:style>
  <w:style w:type="character" w:styleId="Refdenotaderodap">
    <w:name w:val="footnote reference"/>
    <w:basedOn w:val="Fontepargpadro"/>
    <w:uiPriority w:val="99"/>
    <w:semiHidden/>
    <w:unhideWhenUsed/>
    <w:rsid w:val="0058482B"/>
    <w:rPr>
      <w:vertAlign w:val="superscript"/>
    </w:rPr>
  </w:style>
  <w:style w:type="paragraph" w:styleId="PargrafodaLista">
    <w:name w:val="List Paragraph"/>
    <w:basedOn w:val="Normal"/>
    <w:uiPriority w:val="34"/>
    <w:qFormat/>
    <w:rsid w:val="00C77253"/>
    <w:pPr>
      <w:ind w:left="720"/>
    </w:pPr>
    <w:rPr>
      <w:rFonts w:ascii="Calibri" w:eastAsiaTheme="minorHAnsi" w:hAnsi="Calibri"/>
      <w:sz w:val="24"/>
      <w:szCs w:val="24"/>
      <w:lang w:eastAsia="en-US"/>
    </w:rPr>
  </w:style>
  <w:style w:type="paragraph" w:styleId="Textodebalo">
    <w:name w:val="Balloon Text"/>
    <w:basedOn w:val="Normal"/>
    <w:link w:val="TextodebaloChar"/>
    <w:uiPriority w:val="99"/>
    <w:semiHidden/>
    <w:unhideWhenUsed/>
    <w:rsid w:val="00461FDA"/>
    <w:rPr>
      <w:rFonts w:ascii="Segoe UI" w:hAnsi="Segoe UI" w:cs="Segoe UI"/>
      <w:sz w:val="18"/>
      <w:szCs w:val="18"/>
    </w:rPr>
  </w:style>
  <w:style w:type="character" w:customStyle="1" w:styleId="TextodebaloChar">
    <w:name w:val="Texto de balão Char"/>
    <w:basedOn w:val="Fontepargpadro"/>
    <w:link w:val="Textodebalo"/>
    <w:uiPriority w:val="99"/>
    <w:semiHidden/>
    <w:rsid w:val="00461FDA"/>
    <w:rPr>
      <w:rFonts w:ascii="Segoe UI" w:hAnsi="Segoe UI" w:cs="Segoe UI"/>
      <w:sz w:val="18"/>
      <w:szCs w:val="18"/>
    </w:rPr>
  </w:style>
  <w:style w:type="character" w:styleId="Refdecomentrio">
    <w:name w:val="annotation reference"/>
    <w:basedOn w:val="Fontepargpadro"/>
    <w:uiPriority w:val="99"/>
    <w:semiHidden/>
    <w:unhideWhenUsed/>
    <w:rsid w:val="00461FDA"/>
    <w:rPr>
      <w:sz w:val="16"/>
      <w:szCs w:val="16"/>
    </w:rPr>
  </w:style>
  <w:style w:type="paragraph" w:styleId="Textodecomentrio">
    <w:name w:val="annotation text"/>
    <w:basedOn w:val="Normal"/>
    <w:link w:val="TextodecomentrioChar"/>
    <w:uiPriority w:val="99"/>
    <w:semiHidden/>
    <w:unhideWhenUsed/>
    <w:rsid w:val="00461FDA"/>
  </w:style>
  <w:style w:type="character" w:customStyle="1" w:styleId="TextodecomentrioChar">
    <w:name w:val="Texto de comentário Char"/>
    <w:basedOn w:val="Fontepargpadro"/>
    <w:link w:val="Textodecomentrio"/>
    <w:uiPriority w:val="99"/>
    <w:semiHidden/>
    <w:rsid w:val="00461FDA"/>
  </w:style>
  <w:style w:type="paragraph" w:styleId="Textodenotadefim">
    <w:name w:val="endnote text"/>
    <w:basedOn w:val="Normal"/>
    <w:link w:val="TextodenotadefimChar"/>
    <w:uiPriority w:val="99"/>
    <w:semiHidden/>
    <w:unhideWhenUsed/>
    <w:rsid w:val="00737AA8"/>
  </w:style>
  <w:style w:type="character" w:customStyle="1" w:styleId="TextodenotadefimChar">
    <w:name w:val="Texto de nota de fim Char"/>
    <w:basedOn w:val="Fontepargpadro"/>
    <w:link w:val="Textodenotadefim"/>
    <w:uiPriority w:val="99"/>
    <w:semiHidden/>
    <w:rsid w:val="00737AA8"/>
  </w:style>
  <w:style w:type="character" w:styleId="Refdenotadefim">
    <w:name w:val="endnote reference"/>
    <w:basedOn w:val="Fontepargpadro"/>
    <w:uiPriority w:val="99"/>
    <w:semiHidden/>
    <w:unhideWhenUsed/>
    <w:rsid w:val="00737AA8"/>
    <w:rPr>
      <w:vertAlign w:val="superscript"/>
    </w:rPr>
  </w:style>
  <w:style w:type="paragraph" w:styleId="Cabealho">
    <w:name w:val="header"/>
    <w:basedOn w:val="Normal"/>
    <w:link w:val="CabealhoChar"/>
    <w:uiPriority w:val="99"/>
    <w:unhideWhenUsed/>
    <w:rsid w:val="00D67BB9"/>
    <w:pPr>
      <w:tabs>
        <w:tab w:val="center" w:pos="4252"/>
        <w:tab w:val="right" w:pos="8504"/>
      </w:tabs>
    </w:pPr>
  </w:style>
  <w:style w:type="character" w:customStyle="1" w:styleId="CabealhoChar">
    <w:name w:val="Cabeçalho Char"/>
    <w:basedOn w:val="Fontepargpadro"/>
    <w:link w:val="Cabealho"/>
    <w:uiPriority w:val="99"/>
    <w:rsid w:val="00D67BB9"/>
  </w:style>
  <w:style w:type="paragraph" w:styleId="Rodap">
    <w:name w:val="footer"/>
    <w:basedOn w:val="Normal"/>
    <w:link w:val="RodapChar"/>
    <w:uiPriority w:val="99"/>
    <w:unhideWhenUsed/>
    <w:rsid w:val="00D67BB9"/>
    <w:pPr>
      <w:tabs>
        <w:tab w:val="center" w:pos="4252"/>
        <w:tab w:val="right" w:pos="8504"/>
      </w:tabs>
    </w:pPr>
  </w:style>
  <w:style w:type="character" w:customStyle="1" w:styleId="RodapChar">
    <w:name w:val="Rodapé Char"/>
    <w:basedOn w:val="Fontepargpadro"/>
    <w:link w:val="Rodap"/>
    <w:uiPriority w:val="99"/>
    <w:rsid w:val="00D67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9167">
      <w:bodyDiv w:val="1"/>
      <w:marLeft w:val="0"/>
      <w:marRight w:val="0"/>
      <w:marTop w:val="0"/>
      <w:marBottom w:val="0"/>
      <w:divBdr>
        <w:top w:val="none" w:sz="0" w:space="0" w:color="auto"/>
        <w:left w:val="none" w:sz="0" w:space="0" w:color="auto"/>
        <w:bottom w:val="none" w:sz="0" w:space="0" w:color="auto"/>
        <w:right w:val="none" w:sz="0" w:space="0" w:color="auto"/>
      </w:divBdr>
    </w:div>
    <w:div w:id="695691174">
      <w:bodyDiv w:val="1"/>
      <w:marLeft w:val="0"/>
      <w:marRight w:val="0"/>
      <w:marTop w:val="0"/>
      <w:marBottom w:val="0"/>
      <w:divBdr>
        <w:top w:val="none" w:sz="0" w:space="0" w:color="auto"/>
        <w:left w:val="none" w:sz="0" w:space="0" w:color="auto"/>
        <w:bottom w:val="none" w:sz="0" w:space="0" w:color="auto"/>
        <w:right w:val="none" w:sz="0" w:space="0" w:color="auto"/>
      </w:divBdr>
    </w:div>
    <w:div w:id="1046179605">
      <w:bodyDiv w:val="1"/>
      <w:marLeft w:val="0"/>
      <w:marRight w:val="0"/>
      <w:marTop w:val="0"/>
      <w:marBottom w:val="0"/>
      <w:divBdr>
        <w:top w:val="none" w:sz="0" w:space="0" w:color="auto"/>
        <w:left w:val="none" w:sz="0" w:space="0" w:color="auto"/>
        <w:bottom w:val="none" w:sz="0" w:space="0" w:color="auto"/>
        <w:right w:val="none" w:sz="0" w:space="0" w:color="auto"/>
      </w:divBdr>
      <w:divsChild>
        <w:div w:id="1891115462">
          <w:marLeft w:val="0"/>
          <w:marRight w:val="0"/>
          <w:marTop w:val="0"/>
          <w:marBottom w:val="0"/>
          <w:divBdr>
            <w:top w:val="none" w:sz="0" w:space="0" w:color="auto"/>
            <w:left w:val="none" w:sz="0" w:space="0" w:color="auto"/>
            <w:bottom w:val="none" w:sz="0" w:space="0" w:color="auto"/>
            <w:right w:val="none" w:sz="0" w:space="0" w:color="auto"/>
          </w:divBdr>
          <w:divsChild>
            <w:div w:id="147359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86590">
      <w:bodyDiv w:val="1"/>
      <w:marLeft w:val="0"/>
      <w:marRight w:val="0"/>
      <w:marTop w:val="0"/>
      <w:marBottom w:val="0"/>
      <w:divBdr>
        <w:top w:val="none" w:sz="0" w:space="0" w:color="auto"/>
        <w:left w:val="none" w:sz="0" w:space="0" w:color="auto"/>
        <w:bottom w:val="none" w:sz="0" w:space="0" w:color="auto"/>
        <w:right w:val="none" w:sz="0" w:space="0" w:color="auto"/>
      </w:divBdr>
    </w:div>
    <w:div w:id="1217162182">
      <w:bodyDiv w:val="1"/>
      <w:marLeft w:val="0"/>
      <w:marRight w:val="0"/>
      <w:marTop w:val="0"/>
      <w:marBottom w:val="0"/>
      <w:divBdr>
        <w:top w:val="none" w:sz="0" w:space="0" w:color="auto"/>
        <w:left w:val="none" w:sz="0" w:space="0" w:color="auto"/>
        <w:bottom w:val="none" w:sz="0" w:space="0" w:color="auto"/>
        <w:right w:val="none" w:sz="0" w:space="0" w:color="auto"/>
      </w:divBdr>
    </w:div>
    <w:div w:id="1914578956">
      <w:bodyDiv w:val="1"/>
      <w:marLeft w:val="0"/>
      <w:marRight w:val="0"/>
      <w:marTop w:val="0"/>
      <w:marBottom w:val="0"/>
      <w:divBdr>
        <w:top w:val="none" w:sz="0" w:space="0" w:color="auto"/>
        <w:left w:val="none" w:sz="0" w:space="0" w:color="auto"/>
        <w:bottom w:val="none" w:sz="0" w:space="0" w:color="auto"/>
        <w:right w:val="none" w:sz="0" w:space="0" w:color="auto"/>
      </w:divBdr>
    </w:div>
    <w:div w:id="198484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162A0-3478-4FE9-B9E2-69D45D1C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3553</Words>
  <Characters>19192</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CONSULTA PÚBLICA PARA REVISÃO DA PORTARIA ANP 248/99</vt:lpstr>
    </vt:vector>
  </TitlesOfParts>
  <Company>Anp</Company>
  <LinksUpToDate>false</LinksUpToDate>
  <CharactersWithSpaces>22700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 PÚBLICA PARA REVISÃO DA PORTARIA ANP 248/99</dc:title>
  <dc:creator>Anp</dc:creator>
  <cp:lastModifiedBy>Cristiane Caravana</cp:lastModifiedBy>
  <cp:revision>4</cp:revision>
  <cp:lastPrinted>2019-02-27T13:13:00Z</cp:lastPrinted>
  <dcterms:created xsi:type="dcterms:W3CDTF">2019-03-14T15:00:00Z</dcterms:created>
  <dcterms:modified xsi:type="dcterms:W3CDTF">2019-03-14T15:57:00Z</dcterms:modified>
</cp:coreProperties>
</file>