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E1D" w:rsidRPr="00967E1D" w:rsidRDefault="00967E1D" w:rsidP="00967E1D">
      <w:pPr>
        <w:pStyle w:val="NormalWeb"/>
        <w:spacing w:before="0" w:beforeAutospacing="0" w:after="0" w:afterAutospacing="0"/>
        <w:ind w:firstLine="567"/>
        <w:jc w:val="center"/>
        <w:rPr>
          <w:rFonts w:ascii="Calibri" w:hAnsi="Calibri"/>
          <w:color w:val="000000"/>
        </w:rPr>
      </w:pPr>
      <w:r w:rsidRPr="00967E1D">
        <w:rPr>
          <w:rFonts w:ascii="Calibri" w:hAnsi="Calibri"/>
          <w:color w:val="000000"/>
        </w:rPr>
        <w:t>AVISO DE CONSULTA PÚBLICA E AUDIÊNCIA PÚBLICA Nº 20/2019</w:t>
      </w:r>
    </w:p>
    <w:p w:rsidR="00967E1D" w:rsidRPr="00967E1D" w:rsidRDefault="00967E1D" w:rsidP="00967E1D">
      <w:pPr>
        <w:pStyle w:val="NormalWeb"/>
        <w:spacing w:before="0" w:beforeAutospacing="0" w:after="0" w:afterAutospacing="0"/>
        <w:ind w:firstLine="567"/>
        <w:rPr>
          <w:rFonts w:ascii="Calibri" w:hAnsi="Calibri"/>
          <w:color w:val="000000"/>
        </w:rPr>
      </w:pPr>
    </w:p>
    <w:p w:rsidR="00893441" w:rsidRPr="00967E1D" w:rsidRDefault="00967E1D" w:rsidP="00967E1D">
      <w:pPr>
        <w:autoSpaceDE w:val="0"/>
        <w:autoSpaceDN w:val="0"/>
        <w:adjustRightInd w:val="0"/>
        <w:ind w:firstLine="567"/>
        <w:jc w:val="both"/>
        <w:rPr>
          <w:rFonts w:ascii="Calibri" w:hAnsi="Calibri"/>
          <w:szCs w:val="24"/>
        </w:rPr>
      </w:pPr>
      <w:r w:rsidRPr="00967E1D">
        <w:rPr>
          <w:rFonts w:ascii="Calibri" w:hAnsi="Calibri"/>
          <w:color w:val="000000"/>
          <w:szCs w:val="24"/>
        </w:rPr>
        <w:t>A DIRETORIA DA AGÊNCIA NACIONAL DO PETRÓLEO, GÁS NATURAL E BIOCOMBUSTÍVEIS - ANP, no uso de suas atribuições legais, e nas deliberações tomadas na 993ª Reunião de Diretoria, realizada em 19 de setembro de 2019, e no que consta no processo nº 48610.208687/2019-96,</w:t>
      </w:r>
    </w:p>
    <w:p w:rsidR="00651342" w:rsidRPr="00967E1D" w:rsidRDefault="00651342" w:rsidP="00651342">
      <w:pPr>
        <w:jc w:val="both"/>
        <w:rPr>
          <w:rFonts w:ascii="Calibri" w:hAnsi="Calibri"/>
          <w:snapToGrid w:val="0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COMUNICA: Aos agentes econômicos de empresas produtoras</w:t>
      </w:r>
      <w:r w:rsidR="004B1BEF" w:rsidRPr="00967E1D">
        <w:rPr>
          <w:rFonts w:ascii="Calibri" w:hAnsi="Calibri"/>
          <w:color w:val="000000"/>
          <w:szCs w:val="24"/>
        </w:rPr>
        <w:t>, importadoras e distribuidoras de gases liquefeitos de petróleo - GLP</w:t>
      </w:r>
      <w:r w:rsidRPr="00967E1D">
        <w:rPr>
          <w:rFonts w:ascii="Calibri" w:hAnsi="Calibri"/>
          <w:color w:val="000000"/>
          <w:szCs w:val="24"/>
        </w:rPr>
        <w:t>, bem como aos demais interessados, que realizará Audiência Pública, precedida de Consulta Pública, com as características apresentadas a seguir: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1. OBJETIVO: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4B1BEF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1.1. </w:t>
      </w:r>
      <w:r w:rsidR="004B1BEF" w:rsidRPr="00967E1D">
        <w:rPr>
          <w:rFonts w:ascii="Calibri" w:hAnsi="Calibri"/>
          <w:color w:val="000000"/>
          <w:szCs w:val="24"/>
        </w:rPr>
        <w:t>Obter subsídios e informações adicionais sobre a proposta de revisão da Resolução ANP n° 18</w:t>
      </w:r>
      <w:r w:rsidR="0002134D" w:rsidRPr="00967E1D">
        <w:rPr>
          <w:rFonts w:ascii="Calibri" w:hAnsi="Calibri"/>
          <w:color w:val="000000"/>
          <w:szCs w:val="24"/>
        </w:rPr>
        <w:t xml:space="preserve">, de 02 de setembro de </w:t>
      </w:r>
      <w:r w:rsidR="004B1BEF" w:rsidRPr="00967E1D">
        <w:rPr>
          <w:rFonts w:ascii="Calibri" w:hAnsi="Calibri"/>
          <w:color w:val="000000"/>
          <w:szCs w:val="24"/>
        </w:rPr>
        <w:t>2004 que estabelece as especificações dos Gases Liquefeitos de Petróleo - GLP, e as obrigações quanto ao controle da qualidade a serem atendidas pelos diversos agentes econômicos que comercializam o produto em território nacional.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1.2. Propiciar aos agentes econômicos e aos demais interessados a possibilidade de encaminhamento de opiniões e sugestões. 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1.3 Identificar, da forma mais ampla possível, todos os aspectos relevantes à matéria objeto da Audiência Pública.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1.4 Dar publicidade, transparência e legitimidade às ações da ANP.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2. DISPONIBILIZAÇÃO DE INFORMAÇÕES: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2.1 A minuta de Resolução objeto desta Audiência estará à disposição dos interessados no seguinte endereço: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Internet: &lt;http://www.anp.gov.br/wwwanp/consultas-e-audiencias-publicas&gt;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Protocolo da ANP: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Rio de janeiro/RJ - Avenida Rio Branco, nº 65, térreo, Centro.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Brasília/DF - SGAN Q.603, Módulo “I”, térreo.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São Paulo/SP - Rua Professor Aprígio Gonzaga, 78, 14º andar - São Judas.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Salvador/BA - Avenida Tancredo Neves, nº 450 – Ed. Suarez Trade – Sala 2801, Caminho das Árvores.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3. PRAZO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3.1 O prazo da Consulta Pública é de </w:t>
      </w:r>
      <w:r w:rsidR="00C33EBE" w:rsidRPr="00967E1D">
        <w:rPr>
          <w:rFonts w:ascii="Calibri" w:hAnsi="Calibri"/>
          <w:color w:val="000000"/>
          <w:szCs w:val="24"/>
        </w:rPr>
        <w:t>45</w:t>
      </w:r>
      <w:r w:rsidRPr="00967E1D">
        <w:rPr>
          <w:rFonts w:ascii="Calibri" w:hAnsi="Calibri"/>
          <w:color w:val="000000"/>
          <w:szCs w:val="24"/>
        </w:rPr>
        <w:t xml:space="preserve"> (</w:t>
      </w:r>
      <w:r w:rsidR="00C33EBE" w:rsidRPr="00967E1D">
        <w:rPr>
          <w:rFonts w:ascii="Calibri" w:hAnsi="Calibri"/>
          <w:color w:val="000000"/>
          <w:szCs w:val="24"/>
        </w:rPr>
        <w:t>quarenta e cinco</w:t>
      </w:r>
      <w:r w:rsidRPr="00967E1D">
        <w:rPr>
          <w:rFonts w:ascii="Calibri" w:hAnsi="Calibri"/>
          <w:color w:val="000000"/>
          <w:szCs w:val="24"/>
        </w:rPr>
        <w:t>) dias, contados a partir da publicação do Aviso no Diário Oficial da União, excluindo-se da contagem o dia do começo e incluindo-se o do vencimento.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4. ENVIO DE COMENTÁRIOS / SUGESTÕES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4.1 Os comentários e as sugestões deverão ser encaminhados à ANP para o endereço eletrônico: conspub_qualidade@anp.gov.br, fax (21) 2112-8669, ou diretamente em um dos protocolos da ANP, por meio de formulário próprio disponibilizado nos endereços indicados no item 2.1 deste aviso.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5. DATA DA AUDIÊNCIA PÚBLICA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5.1 A A</w:t>
      </w:r>
      <w:r w:rsidR="004B1BEF" w:rsidRPr="00967E1D">
        <w:rPr>
          <w:rFonts w:ascii="Calibri" w:hAnsi="Calibri"/>
          <w:color w:val="000000"/>
          <w:szCs w:val="24"/>
        </w:rPr>
        <w:t xml:space="preserve">udiência Pública ocorrerá das </w:t>
      </w:r>
      <w:r w:rsidR="00C33EBE" w:rsidRPr="00967E1D">
        <w:rPr>
          <w:rFonts w:ascii="Calibri" w:hAnsi="Calibri"/>
          <w:color w:val="000000"/>
          <w:szCs w:val="24"/>
        </w:rPr>
        <w:t>14</w:t>
      </w:r>
      <w:r w:rsidR="004B1BEF" w:rsidRPr="00967E1D">
        <w:rPr>
          <w:rFonts w:ascii="Calibri" w:hAnsi="Calibri"/>
          <w:color w:val="000000"/>
          <w:szCs w:val="24"/>
        </w:rPr>
        <w:t>h</w:t>
      </w:r>
      <w:r w:rsidR="00C33EBE" w:rsidRPr="00967E1D">
        <w:rPr>
          <w:rFonts w:ascii="Calibri" w:hAnsi="Calibri"/>
          <w:color w:val="000000"/>
          <w:szCs w:val="24"/>
        </w:rPr>
        <w:t>00</w:t>
      </w:r>
      <w:r w:rsidR="004B1BEF" w:rsidRPr="00967E1D">
        <w:rPr>
          <w:rFonts w:ascii="Calibri" w:hAnsi="Calibri"/>
          <w:color w:val="000000"/>
          <w:szCs w:val="24"/>
        </w:rPr>
        <w:t xml:space="preserve"> às </w:t>
      </w:r>
      <w:r w:rsidR="00C33EBE" w:rsidRPr="00967E1D">
        <w:rPr>
          <w:rFonts w:ascii="Calibri" w:hAnsi="Calibri"/>
          <w:color w:val="000000"/>
          <w:szCs w:val="24"/>
        </w:rPr>
        <w:t>17</w:t>
      </w:r>
      <w:r w:rsidR="004B1BEF" w:rsidRPr="00967E1D">
        <w:rPr>
          <w:rFonts w:ascii="Calibri" w:hAnsi="Calibri"/>
          <w:color w:val="000000"/>
          <w:szCs w:val="24"/>
        </w:rPr>
        <w:t>h</w:t>
      </w:r>
      <w:r w:rsidR="00C33EBE" w:rsidRPr="00967E1D">
        <w:rPr>
          <w:rFonts w:ascii="Calibri" w:hAnsi="Calibri"/>
          <w:color w:val="000000"/>
          <w:szCs w:val="24"/>
        </w:rPr>
        <w:t>3</w:t>
      </w:r>
      <w:r w:rsidR="004B1BEF" w:rsidRPr="00967E1D">
        <w:rPr>
          <w:rFonts w:ascii="Calibri" w:hAnsi="Calibri"/>
          <w:color w:val="000000"/>
          <w:szCs w:val="24"/>
        </w:rPr>
        <w:t xml:space="preserve">0, do dia </w:t>
      </w:r>
      <w:r w:rsidR="00C33EBE" w:rsidRPr="00967E1D">
        <w:rPr>
          <w:rFonts w:ascii="Calibri" w:hAnsi="Calibri"/>
          <w:color w:val="000000"/>
          <w:szCs w:val="24"/>
        </w:rPr>
        <w:t>03</w:t>
      </w:r>
      <w:r w:rsidR="004B1BEF" w:rsidRPr="00967E1D">
        <w:rPr>
          <w:rFonts w:ascii="Calibri" w:hAnsi="Calibri"/>
          <w:color w:val="000000"/>
          <w:szCs w:val="24"/>
        </w:rPr>
        <w:t xml:space="preserve"> de </w:t>
      </w:r>
      <w:r w:rsidR="00C33EBE" w:rsidRPr="00967E1D">
        <w:rPr>
          <w:rFonts w:ascii="Calibri" w:hAnsi="Calibri"/>
          <w:color w:val="000000"/>
          <w:szCs w:val="24"/>
        </w:rPr>
        <w:t>dezembro</w:t>
      </w:r>
      <w:r w:rsidRPr="00967E1D">
        <w:rPr>
          <w:rFonts w:ascii="Calibri" w:hAnsi="Calibri"/>
          <w:color w:val="000000"/>
          <w:szCs w:val="24"/>
        </w:rPr>
        <w:t xml:space="preserve"> de 2019, no Escritório Central da ANP, localizado na Avenida Rio Branco, 65, 13º andar, Centro, Rio de Janeiro/RJ.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 FORMA DE PARTICIPAÇÃO E CADASTRAMENTO DE EXPOSITORES NA AUDIÊNCIA PÚBLICA:</w:t>
      </w:r>
      <w:bookmarkStart w:id="0" w:name="_GoBack"/>
      <w:bookmarkEnd w:id="0"/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6.1 As inscrições de expositores interessados em se manifestar verbalmente durante a Audiênc</w:t>
      </w:r>
      <w:r w:rsidR="004B1BEF" w:rsidRPr="00967E1D">
        <w:rPr>
          <w:rFonts w:ascii="Calibri" w:hAnsi="Calibri"/>
          <w:color w:val="000000"/>
          <w:szCs w:val="24"/>
        </w:rPr>
        <w:t>ia deverão ser realizadas até</w:t>
      </w:r>
      <w:r w:rsidR="00C12ABE" w:rsidRPr="00967E1D">
        <w:rPr>
          <w:rFonts w:ascii="Calibri" w:hAnsi="Calibri"/>
          <w:color w:val="000000"/>
          <w:szCs w:val="24"/>
        </w:rPr>
        <w:t xml:space="preserve"> às</w:t>
      </w:r>
      <w:r w:rsidR="004B1BEF" w:rsidRPr="00967E1D">
        <w:rPr>
          <w:rFonts w:ascii="Calibri" w:hAnsi="Calibri"/>
          <w:color w:val="000000"/>
          <w:szCs w:val="24"/>
        </w:rPr>
        <w:t xml:space="preserve"> 18h00 do dia </w:t>
      </w:r>
      <w:r w:rsidR="00C33EBE" w:rsidRPr="00967E1D">
        <w:rPr>
          <w:rFonts w:ascii="Calibri" w:hAnsi="Calibri"/>
          <w:color w:val="000000"/>
          <w:szCs w:val="24"/>
        </w:rPr>
        <w:t>02</w:t>
      </w:r>
      <w:r w:rsidR="004B1BEF" w:rsidRPr="00967E1D">
        <w:rPr>
          <w:rFonts w:ascii="Calibri" w:hAnsi="Calibri"/>
          <w:color w:val="000000"/>
          <w:szCs w:val="24"/>
        </w:rPr>
        <w:t xml:space="preserve"> de </w:t>
      </w:r>
      <w:r w:rsidR="00C33EBE" w:rsidRPr="00967E1D">
        <w:rPr>
          <w:rFonts w:ascii="Calibri" w:hAnsi="Calibri"/>
          <w:color w:val="000000"/>
          <w:szCs w:val="24"/>
        </w:rPr>
        <w:t>dezembro</w:t>
      </w:r>
      <w:r w:rsidRPr="00967E1D">
        <w:rPr>
          <w:rFonts w:ascii="Calibri" w:hAnsi="Calibri"/>
          <w:color w:val="000000"/>
          <w:szCs w:val="24"/>
        </w:rPr>
        <w:t xml:space="preserve"> de 2019, por meio de formulário próprio disponibilizado nos endereços indicados no item 2.1 deste aviso, a ser encaminhado para o endereço eletrônico: conspub_qualidade@anp.gov.br, fax (21) 2112-8669, ou diretamente em um dos protocolos da ANP.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6.3 Para otimizar a logística do evento, os inscritos que pretenderem fazer sua exposição utilizando recursos de informática deverão encaminhar cópia eletrônica da aprese</w:t>
      </w:r>
      <w:r w:rsidR="00D32F00" w:rsidRPr="00967E1D">
        <w:rPr>
          <w:rFonts w:ascii="Calibri" w:hAnsi="Calibri"/>
          <w:color w:val="000000"/>
          <w:szCs w:val="24"/>
        </w:rPr>
        <w:t xml:space="preserve">ntação à ANP até </w:t>
      </w:r>
      <w:r w:rsidR="00F73BA8" w:rsidRPr="00967E1D">
        <w:rPr>
          <w:rFonts w:ascii="Calibri" w:hAnsi="Calibri"/>
          <w:color w:val="000000"/>
          <w:szCs w:val="24"/>
        </w:rPr>
        <w:t xml:space="preserve">às </w:t>
      </w:r>
      <w:r w:rsidR="00D32F00" w:rsidRPr="00967E1D">
        <w:rPr>
          <w:rFonts w:ascii="Calibri" w:hAnsi="Calibri"/>
          <w:color w:val="000000"/>
          <w:szCs w:val="24"/>
        </w:rPr>
        <w:t xml:space="preserve">18h00 do dia </w:t>
      </w:r>
      <w:r w:rsidR="00C33EBE" w:rsidRPr="00967E1D">
        <w:rPr>
          <w:rFonts w:ascii="Calibri" w:hAnsi="Calibri"/>
          <w:color w:val="000000"/>
          <w:szCs w:val="24"/>
        </w:rPr>
        <w:t>02</w:t>
      </w:r>
      <w:r w:rsidR="00D32F00" w:rsidRPr="00967E1D">
        <w:rPr>
          <w:rFonts w:ascii="Calibri" w:hAnsi="Calibri"/>
          <w:color w:val="000000"/>
          <w:szCs w:val="24"/>
        </w:rPr>
        <w:t xml:space="preserve"> de </w:t>
      </w:r>
      <w:r w:rsidR="00C33EBE" w:rsidRPr="00967E1D">
        <w:rPr>
          <w:rFonts w:ascii="Calibri" w:hAnsi="Calibri"/>
          <w:color w:val="000000"/>
          <w:szCs w:val="24"/>
        </w:rPr>
        <w:t>dezembro</w:t>
      </w:r>
      <w:r w:rsidRPr="00967E1D">
        <w:rPr>
          <w:rFonts w:ascii="Calibri" w:hAnsi="Calibri"/>
          <w:color w:val="000000"/>
          <w:szCs w:val="24"/>
        </w:rPr>
        <w:t xml:space="preserve"> de 2019.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6.5 Inicialmente, será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observado o período por ela definido para tanto. Os membros da mesa poderão interpelar o depoente sobre assuntos diretamente ligados à exposição feita, sendo permitido o debate esclarecedor.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7. PRESIDÊNCIA E SECRETARIADO</w:t>
      </w:r>
    </w:p>
    <w:p w:rsidR="00651342" w:rsidRPr="00967E1D" w:rsidRDefault="00651342" w:rsidP="00651342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Fica designado como Presidente da Audiência Pública o Sr. </w:t>
      </w:r>
      <w:r w:rsidR="002D73D9" w:rsidRPr="00967E1D">
        <w:rPr>
          <w:rFonts w:ascii="Calibri" w:hAnsi="Calibri"/>
          <w:color w:val="000000"/>
          <w:szCs w:val="24"/>
        </w:rPr>
        <w:t>Carlos Orlando</w:t>
      </w:r>
      <w:r w:rsidRPr="00967E1D">
        <w:rPr>
          <w:rFonts w:ascii="Calibri" w:hAnsi="Calibri"/>
          <w:color w:val="000000"/>
          <w:szCs w:val="24"/>
        </w:rPr>
        <w:t xml:space="preserve"> e como Secretário o Sr. </w:t>
      </w:r>
      <w:r w:rsidR="00D32F00" w:rsidRPr="00967E1D">
        <w:rPr>
          <w:rFonts w:ascii="Calibri" w:hAnsi="Calibri"/>
          <w:color w:val="000000"/>
          <w:szCs w:val="24"/>
        </w:rPr>
        <w:t>Claudio Dutra</w:t>
      </w:r>
      <w:r w:rsidRPr="00967E1D">
        <w:rPr>
          <w:rFonts w:ascii="Calibri" w:hAnsi="Calibri"/>
          <w:color w:val="000000"/>
          <w:szCs w:val="24"/>
        </w:rPr>
        <w:t>.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8. PROGRAMAÇÃO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938"/>
        <w:gridCol w:w="6678"/>
      </w:tblGrid>
      <w:tr w:rsidR="00651342" w:rsidRPr="00967E1D" w:rsidTr="003C692F">
        <w:tc>
          <w:tcPr>
            <w:tcW w:w="517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14h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0</w:t>
            </w:r>
            <w:r w:rsidRPr="00967E1D">
              <w:rPr>
                <w:rFonts w:ascii="Calibri" w:hAnsi="Calibri"/>
                <w:color w:val="000000"/>
                <w:szCs w:val="24"/>
              </w:rPr>
              <w:t xml:space="preserve">0 </w:t>
            </w:r>
          </w:p>
        </w:tc>
        <w:tc>
          <w:tcPr>
            <w:tcW w:w="552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4</w:t>
            </w:r>
            <w:r w:rsidRPr="00967E1D">
              <w:rPr>
                <w:rFonts w:ascii="Calibri" w:hAnsi="Calibri"/>
                <w:color w:val="000000"/>
                <w:szCs w:val="24"/>
              </w:rPr>
              <w:t>h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3</w:t>
            </w:r>
            <w:r w:rsidRPr="00967E1D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931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Recepção de expositores e registro de participantes</w:t>
            </w:r>
          </w:p>
        </w:tc>
      </w:tr>
      <w:tr w:rsidR="00651342" w:rsidRPr="00967E1D" w:rsidTr="003C692F">
        <w:tc>
          <w:tcPr>
            <w:tcW w:w="517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4</w:t>
            </w:r>
            <w:r w:rsidRPr="00967E1D">
              <w:rPr>
                <w:rFonts w:ascii="Calibri" w:hAnsi="Calibri"/>
                <w:color w:val="000000"/>
                <w:szCs w:val="24"/>
              </w:rPr>
              <w:t>h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3</w:t>
            </w:r>
            <w:r w:rsidRPr="00967E1D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552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4</w:t>
            </w:r>
            <w:r w:rsidRPr="00967E1D">
              <w:rPr>
                <w:rFonts w:ascii="Calibri" w:hAnsi="Calibri"/>
                <w:color w:val="000000"/>
                <w:szCs w:val="24"/>
              </w:rPr>
              <w:t>h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4</w:t>
            </w:r>
            <w:r w:rsidRPr="00967E1D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3931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Abertura das atividades pelo Presidente da Audiência</w:t>
            </w:r>
          </w:p>
        </w:tc>
      </w:tr>
      <w:tr w:rsidR="00651342" w:rsidRPr="00967E1D" w:rsidTr="003C692F">
        <w:tc>
          <w:tcPr>
            <w:tcW w:w="517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4</w:t>
            </w:r>
            <w:r w:rsidRPr="00967E1D">
              <w:rPr>
                <w:rFonts w:ascii="Calibri" w:hAnsi="Calibri"/>
                <w:color w:val="000000"/>
                <w:szCs w:val="24"/>
              </w:rPr>
              <w:t>h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4</w:t>
            </w:r>
            <w:r w:rsidRPr="00967E1D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552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15h</w:t>
            </w:r>
            <w:r w:rsidR="00C33EBE" w:rsidRPr="00967E1D">
              <w:rPr>
                <w:rFonts w:ascii="Calibri" w:hAnsi="Calibri"/>
                <w:color w:val="000000"/>
                <w:szCs w:val="24"/>
              </w:rPr>
              <w:t>0</w:t>
            </w:r>
            <w:r w:rsidRPr="00967E1D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931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Exposição do tema pelo Superintendência de Biocombustíveis e Qualidade de Produtos</w:t>
            </w:r>
          </w:p>
        </w:tc>
      </w:tr>
      <w:tr w:rsidR="00651342" w:rsidRPr="00967E1D" w:rsidTr="003C692F">
        <w:tc>
          <w:tcPr>
            <w:tcW w:w="517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15h</w:t>
            </w:r>
            <w:r w:rsidR="002D73D9" w:rsidRPr="00967E1D">
              <w:rPr>
                <w:rFonts w:ascii="Calibri" w:hAnsi="Calibri"/>
                <w:color w:val="000000"/>
                <w:szCs w:val="24"/>
              </w:rPr>
              <w:t>0</w:t>
            </w:r>
            <w:r w:rsidRPr="00967E1D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552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17h</w:t>
            </w:r>
            <w:r w:rsidR="002D73D9" w:rsidRPr="00967E1D">
              <w:rPr>
                <w:rFonts w:ascii="Calibri" w:hAnsi="Calibri"/>
                <w:color w:val="000000"/>
                <w:szCs w:val="24"/>
              </w:rPr>
              <w:t>00</w:t>
            </w:r>
          </w:p>
        </w:tc>
        <w:tc>
          <w:tcPr>
            <w:tcW w:w="3931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Pronunciamento dos inscritos por ordem de recebimento de inscrições</w:t>
            </w:r>
          </w:p>
        </w:tc>
      </w:tr>
      <w:tr w:rsidR="00651342" w:rsidRPr="00967E1D" w:rsidTr="003C692F">
        <w:tc>
          <w:tcPr>
            <w:tcW w:w="517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17h</w:t>
            </w:r>
            <w:r w:rsidR="002D73D9" w:rsidRPr="00967E1D">
              <w:rPr>
                <w:rFonts w:ascii="Calibri" w:hAnsi="Calibri"/>
                <w:color w:val="000000"/>
                <w:szCs w:val="24"/>
              </w:rPr>
              <w:t>00</w:t>
            </w:r>
          </w:p>
        </w:tc>
        <w:tc>
          <w:tcPr>
            <w:tcW w:w="552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17h30</w:t>
            </w:r>
          </w:p>
        </w:tc>
        <w:tc>
          <w:tcPr>
            <w:tcW w:w="3931" w:type="pct"/>
          </w:tcPr>
          <w:p w:rsidR="00651342" w:rsidRPr="00967E1D" w:rsidRDefault="00651342" w:rsidP="00893441">
            <w:pPr>
              <w:jc w:val="both"/>
              <w:rPr>
                <w:rFonts w:ascii="Calibri" w:hAnsi="Calibri"/>
                <w:color w:val="000000"/>
                <w:szCs w:val="24"/>
              </w:rPr>
            </w:pPr>
            <w:r w:rsidRPr="00967E1D">
              <w:rPr>
                <w:rFonts w:ascii="Calibri" w:hAnsi="Calibri"/>
                <w:color w:val="000000"/>
                <w:szCs w:val="24"/>
              </w:rPr>
              <w:t>Comentários finais e encerramento</w:t>
            </w:r>
          </w:p>
        </w:tc>
      </w:tr>
    </w:tbl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 xml:space="preserve">Décio Fabricio Oddone da Costa 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Diretor-Geral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Publique-se: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JOSÉ GUTMAN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  <w:r w:rsidRPr="00967E1D">
        <w:rPr>
          <w:rFonts w:ascii="Calibri" w:hAnsi="Calibri"/>
          <w:color w:val="000000"/>
          <w:szCs w:val="24"/>
        </w:rPr>
        <w:t>Secretário Executivo</w:t>
      </w:r>
    </w:p>
    <w:p w:rsidR="00651342" w:rsidRPr="00967E1D" w:rsidRDefault="00651342" w:rsidP="00893441">
      <w:pPr>
        <w:jc w:val="both"/>
        <w:rPr>
          <w:rFonts w:ascii="Calibri" w:hAnsi="Calibri"/>
          <w:color w:val="000000"/>
          <w:szCs w:val="24"/>
        </w:rPr>
      </w:pPr>
    </w:p>
    <w:p w:rsidR="00FB58D8" w:rsidRPr="00967E1D" w:rsidRDefault="00967E1D" w:rsidP="00893441">
      <w:pPr>
        <w:jc w:val="both"/>
        <w:rPr>
          <w:rFonts w:ascii="Calibri" w:hAnsi="Calibri"/>
          <w:color w:val="000000"/>
          <w:szCs w:val="24"/>
        </w:rPr>
      </w:pPr>
    </w:p>
    <w:sectPr w:rsidR="00FB58D8" w:rsidRPr="00967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42"/>
    <w:rsid w:val="0002134D"/>
    <w:rsid w:val="001E178C"/>
    <w:rsid w:val="002D73D9"/>
    <w:rsid w:val="004B1BEF"/>
    <w:rsid w:val="005061B0"/>
    <w:rsid w:val="00536DFB"/>
    <w:rsid w:val="005F229C"/>
    <w:rsid w:val="00651342"/>
    <w:rsid w:val="00893441"/>
    <w:rsid w:val="00967E1D"/>
    <w:rsid w:val="00C12ABE"/>
    <w:rsid w:val="00C33EBE"/>
    <w:rsid w:val="00D32F00"/>
    <w:rsid w:val="00E21114"/>
    <w:rsid w:val="00F20FBB"/>
    <w:rsid w:val="00F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E879A-57EA-4558-B354-8FF30B8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34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E1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DOS SANTOS DUTRA</dc:creator>
  <cp:keywords/>
  <dc:description/>
  <cp:lastModifiedBy>LANDERSON COSTA SILVA</cp:lastModifiedBy>
  <cp:revision>2</cp:revision>
  <dcterms:created xsi:type="dcterms:W3CDTF">2019-09-30T20:31:00Z</dcterms:created>
  <dcterms:modified xsi:type="dcterms:W3CDTF">2019-09-30T20:31:00Z</dcterms:modified>
</cp:coreProperties>
</file>