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09" w:rsidRDefault="004F750D" w:rsidP="009C23BB">
      <w:pPr>
        <w:pStyle w:val="Cabealho"/>
        <w:tabs>
          <w:tab w:val="left" w:pos="-2184"/>
          <w:tab w:val="left" w:pos="-2106"/>
        </w:tabs>
        <w:ind w:right="2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ACORDO PARA ENCERRAMENTO </w:t>
      </w:r>
      <w:r w:rsidR="00FB6217">
        <w:rPr>
          <w:rFonts w:ascii="Arial" w:hAnsi="Arial" w:cs="Arial"/>
          <w:b/>
          <w:sz w:val="32"/>
          <w:szCs w:val="32"/>
        </w:rPr>
        <w:t>D</w:t>
      </w:r>
      <w:r w:rsidR="00982356">
        <w:rPr>
          <w:rFonts w:ascii="Arial" w:hAnsi="Arial" w:cs="Arial"/>
          <w:b/>
          <w:sz w:val="32"/>
          <w:szCs w:val="32"/>
        </w:rPr>
        <w:t xml:space="preserve">A CONTROVÉRSIA </w:t>
      </w:r>
      <w:bookmarkStart w:id="0" w:name="_GoBack"/>
      <w:bookmarkEnd w:id="0"/>
      <w:r w:rsidR="001A1CB5">
        <w:rPr>
          <w:rFonts w:ascii="Arial" w:hAnsi="Arial" w:cs="Arial"/>
          <w:b/>
          <w:sz w:val="32"/>
          <w:szCs w:val="32"/>
        </w:rPr>
        <w:t>ENVOLVENDO</w:t>
      </w:r>
      <w:r w:rsidR="002E0747">
        <w:rPr>
          <w:rFonts w:ascii="Arial" w:hAnsi="Arial" w:cs="Arial"/>
          <w:b/>
          <w:sz w:val="32"/>
          <w:szCs w:val="32"/>
        </w:rPr>
        <w:t xml:space="preserve"> AS ÁREAS DO CONTRATO DE CONCESSÃO BC-60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4D3609" w:rsidRDefault="004D3609" w:rsidP="00E8247D">
      <w:pPr>
        <w:pStyle w:val="Cabealho"/>
        <w:tabs>
          <w:tab w:val="left" w:pos="-2184"/>
          <w:tab w:val="left" w:pos="-2106"/>
        </w:tabs>
        <w:ind w:right="23"/>
        <w:jc w:val="center"/>
        <w:rPr>
          <w:rFonts w:ascii="Arial" w:hAnsi="Arial" w:cs="Arial"/>
          <w:b/>
        </w:rPr>
      </w:pPr>
    </w:p>
    <w:p w:rsidR="00D64394" w:rsidRPr="004D3609" w:rsidRDefault="00D64394" w:rsidP="00E8247D">
      <w:pPr>
        <w:pStyle w:val="Cabealho"/>
        <w:tabs>
          <w:tab w:val="left" w:pos="-2184"/>
          <w:tab w:val="left" w:pos="-2106"/>
        </w:tabs>
        <w:ind w:right="23"/>
        <w:jc w:val="center"/>
        <w:rPr>
          <w:rFonts w:ascii="Arial" w:hAnsi="Arial" w:cs="Arial"/>
          <w:b/>
        </w:rPr>
      </w:pPr>
    </w:p>
    <w:p w:rsidR="00B371F1" w:rsidRDefault="00B371F1" w:rsidP="00D5771E">
      <w:pPr>
        <w:pStyle w:val="Cabealho"/>
        <w:tabs>
          <w:tab w:val="clear" w:pos="4320"/>
          <w:tab w:val="clear" w:pos="8640"/>
          <w:tab w:val="left" w:pos="-2184"/>
          <w:tab w:val="left" w:pos="-2106"/>
          <w:tab w:val="center" w:pos="0"/>
        </w:tabs>
        <w:ind w:right="23"/>
        <w:jc w:val="both"/>
        <w:rPr>
          <w:rFonts w:ascii="Arial" w:hAnsi="Arial" w:cs="Arial"/>
        </w:rPr>
      </w:pPr>
      <w:r w:rsidRPr="00AC2EA5">
        <w:rPr>
          <w:rFonts w:ascii="Arial" w:hAnsi="Arial" w:cs="Arial"/>
          <w:b/>
        </w:rPr>
        <w:t>PETRÓLEO BRASILEIRO S.A. – PETROBRAS</w:t>
      </w:r>
      <w:r w:rsidRPr="00B371F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sociedade de economia mista </w:t>
      </w:r>
      <w:r w:rsidRPr="00B371F1">
        <w:rPr>
          <w:rFonts w:ascii="Arial" w:hAnsi="Arial" w:cs="Arial"/>
        </w:rPr>
        <w:t xml:space="preserve">constituída conforme as Leis da República Federativa do Brasil, estabelecida na Avenida República do Chile, nº 65, Centro, </w:t>
      </w:r>
      <w:proofErr w:type="gramStart"/>
      <w:r w:rsidRPr="00B371F1">
        <w:rPr>
          <w:rFonts w:ascii="Arial" w:hAnsi="Arial" w:cs="Arial"/>
        </w:rPr>
        <w:t>CEP.:</w:t>
      </w:r>
      <w:proofErr w:type="gramEnd"/>
      <w:r w:rsidRPr="00B371F1">
        <w:rPr>
          <w:rFonts w:ascii="Arial" w:hAnsi="Arial" w:cs="Arial"/>
        </w:rPr>
        <w:t xml:space="preserve"> 20031-912, Rio de Janeiro, RJ, Brasil (doravante “</w:t>
      </w:r>
      <w:r w:rsidR="00392713">
        <w:rPr>
          <w:rFonts w:ascii="Arial" w:hAnsi="Arial" w:cs="Arial"/>
        </w:rPr>
        <w:t>Petrobras</w:t>
      </w:r>
      <w:r w:rsidRPr="00B371F1">
        <w:rPr>
          <w:rFonts w:ascii="Arial" w:hAnsi="Arial" w:cs="Arial"/>
        </w:rPr>
        <w:t>”)</w:t>
      </w:r>
      <w:r>
        <w:rPr>
          <w:rFonts w:ascii="Arial" w:hAnsi="Arial" w:cs="Arial"/>
        </w:rPr>
        <w:t>;</w:t>
      </w:r>
    </w:p>
    <w:p w:rsidR="00B371F1" w:rsidRDefault="00B371F1" w:rsidP="00B371F1">
      <w:pPr>
        <w:pStyle w:val="Cabealho"/>
        <w:tabs>
          <w:tab w:val="clear" w:pos="4320"/>
          <w:tab w:val="clear" w:pos="8640"/>
          <w:tab w:val="left" w:pos="-2184"/>
          <w:tab w:val="left" w:pos="-2106"/>
          <w:tab w:val="center" w:pos="0"/>
        </w:tabs>
        <w:ind w:right="23"/>
        <w:jc w:val="both"/>
        <w:rPr>
          <w:rFonts w:ascii="Arial" w:hAnsi="Arial" w:cs="Arial"/>
        </w:rPr>
      </w:pPr>
    </w:p>
    <w:p w:rsidR="00D5771E" w:rsidRDefault="00D5771E" w:rsidP="00227763">
      <w:pPr>
        <w:pStyle w:val="PargrafodaLista"/>
        <w:ind w:left="0"/>
        <w:jc w:val="both"/>
        <w:rPr>
          <w:rFonts w:ascii="Arial" w:hAnsi="Arial" w:cs="Arial"/>
          <w:lang w:eastAsia="en-US"/>
        </w:rPr>
      </w:pPr>
      <w:r w:rsidRPr="00AC2EA5">
        <w:rPr>
          <w:rFonts w:ascii="Arial" w:hAnsi="Arial" w:cs="Arial"/>
          <w:b/>
        </w:rPr>
        <w:t>AGÊNCIA NACIONAL D</w:t>
      </w:r>
      <w:r>
        <w:rPr>
          <w:rFonts w:ascii="Arial" w:hAnsi="Arial" w:cs="Arial"/>
          <w:b/>
        </w:rPr>
        <w:t>O</w:t>
      </w:r>
      <w:r w:rsidRPr="00AC2EA5">
        <w:rPr>
          <w:rFonts w:ascii="Arial" w:hAnsi="Arial" w:cs="Arial"/>
          <w:b/>
        </w:rPr>
        <w:t xml:space="preserve"> PETRÓLEO</w:t>
      </w:r>
      <w:r>
        <w:rPr>
          <w:rFonts w:ascii="Arial" w:hAnsi="Arial" w:cs="Arial"/>
          <w:b/>
        </w:rPr>
        <w:t>,</w:t>
      </w:r>
      <w:r w:rsidRPr="00AC2EA5">
        <w:rPr>
          <w:rFonts w:ascii="Arial" w:hAnsi="Arial" w:cs="Arial"/>
          <w:b/>
        </w:rPr>
        <w:t xml:space="preserve"> GÁS</w:t>
      </w:r>
      <w:r w:rsidR="00B371F1" w:rsidRPr="00AC2EA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NATURAL E BIOCOMBUSTÍVEIS </w:t>
      </w:r>
      <w:r w:rsidR="00B371F1" w:rsidRPr="00AC2EA5">
        <w:rPr>
          <w:rFonts w:ascii="Arial" w:hAnsi="Arial" w:cs="Arial"/>
          <w:b/>
        </w:rPr>
        <w:t>– ANP</w:t>
      </w:r>
      <w:r w:rsidR="00790BFD" w:rsidRPr="00AC2EA5">
        <w:rPr>
          <w:rFonts w:ascii="Arial" w:hAnsi="Arial" w:cs="Arial"/>
        </w:rPr>
        <w:t xml:space="preserve">, </w:t>
      </w:r>
      <w:r w:rsidR="00C7305E">
        <w:rPr>
          <w:rFonts w:ascii="Arial" w:hAnsi="Arial" w:cs="Arial"/>
        </w:rPr>
        <w:t xml:space="preserve">autarquia federal, </w:t>
      </w:r>
      <w:r w:rsidR="00790BFD" w:rsidRPr="00AC2EA5">
        <w:rPr>
          <w:rFonts w:ascii="Arial" w:hAnsi="Arial" w:cs="Arial"/>
        </w:rPr>
        <w:t>estab</w:t>
      </w:r>
      <w:r w:rsidR="008352FD">
        <w:rPr>
          <w:rFonts w:ascii="Arial" w:hAnsi="Arial" w:cs="Arial"/>
        </w:rPr>
        <w:t>elecida na Av. Rio Branco n° 65</w:t>
      </w:r>
      <w:r w:rsidR="00790BFD" w:rsidRPr="00AC2EA5">
        <w:rPr>
          <w:rFonts w:ascii="Arial" w:hAnsi="Arial" w:cs="Arial"/>
        </w:rPr>
        <w:t xml:space="preserve">, Centro, </w:t>
      </w:r>
      <w:proofErr w:type="gramStart"/>
      <w:r w:rsidR="00790BFD" w:rsidRPr="00AC2EA5">
        <w:rPr>
          <w:rFonts w:ascii="Arial" w:hAnsi="Arial" w:cs="Arial"/>
        </w:rPr>
        <w:t>CEP.:</w:t>
      </w:r>
      <w:proofErr w:type="gramEnd"/>
      <w:r w:rsidR="00790BFD" w:rsidRPr="00AC2EA5">
        <w:rPr>
          <w:rFonts w:ascii="Arial" w:hAnsi="Arial" w:cs="Arial"/>
        </w:rPr>
        <w:t xml:space="preserve"> 20090-004 - Rio de Janeiro, RJ, Brasil (doravante “ANP”).</w:t>
      </w:r>
      <w:r w:rsidR="00392713" w:rsidRPr="00AC2EA5">
        <w:rPr>
          <w:rFonts w:ascii="Arial" w:hAnsi="Arial" w:cs="Arial"/>
        </w:rPr>
        <w:t xml:space="preserve"> </w:t>
      </w:r>
    </w:p>
    <w:p w:rsidR="00D5771E" w:rsidRPr="00D5771E" w:rsidRDefault="00D5771E" w:rsidP="00D5771E">
      <w:pPr>
        <w:pStyle w:val="PargrafodaLista"/>
        <w:rPr>
          <w:rFonts w:ascii="Arial" w:hAnsi="Arial" w:cs="Arial"/>
          <w:lang w:eastAsia="en-US"/>
        </w:rPr>
      </w:pPr>
    </w:p>
    <w:p w:rsidR="00392713" w:rsidRPr="00AC2EA5" w:rsidRDefault="00392713" w:rsidP="00D5771E">
      <w:pPr>
        <w:pStyle w:val="PargrafodaLista"/>
        <w:ind w:left="0"/>
        <w:jc w:val="both"/>
        <w:rPr>
          <w:rFonts w:ascii="Arial" w:hAnsi="Arial" w:cs="Arial"/>
          <w:lang w:eastAsia="en-US"/>
        </w:rPr>
      </w:pPr>
      <w:r w:rsidRPr="00AC2EA5">
        <w:rPr>
          <w:rFonts w:ascii="Arial" w:hAnsi="Arial" w:cs="Arial"/>
          <w:lang w:eastAsia="en-US"/>
        </w:rPr>
        <w:t>Petrobras e ANP serão doravante denominadas "Partes".</w:t>
      </w:r>
    </w:p>
    <w:p w:rsidR="00790BFD" w:rsidRDefault="00790BFD" w:rsidP="00790BFD">
      <w:pPr>
        <w:pStyle w:val="PargrafodaLista"/>
        <w:rPr>
          <w:rFonts w:ascii="Arial" w:hAnsi="Arial" w:cs="Arial"/>
        </w:rPr>
      </w:pPr>
    </w:p>
    <w:p w:rsidR="008E1A07" w:rsidRDefault="008E1A07" w:rsidP="00790BFD">
      <w:pPr>
        <w:pStyle w:val="PargrafodaLista"/>
        <w:rPr>
          <w:rFonts w:ascii="Arial" w:hAnsi="Arial" w:cs="Arial"/>
        </w:rPr>
      </w:pPr>
    </w:p>
    <w:p w:rsidR="00790BFD" w:rsidRPr="005827D1" w:rsidRDefault="00392713" w:rsidP="00790BFD">
      <w:pPr>
        <w:pStyle w:val="Cabealho"/>
        <w:tabs>
          <w:tab w:val="clear" w:pos="8640"/>
          <w:tab w:val="left" w:pos="-2184"/>
          <w:tab w:val="left" w:pos="-2106"/>
          <w:tab w:val="center" w:pos="0"/>
          <w:tab w:val="right" w:pos="709"/>
        </w:tabs>
        <w:ind w:right="23"/>
        <w:jc w:val="both"/>
        <w:rPr>
          <w:rFonts w:ascii="Arial" w:hAnsi="Arial" w:cs="Arial"/>
          <w:b/>
        </w:rPr>
      </w:pPr>
      <w:r w:rsidRPr="005827D1">
        <w:rPr>
          <w:rFonts w:ascii="Arial" w:hAnsi="Arial" w:cs="Arial"/>
          <w:b/>
        </w:rPr>
        <w:t>CONSIDERANDO:</w:t>
      </w:r>
    </w:p>
    <w:p w:rsidR="00D947D2" w:rsidRDefault="00D947D2" w:rsidP="00D947D2">
      <w:pPr>
        <w:pStyle w:val="Cabealho"/>
        <w:tabs>
          <w:tab w:val="clear" w:pos="4320"/>
          <w:tab w:val="clear" w:pos="8640"/>
          <w:tab w:val="left" w:pos="-2184"/>
          <w:tab w:val="left" w:pos="-2106"/>
          <w:tab w:val="center" w:pos="0"/>
          <w:tab w:val="center" w:pos="284"/>
        </w:tabs>
        <w:ind w:right="23"/>
        <w:jc w:val="both"/>
        <w:rPr>
          <w:rFonts w:ascii="Arial" w:hAnsi="Arial" w:cs="Arial"/>
        </w:rPr>
      </w:pPr>
    </w:p>
    <w:p w:rsidR="00A10243" w:rsidRDefault="006B4DE4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>Que</w:t>
      </w:r>
      <w:r w:rsidR="00197FB0">
        <w:t>, em 06/08/1998,</w:t>
      </w:r>
      <w:r>
        <w:t xml:space="preserve"> </w:t>
      </w:r>
      <w:r w:rsidR="003746D8">
        <w:t xml:space="preserve">por ocasião da Rodada Zero, </w:t>
      </w:r>
      <w:r>
        <w:t>as Partes celebraram</w:t>
      </w:r>
      <w:r w:rsidR="00F57B09">
        <w:t xml:space="preserve"> o</w:t>
      </w:r>
      <w:r>
        <w:t xml:space="preserve"> </w:t>
      </w:r>
      <w:r w:rsidR="00197FB0">
        <w:t>C</w:t>
      </w:r>
      <w:r>
        <w:t xml:space="preserve">ontrato de </w:t>
      </w:r>
      <w:r w:rsidR="00197FB0">
        <w:t>C</w:t>
      </w:r>
      <w:r>
        <w:t>oncessão</w:t>
      </w:r>
      <w:r w:rsidR="00197FB0">
        <w:t xml:space="preserve"> </w:t>
      </w:r>
      <w:r w:rsidR="00197FB0" w:rsidRPr="00E20FB5">
        <w:t>nº 48000.003560/97-49</w:t>
      </w:r>
      <w:r w:rsidR="009C379A">
        <w:t xml:space="preserve"> (“Contrato de Concessão”)</w:t>
      </w:r>
      <w:r w:rsidR="00F57B09">
        <w:t xml:space="preserve">, que contemplou </w:t>
      </w:r>
      <w:r w:rsidR="00570E92">
        <w:rPr>
          <w:color w:val="auto"/>
        </w:rPr>
        <w:t>o</w:t>
      </w:r>
      <w:r w:rsidR="00B75736">
        <w:rPr>
          <w:color w:val="auto"/>
        </w:rPr>
        <w:t xml:space="preserve"> </w:t>
      </w:r>
      <w:r w:rsidR="00F57B09">
        <w:rPr>
          <w:color w:val="auto"/>
        </w:rPr>
        <w:t>B</w:t>
      </w:r>
      <w:r w:rsidR="00F57B09" w:rsidRPr="00E20FB5">
        <w:rPr>
          <w:color w:val="auto"/>
        </w:rPr>
        <w:t>loco BC-60</w:t>
      </w:r>
      <w:r w:rsidR="00570E92">
        <w:rPr>
          <w:color w:val="auto"/>
        </w:rPr>
        <w:t>,</w:t>
      </w:r>
      <w:r w:rsidR="00F57B09" w:rsidRPr="00E20FB5">
        <w:rPr>
          <w:color w:val="auto"/>
        </w:rPr>
        <w:t xml:space="preserve"> em que a Petrobras já havia realizado investimentos significativos em atividades de exploração</w:t>
      </w:r>
      <w:r w:rsidR="00741382">
        <w:rPr>
          <w:color w:val="auto"/>
        </w:rPr>
        <w:t xml:space="preserve"> </w:t>
      </w:r>
      <w:r w:rsidR="00F57B09" w:rsidRPr="00E20FB5">
        <w:rPr>
          <w:color w:val="auto"/>
        </w:rPr>
        <w:t>e de produção, tendo sido conferido à Petrobras pela ANP,</w:t>
      </w:r>
      <w:r w:rsidR="00741382">
        <w:rPr>
          <w:color w:val="auto"/>
        </w:rPr>
        <w:t xml:space="preserve"> m</w:t>
      </w:r>
      <w:r w:rsidR="00F57B09" w:rsidRPr="00E20FB5">
        <w:rPr>
          <w:color w:val="auto"/>
        </w:rPr>
        <w:t>ais 3 (três) anos para atividades de Exploração</w:t>
      </w:r>
      <w:r w:rsidR="009F5D0E">
        <w:rPr>
          <w:color w:val="auto"/>
        </w:rPr>
        <w:t>;</w:t>
      </w:r>
    </w:p>
    <w:p w:rsidR="00A10243" w:rsidRDefault="00A10243" w:rsidP="00A10243">
      <w:pPr>
        <w:pStyle w:val="Default"/>
        <w:ind w:left="1080"/>
        <w:jc w:val="both"/>
        <w:rPr>
          <w:color w:val="auto"/>
        </w:rPr>
      </w:pPr>
    </w:p>
    <w:p w:rsidR="00A10243" w:rsidRDefault="00D6540A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Que, a</w:t>
      </w:r>
      <w:r w:rsidR="00741382" w:rsidRPr="00E20FB5">
        <w:rPr>
          <w:color w:val="auto"/>
        </w:rPr>
        <w:t xml:space="preserve">o longo da Fase de Exploração do Bloco BC-60, a Petrobras identificou 09 (nove) descobertas de petróleo e gás natural, que deram origem a Planos de Avaliação de Descoberta (“PAD”) distintos, sucedidos de 09 (nove) Declarações de Comercialidade (“DC ou </w:t>
      </w:r>
      <w:proofErr w:type="spellStart"/>
      <w:r w:rsidR="00741382" w:rsidRPr="00E20FB5">
        <w:rPr>
          <w:color w:val="auto"/>
        </w:rPr>
        <w:t>DCs</w:t>
      </w:r>
      <w:proofErr w:type="spellEnd"/>
      <w:r w:rsidR="00741382" w:rsidRPr="00E20FB5">
        <w:rPr>
          <w:color w:val="auto"/>
        </w:rPr>
        <w:t>”) que deram origem</w:t>
      </w:r>
      <w:r w:rsidR="00982356">
        <w:rPr>
          <w:color w:val="auto"/>
        </w:rPr>
        <w:t>, em datas distintas</w:t>
      </w:r>
      <w:r w:rsidR="00886D65">
        <w:rPr>
          <w:color w:val="auto"/>
        </w:rPr>
        <w:t>, a</w:t>
      </w:r>
      <w:r w:rsidR="00741382" w:rsidRPr="00E20FB5">
        <w:rPr>
          <w:color w:val="auto"/>
        </w:rPr>
        <w:t xml:space="preserve">: </w:t>
      </w:r>
      <w:proofErr w:type="spellStart"/>
      <w:r w:rsidR="00741382" w:rsidRPr="00E20FB5">
        <w:rPr>
          <w:color w:val="auto"/>
        </w:rPr>
        <w:t>Jubarte</w:t>
      </w:r>
      <w:proofErr w:type="spellEnd"/>
      <w:r w:rsidR="00741382" w:rsidRPr="00E20FB5">
        <w:rPr>
          <w:color w:val="auto"/>
        </w:rPr>
        <w:t xml:space="preserve">, Cachalote, Baleia Anã, Baleia Azul, Baleia Franca, Caxaréu, </w:t>
      </w:r>
      <w:proofErr w:type="spellStart"/>
      <w:r w:rsidR="00741382" w:rsidRPr="00E20FB5">
        <w:rPr>
          <w:color w:val="auto"/>
        </w:rPr>
        <w:t>Pirambu</w:t>
      </w:r>
      <w:proofErr w:type="spellEnd"/>
      <w:r w:rsidR="00741382" w:rsidRPr="00E20FB5">
        <w:rPr>
          <w:color w:val="auto"/>
        </w:rPr>
        <w:t xml:space="preserve">, Mangangá e </w:t>
      </w:r>
      <w:proofErr w:type="spellStart"/>
      <w:r w:rsidR="00741382" w:rsidRPr="00E20FB5">
        <w:rPr>
          <w:color w:val="auto"/>
        </w:rPr>
        <w:t>Catuá</w:t>
      </w:r>
      <w:proofErr w:type="spellEnd"/>
      <w:r w:rsidR="00741382" w:rsidRPr="00E20FB5">
        <w:rPr>
          <w:color w:val="auto"/>
        </w:rPr>
        <w:t xml:space="preserve">. Todas essas </w:t>
      </w:r>
      <w:proofErr w:type="spellStart"/>
      <w:r w:rsidR="00982356">
        <w:rPr>
          <w:color w:val="auto"/>
        </w:rPr>
        <w:t>DCs</w:t>
      </w:r>
      <w:proofErr w:type="spellEnd"/>
      <w:r w:rsidR="00982356">
        <w:rPr>
          <w:color w:val="auto"/>
        </w:rPr>
        <w:t xml:space="preserve"> e respectivas delimitações</w:t>
      </w:r>
      <w:r w:rsidR="00741382" w:rsidRPr="00E20FB5">
        <w:rPr>
          <w:color w:val="auto"/>
        </w:rPr>
        <w:t xml:space="preserve">, </w:t>
      </w:r>
      <w:r w:rsidR="00982356">
        <w:rPr>
          <w:color w:val="auto"/>
        </w:rPr>
        <w:t xml:space="preserve">à </w:t>
      </w:r>
      <w:r w:rsidR="00741382" w:rsidRPr="00E20FB5">
        <w:rPr>
          <w:color w:val="auto"/>
        </w:rPr>
        <w:t xml:space="preserve">exceção de Caxaréu, foram pautadas em reservatório identificado na seção do </w:t>
      </w:r>
      <w:proofErr w:type="spellStart"/>
      <w:r w:rsidR="00741382" w:rsidRPr="00E20FB5">
        <w:rPr>
          <w:color w:val="auto"/>
        </w:rPr>
        <w:t>Pós-Sal</w:t>
      </w:r>
      <w:proofErr w:type="spellEnd"/>
      <w:r w:rsidR="009F5D0E">
        <w:rPr>
          <w:color w:val="auto"/>
        </w:rPr>
        <w:t>;</w:t>
      </w:r>
      <w:r w:rsidR="00741382" w:rsidRPr="00E20FB5">
        <w:rPr>
          <w:color w:val="auto"/>
        </w:rPr>
        <w:t xml:space="preserve"> </w:t>
      </w:r>
    </w:p>
    <w:p w:rsidR="00A10243" w:rsidRDefault="00A10243" w:rsidP="00A10243">
      <w:pPr>
        <w:pStyle w:val="PargrafodaLista"/>
      </w:pPr>
    </w:p>
    <w:p w:rsidR="00A10243" w:rsidRDefault="00D6540A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F20670">
        <w:t>Que, e</w:t>
      </w:r>
      <w:r w:rsidR="00741382" w:rsidRPr="00F20670">
        <w:t xml:space="preserve">m alguns casos, por meio de estudos posteriores </w:t>
      </w:r>
      <w:r w:rsidR="00F13E36">
        <w:t>a</w:t>
      </w:r>
      <w:r w:rsidR="00741382" w:rsidRPr="00F20670">
        <w:t xml:space="preserve"> </w:t>
      </w:r>
      <w:r w:rsidR="00F13E36">
        <w:t xml:space="preserve">cada </w:t>
      </w:r>
      <w:r w:rsidR="00741382" w:rsidRPr="00F20670">
        <w:t xml:space="preserve">DC, observou-se que parte dos reservatórios ultrapassava os limites </w:t>
      </w:r>
      <w:r w:rsidR="003140AB">
        <w:t>da</w:t>
      </w:r>
      <w:r w:rsidR="008C587D">
        <w:t>s</w:t>
      </w:r>
      <w:r w:rsidR="003140AB">
        <w:t xml:space="preserve"> </w:t>
      </w:r>
      <w:proofErr w:type="gramStart"/>
      <w:r w:rsidR="003140AB">
        <w:t>área</w:t>
      </w:r>
      <w:r w:rsidR="008C587D">
        <w:t>s</w:t>
      </w:r>
      <w:proofErr w:type="gramEnd"/>
      <w:r w:rsidR="00741382" w:rsidRPr="00F20670">
        <w:t xml:space="preserve">, o que levou a tratativas entre a </w:t>
      </w:r>
      <w:r w:rsidR="007879D3">
        <w:t>ANP</w:t>
      </w:r>
      <w:r w:rsidR="007879D3" w:rsidRPr="00F20670">
        <w:t xml:space="preserve"> </w:t>
      </w:r>
      <w:r w:rsidR="00741382" w:rsidRPr="00F20670">
        <w:t xml:space="preserve">e a </w:t>
      </w:r>
      <w:r w:rsidR="007879D3">
        <w:t>Petrobras</w:t>
      </w:r>
      <w:r w:rsidR="007879D3" w:rsidRPr="00F20670">
        <w:t xml:space="preserve"> </w:t>
      </w:r>
      <w:r w:rsidR="00741382" w:rsidRPr="00F20670">
        <w:t>quanto à possibilidade de uma readequação dos</w:t>
      </w:r>
      <w:r w:rsidR="003140AB">
        <w:t xml:space="preserve"> limites das áreas </w:t>
      </w:r>
      <w:r w:rsidR="00741382" w:rsidRPr="00F20670">
        <w:t xml:space="preserve">aos limites efetivos dos reservatórios de cada </w:t>
      </w:r>
      <w:r w:rsidR="008C587D">
        <w:t>uma</w:t>
      </w:r>
      <w:r w:rsidR="00741382" w:rsidRPr="00F20670">
        <w:t>, conforme racional regulatório que, até então, sempre prevalecera na ANP</w:t>
      </w:r>
      <w:r w:rsidR="009F5D0E" w:rsidRPr="00F20670">
        <w:t>;</w:t>
      </w:r>
      <w:r w:rsidR="00741382" w:rsidRPr="00F20670">
        <w:t xml:space="preserve"> </w:t>
      </w:r>
    </w:p>
    <w:p w:rsidR="00A10243" w:rsidRDefault="00A10243" w:rsidP="00A10243">
      <w:pPr>
        <w:pStyle w:val="PargrafodaLista"/>
      </w:pPr>
    </w:p>
    <w:p w:rsidR="00A10243" w:rsidRDefault="00320066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>Que</w:t>
      </w:r>
      <w:r w:rsidR="00741382" w:rsidRPr="00E20FB5">
        <w:t>, após a edição da Resolução ANP nº 25/2013</w:t>
      </w:r>
      <w:r w:rsidR="00255B50">
        <w:t xml:space="preserve"> de 08/07/2013</w:t>
      </w:r>
      <w:r w:rsidR="00741382" w:rsidRPr="00E20FB5">
        <w:t xml:space="preserve">, que regulamentou o Compromisso de Individualização da Produção (“CIP ou </w:t>
      </w:r>
      <w:proofErr w:type="spellStart"/>
      <w:r w:rsidR="00741382" w:rsidRPr="00E20FB5">
        <w:t>CIPs</w:t>
      </w:r>
      <w:proofErr w:type="spellEnd"/>
      <w:r w:rsidR="00741382" w:rsidRPr="00E20FB5">
        <w:t>”) para jazidas compartilhadas entre áreas cujos direitos exploratórios e de produção são detidos pelo mesmo concessionário/contratado, a P</w:t>
      </w:r>
      <w:r w:rsidR="00324EEB">
        <w:t>ETROBRAS</w:t>
      </w:r>
      <w:r w:rsidR="00C42928">
        <w:t xml:space="preserve">, por meio da </w:t>
      </w:r>
      <w:r w:rsidR="00C42928" w:rsidRPr="000C271A">
        <w:t>Carta E&amp;P-CORP 1/2014</w:t>
      </w:r>
      <w:r w:rsidR="00BF0746">
        <w:t>,</w:t>
      </w:r>
      <w:r w:rsidR="00741382" w:rsidRPr="00E20FB5">
        <w:t xml:space="preserve"> propôs </w:t>
      </w:r>
      <w:r w:rsidR="00C42928">
        <w:t xml:space="preserve">cinco </w:t>
      </w:r>
      <w:proofErr w:type="spellStart"/>
      <w:r w:rsidR="00741382" w:rsidRPr="00E20FB5">
        <w:t>CIPs</w:t>
      </w:r>
      <w:proofErr w:type="spellEnd"/>
      <w:r w:rsidR="00741382" w:rsidRPr="00E20FB5">
        <w:t xml:space="preserve"> para a individualiza</w:t>
      </w:r>
      <w:r w:rsidR="003140AB">
        <w:t>ção</w:t>
      </w:r>
      <w:r w:rsidR="00741382" w:rsidRPr="00E20FB5">
        <w:t xml:space="preserve"> </w:t>
      </w:r>
      <w:r w:rsidR="003140AB">
        <w:t>d</w:t>
      </w:r>
      <w:r w:rsidR="00741382" w:rsidRPr="00E20FB5">
        <w:t xml:space="preserve">a </w:t>
      </w:r>
      <w:r w:rsidR="003140AB">
        <w:t xml:space="preserve">produção </w:t>
      </w:r>
      <w:r w:rsidR="00741382" w:rsidRPr="00E20FB5">
        <w:lastRenderedPageBreak/>
        <w:t>das seguintes jazidas</w:t>
      </w:r>
      <w:r w:rsidR="003140AB">
        <w:t xml:space="preserve"> que se estendem por mais de um</w:t>
      </w:r>
      <w:r w:rsidR="00DF2B1D">
        <w:t>a</w:t>
      </w:r>
      <w:r w:rsidR="003140AB">
        <w:t xml:space="preserve"> </w:t>
      </w:r>
      <w:r w:rsidR="00DF2B1D">
        <w:t>área</w:t>
      </w:r>
      <w:r w:rsidR="00741382" w:rsidRPr="000C0C31">
        <w:t xml:space="preserve">: </w:t>
      </w:r>
      <w:r w:rsidR="000B3FDB" w:rsidRPr="000C0C31">
        <w:t>BFR100</w:t>
      </w:r>
      <w:r w:rsidR="00E91362" w:rsidRPr="000C0C31">
        <w:t xml:space="preserve"> </w:t>
      </w:r>
      <w:r w:rsidR="00741382" w:rsidRPr="000C0C31">
        <w:t xml:space="preserve">entre Baleia Franca e </w:t>
      </w:r>
      <w:proofErr w:type="spellStart"/>
      <w:r w:rsidR="00741382" w:rsidRPr="000C0C31">
        <w:t>Jubarte</w:t>
      </w:r>
      <w:proofErr w:type="spellEnd"/>
      <w:r w:rsidR="00741382" w:rsidRPr="000C0C31">
        <w:t>;</w:t>
      </w:r>
      <w:r w:rsidR="00741382" w:rsidRPr="00E20FB5">
        <w:t xml:space="preserve"> BR100 entre Cachalote e Baleia Franca; CO120 entre Cachalote e </w:t>
      </w:r>
      <w:proofErr w:type="spellStart"/>
      <w:r w:rsidR="00741382" w:rsidRPr="00E20FB5">
        <w:t>Jubarte</w:t>
      </w:r>
      <w:proofErr w:type="spellEnd"/>
      <w:r w:rsidR="00741382" w:rsidRPr="00E20FB5">
        <w:t xml:space="preserve">; CO120 e CO140 entre Cachalote, </w:t>
      </w:r>
      <w:proofErr w:type="spellStart"/>
      <w:r w:rsidR="00741382" w:rsidRPr="00E20FB5">
        <w:t>Jubarte</w:t>
      </w:r>
      <w:proofErr w:type="spellEnd"/>
      <w:r w:rsidR="00741382" w:rsidRPr="00E20FB5">
        <w:t xml:space="preserve"> e Baleia Franca; MRL700 e CRT200 entre Baleia Azul e </w:t>
      </w:r>
      <w:proofErr w:type="spellStart"/>
      <w:r w:rsidR="00741382" w:rsidRPr="00E20FB5">
        <w:t>Jubarte</w:t>
      </w:r>
      <w:proofErr w:type="spellEnd"/>
      <w:r w:rsidR="009F5D0E">
        <w:t>;</w:t>
      </w:r>
    </w:p>
    <w:p w:rsidR="00A10243" w:rsidRDefault="00A10243" w:rsidP="00A10243">
      <w:pPr>
        <w:pStyle w:val="PargrafodaLista"/>
      </w:pPr>
    </w:p>
    <w:p w:rsidR="00A10243" w:rsidRDefault="006B4DE4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20066">
        <w:t>Que</w:t>
      </w:r>
      <w:r w:rsidR="00320066">
        <w:t>,</w:t>
      </w:r>
      <w:r w:rsidRPr="00320066">
        <w:t xml:space="preserve"> a ANP</w:t>
      </w:r>
      <w:r w:rsidR="00320066">
        <w:t xml:space="preserve"> </w:t>
      </w:r>
      <w:r w:rsidRPr="00320066">
        <w:t xml:space="preserve">por meio da </w:t>
      </w:r>
      <w:r w:rsidR="00CE7D54">
        <w:t>Resolução de Diretoria 69/2014 (“</w:t>
      </w:r>
      <w:r w:rsidRPr="00320066">
        <w:t>RD 69/2014</w:t>
      </w:r>
      <w:r w:rsidR="00CE7D54">
        <w:t>”)</w:t>
      </w:r>
      <w:r w:rsidRPr="00320066">
        <w:t xml:space="preserve">, </w:t>
      </w:r>
      <w:r w:rsidR="00B20A7D">
        <w:t xml:space="preserve">veiculada por meio do Ofício 244/2014/SDP, de 14/02/2014, </w:t>
      </w:r>
      <w:r w:rsidRPr="00320066">
        <w:t xml:space="preserve">decidiu </w:t>
      </w:r>
      <w:r w:rsidR="006B5C28" w:rsidRPr="006B5C28">
        <w:t>considerar como um único Campo, delimitado por uma mesma poligonal (</w:t>
      </w:r>
      <w:proofErr w:type="spellStart"/>
      <w:r w:rsidR="000B3FDB" w:rsidRPr="000B3FDB">
        <w:rPr>
          <w:i/>
        </w:rPr>
        <w:t>ring</w:t>
      </w:r>
      <w:proofErr w:type="spellEnd"/>
      <w:r w:rsidR="000B3FDB" w:rsidRPr="000B3FDB">
        <w:rPr>
          <w:i/>
        </w:rPr>
        <w:t xml:space="preserve"> </w:t>
      </w:r>
      <w:proofErr w:type="spellStart"/>
      <w:r w:rsidR="000B3FDB" w:rsidRPr="000B3FDB">
        <w:rPr>
          <w:i/>
        </w:rPr>
        <w:t>fence</w:t>
      </w:r>
      <w:proofErr w:type="spellEnd"/>
      <w:r w:rsidR="006B5C28" w:rsidRPr="006B5C28">
        <w:t xml:space="preserve">), </w:t>
      </w:r>
      <w:r w:rsidR="005B23BA">
        <w:t>as áreas</w:t>
      </w:r>
      <w:r w:rsidR="006B5C28" w:rsidRPr="006B5C28">
        <w:t xml:space="preserve"> de Baleia Anã, Baleia Azul, Baleia Franca, Cachalote, Caxaréu, </w:t>
      </w:r>
      <w:proofErr w:type="spellStart"/>
      <w:r w:rsidR="006B5C28" w:rsidRPr="006B5C28">
        <w:t>Jubarte</w:t>
      </w:r>
      <w:proofErr w:type="spellEnd"/>
      <w:r w:rsidR="006B5C28" w:rsidRPr="006B5C28">
        <w:t xml:space="preserve"> e </w:t>
      </w:r>
      <w:proofErr w:type="spellStart"/>
      <w:r w:rsidR="006B5C28" w:rsidRPr="006B5C28">
        <w:t>Pirambu</w:t>
      </w:r>
      <w:proofErr w:type="spellEnd"/>
      <w:r w:rsidR="006B5C28" w:rsidRPr="006B5C28">
        <w:t xml:space="preserve">, designando-o Campo de </w:t>
      </w:r>
      <w:proofErr w:type="spellStart"/>
      <w:r w:rsidR="006B5C28" w:rsidRPr="006B5C28">
        <w:t>Jubarte</w:t>
      </w:r>
      <w:proofErr w:type="spellEnd"/>
      <w:r w:rsidRPr="00320066">
        <w:t>;</w:t>
      </w:r>
    </w:p>
    <w:p w:rsidR="00A10243" w:rsidRDefault="00A10243" w:rsidP="00A10243">
      <w:pPr>
        <w:pStyle w:val="PargrafodaLista"/>
      </w:pPr>
    </w:p>
    <w:p w:rsidR="00A10243" w:rsidRDefault="006B4DE4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CE7D54">
        <w:t>Que</w:t>
      </w:r>
      <w:r w:rsidR="00CE7D54">
        <w:t>,</w:t>
      </w:r>
      <w:r w:rsidRPr="00CE7D54">
        <w:t xml:space="preserve"> </w:t>
      </w:r>
      <w:r w:rsidR="00CE7D54">
        <w:t xml:space="preserve">após a </w:t>
      </w:r>
      <w:r w:rsidR="00982356">
        <w:t>impugnação</w:t>
      </w:r>
      <w:r w:rsidR="00CE7D54">
        <w:t xml:space="preserve"> </w:t>
      </w:r>
      <w:r w:rsidR="00F83387">
        <w:t xml:space="preserve">administrativa </w:t>
      </w:r>
      <w:r w:rsidR="00CE7D54">
        <w:t>da R</w:t>
      </w:r>
      <w:r w:rsidR="00F95FC1">
        <w:t xml:space="preserve">D 69/2014, </w:t>
      </w:r>
      <w:r w:rsidRPr="00CE7D54">
        <w:t>a PETROBRAS instaurou procedimento arbitral</w:t>
      </w:r>
      <w:r w:rsidR="0020770C">
        <w:t xml:space="preserve">, em </w:t>
      </w:r>
      <w:r w:rsidR="00F77FDF">
        <w:t>17/04/2014</w:t>
      </w:r>
      <w:r w:rsidR="0020770C">
        <w:t>,</w:t>
      </w:r>
      <w:r w:rsidR="00255B50">
        <w:t xml:space="preserve"> </w:t>
      </w:r>
      <w:r w:rsidR="00302CD5">
        <w:t xml:space="preserve">perante </w:t>
      </w:r>
      <w:r w:rsidR="00255B50">
        <w:t>a</w:t>
      </w:r>
      <w:r w:rsidR="00302CD5">
        <w:t xml:space="preserve"> Câmara de Comércio Internacional, conforme previsto na Cláusula</w:t>
      </w:r>
      <w:r w:rsidR="00847771">
        <w:t xml:space="preserve"> Vigésima Nona</w:t>
      </w:r>
      <w:r w:rsidR="00302CD5">
        <w:t xml:space="preserve"> do Contrato de Concessão</w:t>
      </w:r>
      <w:r w:rsidR="0096382E">
        <w:t>, tendo</w:t>
      </w:r>
      <w:r w:rsidR="00763A85">
        <w:t xml:space="preserve"> </w:t>
      </w:r>
      <w:r w:rsidR="0096382E">
        <w:t xml:space="preserve">sido </w:t>
      </w:r>
      <w:r w:rsidR="008F2910">
        <w:t>constituído o Tribunal Arbitral</w:t>
      </w:r>
      <w:r w:rsidR="008D44A4">
        <w:t>, para dirimir a questão</w:t>
      </w:r>
      <w:r w:rsidRPr="00CE7D54">
        <w:t>;</w:t>
      </w:r>
    </w:p>
    <w:p w:rsidR="00A10243" w:rsidRDefault="00A10243" w:rsidP="00A10243">
      <w:pPr>
        <w:pStyle w:val="PargrafodaLista"/>
      </w:pPr>
    </w:p>
    <w:p w:rsidR="003B2CBE" w:rsidRPr="003B2CBE" w:rsidRDefault="006B4DE4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AE6845">
        <w:t>Que</w:t>
      </w:r>
      <w:r w:rsidR="00D426F1">
        <w:t>,</w:t>
      </w:r>
      <w:r w:rsidRPr="00AE6845">
        <w:t xml:space="preserve"> a ANP aj</w:t>
      </w:r>
      <w:r w:rsidRPr="0020770C">
        <w:t>uizou ação anulatória</w:t>
      </w:r>
      <w:r w:rsidR="00F47570" w:rsidRPr="0020770C">
        <w:t xml:space="preserve"> nº </w:t>
      </w:r>
      <w:r w:rsidR="00F20670" w:rsidRPr="0020770C">
        <w:t xml:space="preserve">0006800-84.2014.4.02.5101 </w:t>
      </w:r>
      <w:r w:rsidR="00255B50" w:rsidRPr="0020770C">
        <w:t xml:space="preserve">em </w:t>
      </w:r>
      <w:r w:rsidR="0020770C" w:rsidRPr="0020770C">
        <w:t>21/05/2014</w:t>
      </w:r>
      <w:r w:rsidR="00255B50" w:rsidRPr="00AE6845">
        <w:t xml:space="preserve"> </w:t>
      </w:r>
      <w:r w:rsidR="00F47570" w:rsidRPr="00AE6845">
        <w:t xml:space="preserve">para impedir o prosseguimento da arbitragem, </w:t>
      </w:r>
      <w:r w:rsidR="000700AE">
        <w:t xml:space="preserve">sob o argumento de </w:t>
      </w:r>
      <w:proofErr w:type="spellStart"/>
      <w:r w:rsidR="00AE6845" w:rsidRPr="00AE6845">
        <w:t>inarbitrabilidade</w:t>
      </w:r>
      <w:proofErr w:type="spellEnd"/>
      <w:r w:rsidR="00AE6845" w:rsidRPr="00AE6845">
        <w:t xml:space="preserve"> da questão</w:t>
      </w:r>
      <w:r w:rsidR="003B2CBE">
        <w:t>;</w:t>
      </w:r>
    </w:p>
    <w:p w:rsidR="003B2CBE" w:rsidRDefault="003B2CBE" w:rsidP="003B2CBE">
      <w:pPr>
        <w:pStyle w:val="PargrafodaLista"/>
      </w:pPr>
    </w:p>
    <w:p w:rsidR="00A10243" w:rsidRDefault="003B2CBE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>Que</w:t>
      </w:r>
      <w:r w:rsidR="00D426F1">
        <w:t>,</w:t>
      </w:r>
      <w:r>
        <w:t xml:space="preserve"> </w:t>
      </w:r>
      <w:r w:rsidR="00AE6845" w:rsidRPr="00AE6845">
        <w:t xml:space="preserve">a </w:t>
      </w:r>
      <w:r w:rsidR="00AE6845" w:rsidRPr="00A10243">
        <w:rPr>
          <w:color w:val="auto"/>
        </w:rPr>
        <w:t xml:space="preserve">8ª </w:t>
      </w:r>
      <w:r w:rsidR="00AE6845" w:rsidRPr="0020770C">
        <w:rPr>
          <w:color w:val="auto"/>
        </w:rPr>
        <w:t>Turma do Tribunal Regional Federal conced</w:t>
      </w:r>
      <w:r w:rsidRPr="0020770C">
        <w:rPr>
          <w:color w:val="auto"/>
        </w:rPr>
        <w:t>eu</w:t>
      </w:r>
      <w:r w:rsidR="0020770C">
        <w:rPr>
          <w:color w:val="auto"/>
        </w:rPr>
        <w:t>,</w:t>
      </w:r>
      <w:r w:rsidR="00AE6845" w:rsidRPr="0020770C">
        <w:rPr>
          <w:color w:val="auto"/>
        </w:rPr>
        <w:t xml:space="preserve"> </w:t>
      </w:r>
      <w:r w:rsidR="004A1471" w:rsidRPr="0020770C">
        <w:t xml:space="preserve">em </w:t>
      </w:r>
      <w:r w:rsidR="0020770C" w:rsidRPr="0020770C">
        <w:t>04/03/2015</w:t>
      </w:r>
      <w:r w:rsidR="0020770C">
        <w:t>,</w:t>
      </w:r>
      <w:r w:rsidR="004A1471" w:rsidRPr="00A10243">
        <w:rPr>
          <w:color w:val="auto"/>
        </w:rPr>
        <w:t xml:space="preserve"> </w:t>
      </w:r>
      <w:r w:rsidR="00AE6845" w:rsidRPr="00A10243">
        <w:rPr>
          <w:color w:val="auto"/>
        </w:rPr>
        <w:t xml:space="preserve">liminar para </w:t>
      </w:r>
      <w:r w:rsidR="00AE6845" w:rsidRPr="005618C4">
        <w:rPr>
          <w:color w:val="auto"/>
        </w:rPr>
        <w:t>suspender o procedimento arbitral</w:t>
      </w:r>
      <w:r w:rsidRPr="005618C4">
        <w:rPr>
          <w:color w:val="auto"/>
        </w:rPr>
        <w:t xml:space="preserve">, nos autos da ação cautelar nº </w:t>
      </w:r>
      <w:r w:rsidRPr="00F77FDF">
        <w:t>0001194-18.2015.4.02.0000</w:t>
      </w:r>
      <w:r w:rsidRPr="005618C4">
        <w:rPr>
          <w:color w:val="auto"/>
        </w:rPr>
        <w:t>, ajuizada</w:t>
      </w:r>
      <w:r w:rsidRPr="003B2CBE">
        <w:rPr>
          <w:color w:val="auto"/>
        </w:rPr>
        <w:t xml:space="preserve"> pelo Estado do Espírito Santo perante o Tribunal Regional Federal da 2ª Região</w:t>
      </w:r>
      <w:r w:rsidR="006B4DE4" w:rsidRPr="00AE6845">
        <w:t>;</w:t>
      </w:r>
      <w:r w:rsidR="00F83387">
        <w:t xml:space="preserve"> </w:t>
      </w:r>
    </w:p>
    <w:p w:rsidR="00A10243" w:rsidRDefault="00A10243" w:rsidP="00A10243">
      <w:pPr>
        <w:pStyle w:val="PargrafodaLista"/>
      </w:pPr>
    </w:p>
    <w:p w:rsidR="00A10243" w:rsidRDefault="006B4DE4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FC6ACA">
        <w:t>Que</w:t>
      </w:r>
      <w:r w:rsidR="00847F37">
        <w:t>, diante do conflito positivo de competência entre</w:t>
      </w:r>
      <w:r w:rsidR="00F83387">
        <w:t xml:space="preserve"> o</w:t>
      </w:r>
      <w:r w:rsidR="00847F37">
        <w:t xml:space="preserve"> Tribunal Arbitral constituído e</w:t>
      </w:r>
      <w:r w:rsidR="00F83387">
        <w:t xml:space="preserve"> o Poder</w:t>
      </w:r>
      <w:r w:rsidR="00847F37">
        <w:t xml:space="preserve"> Judiciário, a PETROBRAS </w:t>
      </w:r>
      <w:r w:rsidR="00FC6ACA" w:rsidRPr="0039657F">
        <w:t xml:space="preserve">suscitou incidente de Conflito de Competência perante o Superior Tribunal de Justiça </w:t>
      </w:r>
      <w:r w:rsidR="00FC6ACA">
        <w:t xml:space="preserve">(Conflito de Competência nº </w:t>
      </w:r>
      <w:r w:rsidR="00B560F3" w:rsidRPr="00B560F3">
        <w:t>139.519/RJ</w:t>
      </w:r>
      <w:r w:rsidR="00FC6ACA">
        <w:t xml:space="preserve">) que, </w:t>
      </w:r>
      <w:r w:rsidR="00FC6ACA" w:rsidRPr="0039657F">
        <w:t>em 11/10/2017</w:t>
      </w:r>
      <w:r w:rsidR="00FC6ACA">
        <w:t xml:space="preserve">, </w:t>
      </w:r>
      <w:r w:rsidR="00FC6ACA" w:rsidRPr="0039657F">
        <w:t>conheceu do Conflito e, no mérito, declar</w:t>
      </w:r>
      <w:r w:rsidR="00CB0723">
        <w:t>ou</w:t>
      </w:r>
      <w:r w:rsidR="00FC6ACA" w:rsidRPr="0039657F">
        <w:t xml:space="preserve"> competente o tribunal arbitral para analisar primeiramente</w:t>
      </w:r>
      <w:r w:rsidR="000700AE">
        <w:t xml:space="preserve"> acerca de sua própria competência a respeito da </w:t>
      </w:r>
      <w:proofErr w:type="spellStart"/>
      <w:r w:rsidR="00FC6ACA" w:rsidRPr="0039657F">
        <w:t>arbitrabilidade</w:t>
      </w:r>
      <w:proofErr w:type="spellEnd"/>
      <w:r w:rsidR="00FC6ACA" w:rsidRPr="0039657F">
        <w:t xml:space="preserve"> da disputa</w:t>
      </w:r>
      <w:r w:rsidR="00615864">
        <w:t>;</w:t>
      </w:r>
    </w:p>
    <w:p w:rsidR="00A10243" w:rsidRDefault="00A10243" w:rsidP="00A10243">
      <w:pPr>
        <w:pStyle w:val="PargrafodaLista"/>
      </w:pPr>
    </w:p>
    <w:p w:rsidR="00A10243" w:rsidRDefault="00E91803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>Q</w:t>
      </w:r>
      <w:r w:rsidR="0086001D" w:rsidRPr="00D553D4">
        <w:t xml:space="preserve">ue, </w:t>
      </w:r>
      <w:r w:rsidR="00D553D4">
        <w:t>após o acórdão do STJ, a PETROBRAS instou o Tribunal Arbitral a retomar o andamento da arbitragem, tendo sido designada audiência no dia 22/02/2018 entre as</w:t>
      </w:r>
      <w:r w:rsidR="00C674A3">
        <w:t xml:space="preserve"> Partes e o Tribunal, na qual ambas as Partes reforçaram os seus respectivos pleitos e fundamentos </w:t>
      </w:r>
      <w:r w:rsidR="008E0973">
        <w:t>quanto a reforma da decisão cautelar</w:t>
      </w:r>
      <w:r w:rsidR="003D1260">
        <w:t xml:space="preserve"> que havia determinado o pagamento das parcelas controvertidas de Participação Especial decorrentes da unificação conforme a RD 69/2014</w:t>
      </w:r>
      <w:r w:rsidR="008E0973">
        <w:t xml:space="preserve">, além de terem alinhado </w:t>
      </w:r>
      <w:r w:rsidR="00C674A3">
        <w:t>um cronograma para a arbitragem;</w:t>
      </w:r>
    </w:p>
    <w:p w:rsidR="00A10243" w:rsidRDefault="00A10243" w:rsidP="00A10243">
      <w:pPr>
        <w:pStyle w:val="PargrafodaLista"/>
      </w:pPr>
    </w:p>
    <w:p w:rsidR="00A10243" w:rsidRDefault="007649FE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 xml:space="preserve">Que, no dia </w:t>
      </w:r>
      <w:r w:rsidR="006F1230">
        <w:t>30</w:t>
      </w:r>
      <w:r>
        <w:t xml:space="preserve">/04/2018, a PETROBRAS apresentou suas alegações iniciais e, em </w:t>
      </w:r>
      <w:r w:rsidR="00D45DBA">
        <w:t>04/07/2018</w:t>
      </w:r>
      <w:r>
        <w:t xml:space="preserve">, realizou o pagamento </w:t>
      </w:r>
      <w:r w:rsidR="005574C1">
        <w:t xml:space="preserve">no valor </w:t>
      </w:r>
      <w:r w:rsidR="00A2677F">
        <w:t xml:space="preserve">de </w:t>
      </w:r>
      <w:r w:rsidR="00B97860">
        <w:t>R$</w:t>
      </w:r>
      <w:r w:rsidR="00615864">
        <w:t xml:space="preserve"> </w:t>
      </w:r>
      <w:r w:rsidR="00D45DBA" w:rsidRPr="00F77FDF">
        <w:rPr>
          <w:color w:val="auto"/>
        </w:rPr>
        <w:t>111.005.900,35</w:t>
      </w:r>
      <w:r w:rsidR="005574C1">
        <w:t xml:space="preserve">, </w:t>
      </w:r>
      <w:r w:rsidR="00AE101B">
        <w:t xml:space="preserve">atualizado à data do pagamento, </w:t>
      </w:r>
      <w:r w:rsidR="000270B8">
        <w:t>referente à diferença de participação especial</w:t>
      </w:r>
      <w:r w:rsidR="001B0AD2">
        <w:t xml:space="preserve"> calculada para o período compreendido entre o 2º trimestre de 2014 e o 4º trimestre de 2017</w:t>
      </w:r>
      <w:r w:rsidR="000270B8">
        <w:t xml:space="preserve">, </w:t>
      </w:r>
      <w:r w:rsidR="000270B8">
        <w:lastRenderedPageBreak/>
        <w:t xml:space="preserve">como resultado da apuração dos efeitos do CIP para os reservatórios do </w:t>
      </w:r>
      <w:proofErr w:type="spellStart"/>
      <w:r w:rsidR="000270B8">
        <w:t>Pós-Sal</w:t>
      </w:r>
      <w:proofErr w:type="spellEnd"/>
      <w:r w:rsidR="000270B8">
        <w:t xml:space="preserve"> de </w:t>
      </w:r>
      <w:proofErr w:type="spellStart"/>
      <w:r w:rsidR="000270B8">
        <w:t>Jubarte</w:t>
      </w:r>
      <w:proofErr w:type="spellEnd"/>
      <w:r w:rsidR="000270B8">
        <w:t>, Cachalote e Baleia Franca, submetido em 02/01/2014</w:t>
      </w:r>
      <w:r w:rsidR="008A222E">
        <w:t>, por meio da Carta E&amp;P-CORP 1/2014</w:t>
      </w:r>
      <w:r w:rsidR="00D2519C">
        <w:t>;</w:t>
      </w:r>
    </w:p>
    <w:p w:rsidR="00A10243" w:rsidRDefault="00A10243" w:rsidP="00A10243">
      <w:pPr>
        <w:pStyle w:val="PargrafodaLista"/>
      </w:pPr>
    </w:p>
    <w:p w:rsidR="00A10243" w:rsidRDefault="0057329D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 xml:space="preserve">Que, </w:t>
      </w:r>
      <w:r w:rsidR="0086001D" w:rsidRPr="00CB0723">
        <w:t>em 02/05/2018, o Tribunal Arbitral reconsiderou sua decisão de medida cautelar, suspendendo a determinação de pagamento das Participações Governamentais Históricas e Pr</w:t>
      </w:r>
      <w:r w:rsidR="008E0973">
        <w:t xml:space="preserve">ospectiva e, em contrapartida, </w:t>
      </w:r>
      <w:r w:rsidR="00432DC4">
        <w:t>determinou</w:t>
      </w:r>
      <w:r w:rsidR="008E0973">
        <w:t xml:space="preserve"> que as Partes negociassem garantias para o débito</w:t>
      </w:r>
      <w:r w:rsidR="00F52534" w:rsidRPr="00CB0723">
        <w:t>;</w:t>
      </w:r>
    </w:p>
    <w:p w:rsidR="00A10243" w:rsidRDefault="00A10243" w:rsidP="00A10243">
      <w:pPr>
        <w:pStyle w:val="PargrafodaLista"/>
      </w:pPr>
    </w:p>
    <w:p w:rsidR="00A10243" w:rsidRPr="006B5C28" w:rsidRDefault="005F0BF9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 xml:space="preserve">Que, </w:t>
      </w:r>
      <w:r w:rsidR="00A2677F">
        <w:t>em 03/07/2018</w:t>
      </w:r>
      <w:r w:rsidR="006B4DE4" w:rsidRPr="005F0BF9">
        <w:t>, as Partes</w:t>
      </w:r>
      <w:r>
        <w:t xml:space="preserve"> solicitara</w:t>
      </w:r>
      <w:r w:rsidR="00432DC4">
        <w:t>m ao Tribunal, de comum acordo</w:t>
      </w:r>
      <w:r>
        <w:t>, a suspensão do procedimento arbitral</w:t>
      </w:r>
      <w:r w:rsidR="00B633D5">
        <w:t xml:space="preserve"> e </w:t>
      </w:r>
      <w:r w:rsidR="006B4DE4" w:rsidRPr="005F0BF9">
        <w:t>iniciar</w:t>
      </w:r>
      <w:r w:rsidR="00B633D5">
        <w:t>am</w:t>
      </w:r>
      <w:r w:rsidR="006B4DE4" w:rsidRPr="005F0BF9">
        <w:t xml:space="preserve"> tratativas para uma possível reavaliação do mérito da questão para uma convergência baseada em critérios técnicos;</w:t>
      </w:r>
    </w:p>
    <w:p w:rsidR="000C0C31" w:rsidRDefault="000C0C31">
      <w:pPr>
        <w:pStyle w:val="PargrafodaLista"/>
      </w:pPr>
    </w:p>
    <w:p w:rsidR="006B5C28" w:rsidRDefault="006B5C28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Que a consensualidade é valor a ser buscado pela boa Administração Pública como forma célere e eficiente de resolução de conflitos e garantia da segurança jurídica;</w:t>
      </w:r>
    </w:p>
    <w:p w:rsidR="000C0C31" w:rsidRDefault="000C0C31">
      <w:pPr>
        <w:pStyle w:val="PargrafodaLista"/>
      </w:pPr>
    </w:p>
    <w:p w:rsidR="006B5C28" w:rsidRDefault="006B5C28" w:rsidP="00A1024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Que o longo prolongamento da controvérsia traz prejuízo para ambas as partes, bem como para toda a sociedade;</w:t>
      </w:r>
    </w:p>
    <w:p w:rsidR="00A10243" w:rsidRDefault="00A10243" w:rsidP="00A10243">
      <w:pPr>
        <w:pStyle w:val="PargrafodaLista"/>
      </w:pPr>
    </w:p>
    <w:p w:rsidR="00134473" w:rsidRPr="004C2E9F" w:rsidRDefault="00610753" w:rsidP="00AA3542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6E49B5">
        <w:t>Que as Partes iniciar</w:t>
      </w:r>
      <w:r w:rsidR="00A10243">
        <w:t>am</w:t>
      </w:r>
      <w:r w:rsidRPr="006E49B5">
        <w:t xml:space="preserve"> reuniões técnicas sobre o assunto</w:t>
      </w:r>
      <w:r w:rsidR="00A10243">
        <w:t xml:space="preserve"> no âmbito do Grupo de Trabalho constituído pela ANP (</w:t>
      </w:r>
      <w:r w:rsidR="008C56AB">
        <w:t>Resolução de Diretoria 58/2018</w:t>
      </w:r>
      <w:r w:rsidR="00AA3542">
        <w:t xml:space="preserve"> de </w:t>
      </w:r>
      <w:r w:rsidR="00AA3542" w:rsidRPr="00AA3542">
        <w:t>30/01/2018</w:t>
      </w:r>
      <w:r w:rsidR="008C56AB">
        <w:t>, informad</w:t>
      </w:r>
      <w:r w:rsidR="00DB0DC6">
        <w:t>a</w:t>
      </w:r>
      <w:r w:rsidR="008C56AB">
        <w:t xml:space="preserve"> por meio do </w:t>
      </w:r>
      <w:r w:rsidR="008C56AB" w:rsidRPr="00F77FDF">
        <w:t>Ofício n</w:t>
      </w:r>
      <w:r w:rsidR="008C56AB" w:rsidRPr="00F77FDF">
        <w:rPr>
          <w:vertAlign w:val="superscript"/>
        </w:rPr>
        <w:t>o</w:t>
      </w:r>
      <w:r w:rsidR="008C56AB" w:rsidRPr="00F77FDF">
        <w:t xml:space="preserve"> 03/2018/DIR-I/ANP</w:t>
      </w:r>
      <w:r w:rsidR="00F17F1B">
        <w:t xml:space="preserve"> de</w:t>
      </w:r>
      <w:r w:rsidR="00AA3542">
        <w:t xml:space="preserve"> 02/05/2018</w:t>
      </w:r>
      <w:r w:rsidR="00A10243">
        <w:t>)</w:t>
      </w:r>
      <w:r w:rsidRPr="006E49B5">
        <w:t>;</w:t>
      </w:r>
    </w:p>
    <w:p w:rsidR="000C0C31" w:rsidRDefault="000C0C31">
      <w:pPr>
        <w:pStyle w:val="PargrafodaLista"/>
      </w:pPr>
    </w:p>
    <w:p w:rsidR="004C2E9F" w:rsidRPr="000C0C31" w:rsidRDefault="004C2E9F" w:rsidP="005C298E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rPr>
          <w:color w:val="auto"/>
        </w:rPr>
        <w:t>Que a</w:t>
      </w:r>
      <w:r w:rsidRPr="004C2E9F">
        <w:rPr>
          <w:color w:val="auto"/>
        </w:rPr>
        <w:t xml:space="preserve"> ANP </w:t>
      </w:r>
      <w:r>
        <w:rPr>
          <w:color w:val="auto"/>
        </w:rPr>
        <w:t>iniciou a</w:t>
      </w:r>
      <w:r w:rsidRPr="004C2E9F">
        <w:rPr>
          <w:color w:val="auto"/>
        </w:rPr>
        <w:t xml:space="preserve"> Tomada Pública de Contribuições</w:t>
      </w:r>
      <w:r>
        <w:rPr>
          <w:color w:val="auto"/>
        </w:rPr>
        <w:t xml:space="preserve"> nº 08/2018</w:t>
      </w:r>
      <w:r w:rsidRPr="004C2E9F">
        <w:rPr>
          <w:color w:val="auto"/>
        </w:rPr>
        <w:t xml:space="preserve"> </w:t>
      </w:r>
      <w:r>
        <w:rPr>
          <w:color w:val="auto"/>
        </w:rPr>
        <w:t>sobre a criação de instrumentos regulatórios para incentivar</w:t>
      </w:r>
      <w:r w:rsidRPr="004C2E9F">
        <w:rPr>
          <w:color w:val="auto"/>
        </w:rPr>
        <w:t xml:space="preserve"> o desenvolvimento da produção de acumulações de petróleo e gás com baixa atratividade econômica</w:t>
      </w:r>
      <w:r w:rsidR="001B7976">
        <w:rPr>
          <w:color w:val="auto"/>
        </w:rPr>
        <w:t>;</w:t>
      </w:r>
      <w:r w:rsidRPr="004C2E9F">
        <w:rPr>
          <w:color w:val="auto"/>
        </w:rPr>
        <w:t xml:space="preserve"> e </w:t>
      </w:r>
      <w:r>
        <w:rPr>
          <w:color w:val="auto"/>
        </w:rPr>
        <w:t xml:space="preserve">a Tomada Pública de </w:t>
      </w:r>
      <w:r w:rsidRPr="000C0C31">
        <w:rPr>
          <w:color w:val="auto"/>
        </w:rPr>
        <w:t>Cont</w:t>
      </w:r>
      <w:r w:rsidR="008F2877" w:rsidRPr="000C0C31">
        <w:rPr>
          <w:color w:val="auto"/>
        </w:rPr>
        <w:t>r</w:t>
      </w:r>
      <w:r w:rsidRPr="000C0C31">
        <w:rPr>
          <w:color w:val="auto"/>
        </w:rPr>
        <w:t xml:space="preserve">ibuições </w:t>
      </w:r>
      <w:r w:rsidR="000B3FDB" w:rsidRPr="00742A89">
        <w:rPr>
          <w:color w:val="auto"/>
          <w:highlight w:val="yellow"/>
        </w:rPr>
        <w:t xml:space="preserve">nº </w:t>
      </w:r>
      <w:proofErr w:type="spellStart"/>
      <w:r w:rsidR="000B3FDB" w:rsidRPr="00742A89">
        <w:rPr>
          <w:color w:val="auto"/>
          <w:highlight w:val="yellow"/>
        </w:rPr>
        <w:t>xxxxx</w:t>
      </w:r>
      <w:proofErr w:type="spellEnd"/>
      <w:r w:rsidRPr="000C0C31">
        <w:rPr>
          <w:color w:val="auto"/>
        </w:rPr>
        <w:t xml:space="preserve">, </w:t>
      </w:r>
      <w:r w:rsidR="000B3FDB" w:rsidRPr="000C0C31">
        <w:rPr>
          <w:color w:val="auto"/>
        </w:rPr>
        <w:t xml:space="preserve">sobre critérios a serem aplicados na delimitação de Área de Campo de Petróleo ou Gás Natural; incluindo-se: i) agrupamento de reservatórios; </w:t>
      </w:r>
      <w:proofErr w:type="spellStart"/>
      <w:r w:rsidR="000B3FDB" w:rsidRPr="000C0C31">
        <w:rPr>
          <w:color w:val="auto"/>
        </w:rPr>
        <w:t>ii</w:t>
      </w:r>
      <w:proofErr w:type="spellEnd"/>
      <w:r w:rsidR="000B3FDB" w:rsidRPr="000C0C31">
        <w:rPr>
          <w:color w:val="auto"/>
        </w:rPr>
        <w:t xml:space="preserve">) definição de reservatório contínuo; e </w:t>
      </w:r>
      <w:proofErr w:type="spellStart"/>
      <w:r w:rsidR="000B3FDB" w:rsidRPr="000C0C31">
        <w:rPr>
          <w:color w:val="auto"/>
        </w:rPr>
        <w:t>iii</w:t>
      </w:r>
      <w:proofErr w:type="spellEnd"/>
      <w:r w:rsidR="000B3FDB" w:rsidRPr="000C0C31">
        <w:rPr>
          <w:color w:val="auto"/>
        </w:rPr>
        <w:t>) instalações e equipamentos a serem considerados</w:t>
      </w:r>
      <w:r w:rsidRPr="000C0C31">
        <w:rPr>
          <w:color w:val="auto"/>
        </w:rPr>
        <w:t>.</w:t>
      </w:r>
    </w:p>
    <w:p w:rsidR="00134473" w:rsidRDefault="00EA4E46" w:rsidP="00134473">
      <w:pPr>
        <w:pStyle w:val="PargrafodaLista"/>
      </w:pPr>
      <w:r>
        <w:t xml:space="preserve"> </w:t>
      </w:r>
    </w:p>
    <w:p w:rsidR="004A5713" w:rsidRPr="00F77FDF" w:rsidRDefault="00DA0F21" w:rsidP="006D125A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615864">
        <w:t>Que</w:t>
      </w:r>
      <w:r w:rsidRPr="006E49B5">
        <w:t xml:space="preserve"> </w:t>
      </w:r>
      <w:r w:rsidR="00615864" w:rsidRPr="00615864">
        <w:t xml:space="preserve">as </w:t>
      </w:r>
      <w:r w:rsidR="00615864">
        <w:t>P</w:t>
      </w:r>
      <w:r w:rsidR="00615864" w:rsidRPr="00615864">
        <w:t>artes</w:t>
      </w:r>
      <w:r w:rsidR="00615864" w:rsidRPr="006E49B5">
        <w:t xml:space="preserve"> </w:t>
      </w:r>
      <w:r w:rsidRPr="006E49B5">
        <w:t xml:space="preserve">chegaram a um acordo sobre </w:t>
      </w:r>
      <w:r w:rsidR="007E4377" w:rsidRPr="006E49B5">
        <w:t>a delimitação do</w:t>
      </w:r>
      <w:r w:rsidR="005B23BA">
        <w:t xml:space="preserve"> novo Campo de </w:t>
      </w:r>
      <w:proofErr w:type="spellStart"/>
      <w:r w:rsidR="005B23BA">
        <w:t>Jubarte</w:t>
      </w:r>
      <w:proofErr w:type="spellEnd"/>
      <w:r w:rsidR="005B23BA">
        <w:t xml:space="preserve"> e demais </w:t>
      </w:r>
      <w:r w:rsidR="00745F9E">
        <w:t>Áreas de Desenvolvimento</w:t>
      </w:r>
      <w:r w:rsidR="005B23BA">
        <w:t xml:space="preserve"> </w:t>
      </w:r>
      <w:r w:rsidR="007E4377" w:rsidRPr="006E49B5">
        <w:t>que comporão o denominado Parque das Baleias</w:t>
      </w:r>
      <w:r w:rsidR="000901EA">
        <w:t xml:space="preserve">, baseado em critérios </w:t>
      </w:r>
      <w:r w:rsidR="00880F1B">
        <w:t>técnicos</w:t>
      </w:r>
      <w:r w:rsidR="004C2E9F">
        <w:t>;</w:t>
      </w:r>
    </w:p>
    <w:p w:rsidR="004A5713" w:rsidRPr="00F77FDF" w:rsidRDefault="004A5713" w:rsidP="00F77FDF">
      <w:pPr>
        <w:pStyle w:val="Default"/>
        <w:ind w:left="1080"/>
        <w:jc w:val="both"/>
        <w:rPr>
          <w:color w:val="auto"/>
        </w:rPr>
      </w:pPr>
    </w:p>
    <w:p w:rsidR="00134473" w:rsidRDefault="00EA4E46" w:rsidP="00134473">
      <w:pPr>
        <w:pStyle w:val="Default"/>
        <w:numPr>
          <w:ilvl w:val="0"/>
          <w:numId w:val="13"/>
        </w:numPr>
        <w:jc w:val="both"/>
        <w:rPr>
          <w:color w:val="auto"/>
        </w:rPr>
      </w:pPr>
      <w:r>
        <w:t xml:space="preserve">Que as Partes chegaram a um acordo </w:t>
      </w:r>
      <w:r w:rsidR="007E4377" w:rsidRPr="006E49B5">
        <w:t xml:space="preserve">sobre o marco inicial </w:t>
      </w:r>
      <w:r w:rsidR="009754F2">
        <w:t xml:space="preserve">para </w:t>
      </w:r>
      <w:r w:rsidR="00745F9E" w:rsidRPr="006E49B5">
        <w:t>o</w:t>
      </w:r>
      <w:r w:rsidR="00745F9E">
        <w:t xml:space="preserve"> novo Campo de </w:t>
      </w:r>
      <w:proofErr w:type="spellStart"/>
      <w:r w:rsidR="00745F9E">
        <w:t>Jubarte</w:t>
      </w:r>
      <w:proofErr w:type="spellEnd"/>
      <w:r w:rsidR="00745F9E">
        <w:t xml:space="preserve"> e demais Áreas de Desenvolvimento</w:t>
      </w:r>
      <w:r w:rsidR="00745F9E" w:rsidDel="00745F9E">
        <w:t xml:space="preserve"> </w:t>
      </w:r>
      <w:r w:rsidR="00745F9E">
        <w:t>do</w:t>
      </w:r>
      <w:r w:rsidR="009754F2">
        <w:t xml:space="preserve"> Parque das Baleias,</w:t>
      </w:r>
      <w:r w:rsidR="00FE5B6C">
        <w:t xml:space="preserve"> como sendo o 4º trimestre de 2016</w:t>
      </w:r>
      <w:r w:rsidR="004C2E9F">
        <w:t>;</w:t>
      </w:r>
    </w:p>
    <w:p w:rsidR="00134473" w:rsidRDefault="00134473" w:rsidP="00134473">
      <w:pPr>
        <w:pStyle w:val="PargrafodaLista"/>
      </w:pPr>
    </w:p>
    <w:p w:rsidR="004D3609" w:rsidRPr="00134473" w:rsidRDefault="004D3609" w:rsidP="00134473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C400A5">
        <w:t>Diante d</w:t>
      </w:r>
      <w:r w:rsidR="00240BB0">
        <w:t>e</w:t>
      </w:r>
      <w:r w:rsidRPr="00C400A5">
        <w:t>ss</w:t>
      </w:r>
      <w:r w:rsidR="00240BB0">
        <w:t>e panorama</w:t>
      </w:r>
      <w:r w:rsidRPr="00C400A5">
        <w:t xml:space="preserve">, as </w:t>
      </w:r>
      <w:r w:rsidR="008671E0">
        <w:t>P</w:t>
      </w:r>
      <w:r w:rsidRPr="00C400A5">
        <w:t xml:space="preserve">artes decidem celebrar o presente </w:t>
      </w:r>
      <w:r w:rsidR="00E16513" w:rsidRPr="00C400A5">
        <w:t xml:space="preserve">Acordo para </w:t>
      </w:r>
      <w:r w:rsidR="00756E82" w:rsidRPr="00C400A5">
        <w:t>e</w:t>
      </w:r>
      <w:r w:rsidR="00E16513" w:rsidRPr="00C400A5">
        <w:t xml:space="preserve">ncerramento de </w:t>
      </w:r>
      <w:r w:rsidR="00756E82" w:rsidRPr="00C400A5">
        <w:t>todos os Processos Judiciais</w:t>
      </w:r>
      <w:r w:rsidR="001E0B3B">
        <w:t xml:space="preserve">, Arbitrais </w:t>
      </w:r>
      <w:r w:rsidR="00756E82" w:rsidRPr="00C400A5">
        <w:t xml:space="preserve">e Administrativos </w:t>
      </w:r>
      <w:r w:rsidR="00375D4A" w:rsidRPr="00C400A5">
        <w:t>relacionados</w:t>
      </w:r>
      <w:r w:rsidR="007E0D33" w:rsidRPr="00C400A5">
        <w:t xml:space="preserve"> </w:t>
      </w:r>
      <w:r w:rsidR="00322DF5">
        <w:t xml:space="preserve">ao objeto deste Acordo, conforme listado na cláusula </w:t>
      </w:r>
      <w:r w:rsidR="008C56AB">
        <w:t>terceira</w:t>
      </w:r>
      <w:r w:rsidR="00322DF5">
        <w:t>.</w:t>
      </w:r>
      <w:r w:rsidR="00322DF5" w:rsidRPr="00C400A5">
        <w:t xml:space="preserve"> </w:t>
      </w:r>
    </w:p>
    <w:p w:rsidR="004D3609" w:rsidRDefault="004D3609" w:rsidP="004D3609">
      <w:pPr>
        <w:pStyle w:val="PargrafodaLista"/>
        <w:rPr>
          <w:rFonts w:ascii="Arial" w:hAnsi="Arial" w:cs="Arial"/>
          <w:highlight w:val="yellow"/>
        </w:rPr>
      </w:pPr>
    </w:p>
    <w:p w:rsidR="00A10243" w:rsidRDefault="00A10243" w:rsidP="004D3609">
      <w:pPr>
        <w:pStyle w:val="PargrafodaLista"/>
        <w:rPr>
          <w:rFonts w:ascii="Arial" w:hAnsi="Arial" w:cs="Arial"/>
          <w:highlight w:val="yellow"/>
        </w:rPr>
      </w:pPr>
    </w:p>
    <w:p w:rsidR="000E400A" w:rsidRDefault="005B211A" w:rsidP="00AC27E9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5E783B">
        <w:rPr>
          <w:rFonts w:ascii="Arial" w:hAnsi="Arial" w:cs="Arial"/>
          <w:b/>
          <w:sz w:val="24"/>
          <w:szCs w:val="24"/>
          <w:lang w:eastAsia="en-US"/>
        </w:rPr>
        <w:lastRenderedPageBreak/>
        <w:t>CLÁUSULA PRIMEIRA – DO OBJETO</w:t>
      </w:r>
      <w:r w:rsidR="003F69EE" w:rsidRPr="005E783B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:rsidR="00A96F15" w:rsidRDefault="004606C5" w:rsidP="00A96F15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 w:rsidRPr="00051045">
        <w:rPr>
          <w:rFonts w:ascii="Arial" w:hAnsi="Arial" w:cs="Arial"/>
        </w:rPr>
        <w:t>A fim de solucionar a</w:t>
      </w:r>
      <w:r w:rsidR="00A96F15">
        <w:rPr>
          <w:rFonts w:ascii="Arial" w:hAnsi="Arial" w:cs="Arial"/>
        </w:rPr>
        <w:t xml:space="preserve"> presente</w:t>
      </w:r>
      <w:r w:rsidRPr="00051045">
        <w:rPr>
          <w:rFonts w:ascii="Arial" w:hAnsi="Arial" w:cs="Arial"/>
        </w:rPr>
        <w:t xml:space="preserve"> controvérsia, a</w:t>
      </w:r>
      <w:r w:rsidR="00D5771E">
        <w:rPr>
          <w:rFonts w:ascii="Arial" w:hAnsi="Arial" w:cs="Arial"/>
        </w:rPr>
        <w:t>s P</w:t>
      </w:r>
      <w:r w:rsidR="003F69EE" w:rsidRPr="00051045">
        <w:rPr>
          <w:rFonts w:ascii="Arial" w:hAnsi="Arial" w:cs="Arial"/>
        </w:rPr>
        <w:t xml:space="preserve">artes </w:t>
      </w:r>
      <w:r w:rsidR="006E678B">
        <w:rPr>
          <w:rFonts w:ascii="Arial" w:hAnsi="Arial" w:cs="Arial"/>
        </w:rPr>
        <w:t>acordam que</w:t>
      </w:r>
      <w:r w:rsidR="00A96F15">
        <w:rPr>
          <w:rFonts w:ascii="Arial" w:hAnsi="Arial" w:cs="Arial"/>
        </w:rPr>
        <w:t>:</w:t>
      </w:r>
    </w:p>
    <w:p w:rsidR="00A96F15" w:rsidRDefault="00A96F15" w:rsidP="00A96F15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880F1B" w:rsidRDefault="008C21AB" w:rsidP="00F77FDF">
      <w:pPr>
        <w:pStyle w:val="Default"/>
        <w:jc w:val="both"/>
      </w:pPr>
      <w:r>
        <w:t xml:space="preserve">1.1. </w:t>
      </w:r>
      <w:r w:rsidR="00880F1B">
        <w:t xml:space="preserve">O </w:t>
      </w:r>
      <w:r w:rsidR="00880F1B" w:rsidRPr="006E49B5">
        <w:t xml:space="preserve">novo contorno do Campo de </w:t>
      </w:r>
      <w:proofErr w:type="spellStart"/>
      <w:r w:rsidR="00880F1B" w:rsidRPr="006E49B5">
        <w:t>Jubarte</w:t>
      </w:r>
      <w:proofErr w:type="spellEnd"/>
      <w:r w:rsidR="00880F1B">
        <w:t xml:space="preserve"> (doravante denominado “</w:t>
      </w:r>
      <w:r>
        <w:t xml:space="preserve">Novo </w:t>
      </w:r>
      <w:r w:rsidR="00880F1B">
        <w:t xml:space="preserve">Campo de </w:t>
      </w:r>
      <w:proofErr w:type="spellStart"/>
      <w:r w:rsidR="00880F1B">
        <w:t>Jubarte</w:t>
      </w:r>
      <w:proofErr w:type="spellEnd"/>
      <w:r w:rsidR="00880F1B">
        <w:t>”)</w:t>
      </w:r>
      <w:r w:rsidR="00880F1B" w:rsidRPr="006E49B5">
        <w:t xml:space="preserve"> </w:t>
      </w:r>
      <w:r w:rsidR="00880F1B">
        <w:t xml:space="preserve">considera: (a) a constatação superveniente </w:t>
      </w:r>
      <w:r w:rsidR="009952A2">
        <w:t>da zona de produção</w:t>
      </w:r>
      <w:r w:rsidR="00880F1B">
        <w:t xml:space="preserve"> MCB/COQ-ESS103A que se estende </w:t>
      </w:r>
      <w:r w:rsidR="00AD0653">
        <w:t>pelas áreas</w:t>
      </w:r>
      <w:r w:rsidR="00880F1B">
        <w:t xml:space="preserve"> de </w:t>
      </w:r>
      <w:proofErr w:type="spellStart"/>
      <w:r w:rsidR="00880F1B">
        <w:t>Jubarte</w:t>
      </w:r>
      <w:proofErr w:type="spellEnd"/>
      <w:r w:rsidR="00880F1B">
        <w:t xml:space="preserve">, Baleia Azul, Baleia Franca, </w:t>
      </w:r>
      <w:r w:rsidR="00880F1B" w:rsidRPr="009952A2">
        <w:t>Cachalote</w:t>
      </w:r>
      <w:r w:rsidR="00E91362" w:rsidRPr="009952A2">
        <w:t xml:space="preserve">, </w:t>
      </w:r>
      <w:r w:rsidR="000B3FDB" w:rsidRPr="009952A2">
        <w:t xml:space="preserve">Mangangá </w:t>
      </w:r>
      <w:r w:rsidR="00880F1B" w:rsidRPr="009952A2">
        <w:t>e</w:t>
      </w:r>
      <w:r w:rsidR="00880F1B">
        <w:t xml:space="preserve"> </w:t>
      </w:r>
      <w:proofErr w:type="spellStart"/>
      <w:r w:rsidR="00880F1B">
        <w:t>Pirambu</w:t>
      </w:r>
      <w:proofErr w:type="spellEnd"/>
      <w:r w:rsidR="009952A2">
        <w:t xml:space="preserve"> e da zona de produção MCB/COQ-PRB1 que se estende </w:t>
      </w:r>
      <w:r w:rsidR="00AD0653">
        <w:t>pelas áreas</w:t>
      </w:r>
      <w:r w:rsidR="009952A2">
        <w:t xml:space="preserve"> de Caxaréu e </w:t>
      </w:r>
      <w:proofErr w:type="spellStart"/>
      <w:r w:rsidR="009952A2">
        <w:t>Pirambu</w:t>
      </w:r>
      <w:proofErr w:type="spellEnd"/>
      <w:r w:rsidR="00880F1B">
        <w:t xml:space="preserve">; e (b) a sobreposição pela zona CO140-ESS116 </w:t>
      </w:r>
      <w:r w:rsidR="00AD0653">
        <w:t>nas áreas</w:t>
      </w:r>
      <w:r w:rsidR="00880F1B">
        <w:t xml:space="preserve"> de </w:t>
      </w:r>
      <w:proofErr w:type="spellStart"/>
      <w:r w:rsidR="00880F1B">
        <w:t>Jubarte</w:t>
      </w:r>
      <w:proofErr w:type="spellEnd"/>
      <w:r w:rsidR="00880F1B">
        <w:t xml:space="preserve">, Cachalote e Baleia Franca. </w:t>
      </w:r>
    </w:p>
    <w:p w:rsidR="00880F1B" w:rsidRDefault="00880F1B" w:rsidP="00F77FDF">
      <w:pPr>
        <w:pStyle w:val="Default"/>
        <w:jc w:val="both"/>
      </w:pPr>
    </w:p>
    <w:p w:rsidR="004D6C16" w:rsidRPr="00E12665" w:rsidRDefault="00880F1B" w:rsidP="00F77FDF">
      <w:pPr>
        <w:pStyle w:val="Default"/>
        <w:jc w:val="both"/>
        <w:rPr>
          <w:color w:val="auto"/>
        </w:rPr>
      </w:pPr>
      <w:r w:rsidRPr="009952A2">
        <w:t xml:space="preserve">1.2. Os novos contornos </w:t>
      </w:r>
      <w:r w:rsidR="00AD0653">
        <w:t>das Áreas de Desenvolvimento</w:t>
      </w:r>
      <w:r w:rsidRPr="009952A2">
        <w:t xml:space="preserve"> de Baleia Anã </w:t>
      </w:r>
      <w:r w:rsidR="00455A63" w:rsidRPr="009952A2">
        <w:t xml:space="preserve">e áreas remanescentes </w:t>
      </w:r>
      <w:r w:rsidR="000B3FDB" w:rsidRPr="009952A2">
        <w:t xml:space="preserve">de </w:t>
      </w:r>
      <w:r w:rsidR="00E95CF1" w:rsidRPr="009952A2">
        <w:t xml:space="preserve">Mangangá, </w:t>
      </w:r>
      <w:r w:rsidR="000B3FDB" w:rsidRPr="009952A2">
        <w:t>Caxaréu</w:t>
      </w:r>
      <w:r w:rsidR="00E91362" w:rsidRPr="009952A2">
        <w:t xml:space="preserve">, </w:t>
      </w:r>
      <w:proofErr w:type="spellStart"/>
      <w:r w:rsidR="00455A63" w:rsidRPr="009952A2">
        <w:t>Pirambu</w:t>
      </w:r>
      <w:proofErr w:type="spellEnd"/>
      <w:r w:rsidR="00455A63" w:rsidRPr="009952A2">
        <w:t xml:space="preserve"> </w:t>
      </w:r>
      <w:r w:rsidRPr="009952A2">
        <w:t>e Cachalote</w:t>
      </w:r>
      <w:r w:rsidR="007879D3" w:rsidRPr="009952A2">
        <w:t xml:space="preserve">, </w:t>
      </w:r>
      <w:r w:rsidR="00B77A73" w:rsidRPr="009952A2">
        <w:t>não foram</w:t>
      </w:r>
      <w:r w:rsidR="000B3FDB" w:rsidRPr="009952A2">
        <w:t xml:space="preserve"> unificados no âmbito </w:t>
      </w:r>
      <w:r w:rsidR="000B3FDB" w:rsidRPr="00E12665">
        <w:rPr>
          <w:color w:val="auto"/>
        </w:rPr>
        <w:t>de</w:t>
      </w:r>
      <w:r w:rsidR="00B77A73" w:rsidRPr="00E12665">
        <w:rPr>
          <w:color w:val="auto"/>
        </w:rPr>
        <w:t>sse</w:t>
      </w:r>
      <w:r w:rsidR="000B3FDB" w:rsidRPr="00E12665">
        <w:rPr>
          <w:color w:val="auto"/>
        </w:rPr>
        <w:t xml:space="preserve"> Acordo</w:t>
      </w:r>
      <w:r w:rsidR="009952A2" w:rsidRPr="00E12665">
        <w:rPr>
          <w:color w:val="auto"/>
        </w:rPr>
        <w:t>, por não se enquadrarem nas premissas adotadas no item 1.1.</w:t>
      </w:r>
    </w:p>
    <w:p w:rsidR="004D6C16" w:rsidRDefault="004D6C16" w:rsidP="00F77FDF">
      <w:pPr>
        <w:pStyle w:val="Default"/>
        <w:jc w:val="both"/>
      </w:pPr>
    </w:p>
    <w:p w:rsidR="00880F1B" w:rsidRDefault="004D6C16" w:rsidP="00F77FDF">
      <w:pPr>
        <w:pStyle w:val="Default"/>
        <w:jc w:val="both"/>
      </w:pPr>
      <w:r>
        <w:t>1.2.1</w:t>
      </w:r>
      <w:r w:rsidR="0028691A">
        <w:t>.</w:t>
      </w:r>
      <w:r w:rsidR="00455A63">
        <w:t xml:space="preserve"> </w:t>
      </w:r>
      <w:r>
        <w:t>A Petrobras deverá apresentar a</w:t>
      </w:r>
      <w:r w:rsidR="00455A63">
        <w:t xml:space="preserve"> revisão dos Planos de Desenvolvimento</w:t>
      </w:r>
      <w:r>
        <w:t xml:space="preserve"> das </w:t>
      </w:r>
      <w:r w:rsidR="00AD0653">
        <w:t>Áreas de Desenvolvimento</w:t>
      </w:r>
      <w:r>
        <w:t xml:space="preserve"> </w:t>
      </w:r>
      <w:r w:rsidRPr="00B857F4">
        <w:t xml:space="preserve">mencionadas no item </w:t>
      </w:r>
      <w:r w:rsidR="000B3FDB" w:rsidRPr="000B3FDB">
        <w:rPr>
          <w:color w:val="auto"/>
        </w:rPr>
        <w:t>anterior até dezembro de 2019 ou</w:t>
      </w:r>
      <w:r w:rsidRPr="00B857F4">
        <w:t xml:space="preserve"> conjuntame</w:t>
      </w:r>
      <w:r>
        <w:t>nte com os respectivos Acordos de Individualização da Produção</w:t>
      </w:r>
      <w:r w:rsidR="00DE49DD">
        <w:t>,</w:t>
      </w:r>
      <w:r>
        <w:t xml:space="preserve"> conforme o caso</w:t>
      </w:r>
      <w:r w:rsidR="00880F1B">
        <w:t>.</w:t>
      </w:r>
    </w:p>
    <w:p w:rsidR="00880F1B" w:rsidRDefault="00880F1B" w:rsidP="00F77FDF">
      <w:pPr>
        <w:pStyle w:val="Default"/>
        <w:jc w:val="both"/>
      </w:pPr>
    </w:p>
    <w:p w:rsidR="008C21AB" w:rsidRPr="007170F7" w:rsidRDefault="008C21AB" w:rsidP="008C21AB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1.2.</w:t>
      </w:r>
      <w:r w:rsidR="0028691A">
        <w:rPr>
          <w:rFonts w:ascii="Arial" w:hAnsi="Arial" w:cs="Arial"/>
        </w:rPr>
        <w:t>2</w:t>
      </w:r>
      <w:r>
        <w:rPr>
          <w:rFonts w:ascii="Arial" w:hAnsi="Arial" w:cs="Arial"/>
        </w:rPr>
        <w:t>. O Campo</w:t>
      </w:r>
      <w:r w:rsidR="00AD0653">
        <w:rPr>
          <w:rFonts w:ascii="Arial" w:hAnsi="Arial" w:cs="Arial"/>
        </w:rPr>
        <w:t xml:space="preserve"> de </w:t>
      </w:r>
      <w:proofErr w:type="spellStart"/>
      <w:r w:rsidR="00AD0653">
        <w:rPr>
          <w:rFonts w:ascii="Arial" w:hAnsi="Arial" w:cs="Arial"/>
        </w:rPr>
        <w:t>Jubarte</w:t>
      </w:r>
      <w:proofErr w:type="spellEnd"/>
      <w:r w:rsidR="00AD0653">
        <w:rPr>
          <w:rFonts w:ascii="Arial" w:hAnsi="Arial" w:cs="Arial"/>
        </w:rPr>
        <w:t xml:space="preserve"> e as Áreas de Desenvolvimento</w:t>
      </w:r>
      <w:r>
        <w:rPr>
          <w:rFonts w:ascii="Arial" w:hAnsi="Arial" w:cs="Arial"/>
        </w:rPr>
        <w:t xml:space="preserve"> do Parque das Baleias terão as coordenadas conforme detalhado no </w:t>
      </w:r>
      <w:r w:rsidRPr="0020770C">
        <w:rPr>
          <w:rFonts w:ascii="Arial" w:hAnsi="Arial" w:cs="Arial"/>
          <w:b/>
        </w:rPr>
        <w:t>Anexo 1</w:t>
      </w:r>
      <w:r>
        <w:rPr>
          <w:rFonts w:ascii="Arial" w:hAnsi="Arial" w:cs="Arial"/>
        </w:rPr>
        <w:t>.</w:t>
      </w:r>
    </w:p>
    <w:p w:rsidR="008C21AB" w:rsidRDefault="008C21AB" w:rsidP="00F77FDF">
      <w:pPr>
        <w:pStyle w:val="Default"/>
        <w:jc w:val="both"/>
      </w:pPr>
    </w:p>
    <w:p w:rsidR="00A16861" w:rsidRDefault="00880F1B" w:rsidP="00F77FDF">
      <w:pPr>
        <w:pStyle w:val="Default"/>
        <w:jc w:val="both"/>
      </w:pPr>
      <w:r>
        <w:t xml:space="preserve">1.3. </w:t>
      </w:r>
      <w:r w:rsidR="00432DC4" w:rsidRPr="007F2ECB">
        <w:t>À luz da convergência técnica</w:t>
      </w:r>
      <w:r w:rsidR="000E6C86">
        <w:t xml:space="preserve"> e</w:t>
      </w:r>
      <w:r w:rsidR="00A16861">
        <w:t xml:space="preserve"> considerando a </w:t>
      </w:r>
      <w:r w:rsidR="00A16861" w:rsidRPr="00935A2A">
        <w:t xml:space="preserve">conclusão da </w:t>
      </w:r>
      <w:r w:rsidR="005635FF">
        <w:t>E</w:t>
      </w:r>
      <w:r w:rsidR="00A16861">
        <w:t>tapa</w:t>
      </w:r>
      <w:r w:rsidR="00A16861" w:rsidRPr="00935A2A">
        <w:t xml:space="preserve"> de </w:t>
      </w:r>
      <w:r w:rsidR="005635FF">
        <w:t>D</w:t>
      </w:r>
      <w:r w:rsidR="00A16861" w:rsidRPr="00E962FA">
        <w:t>esenvolvimento</w:t>
      </w:r>
      <w:r w:rsidR="00A16861" w:rsidRPr="00F77FDF">
        <w:t xml:space="preserve"> </w:t>
      </w:r>
      <w:r w:rsidR="005635FF">
        <w:t xml:space="preserve">do Parque das Baleias, com </w:t>
      </w:r>
      <w:r w:rsidR="00A16861" w:rsidRPr="00F77FDF">
        <w:t>a interligação</w:t>
      </w:r>
      <w:r w:rsidR="00A16861" w:rsidRPr="00935A2A">
        <w:t xml:space="preserve"> do poço 7-JUB-49-ESS na P-58</w:t>
      </w:r>
      <w:r w:rsidR="00A16861">
        <w:t>,</w:t>
      </w:r>
      <w:r w:rsidR="007F2ECB">
        <w:t xml:space="preserve"> as Partes entendem que </w:t>
      </w:r>
      <w:r w:rsidR="00A16861">
        <w:t xml:space="preserve">a partir </w:t>
      </w:r>
      <w:r w:rsidR="00A16861" w:rsidRPr="000901EA">
        <w:t xml:space="preserve">de </w:t>
      </w:r>
      <w:r w:rsidR="00A16861" w:rsidRPr="00B919DA">
        <w:t>01/</w:t>
      </w:r>
      <w:r w:rsidR="00A16861" w:rsidRPr="000901EA">
        <w:t>10</w:t>
      </w:r>
      <w:r w:rsidR="00A16861">
        <w:t xml:space="preserve">/2016 </w:t>
      </w:r>
      <w:r w:rsidR="007C1292">
        <w:t xml:space="preserve">passam a vigorar os novos contornos </w:t>
      </w:r>
      <w:r w:rsidR="00AD0653">
        <w:t xml:space="preserve">do Campo de </w:t>
      </w:r>
      <w:proofErr w:type="spellStart"/>
      <w:r w:rsidR="00AD0653">
        <w:t>Jubarte</w:t>
      </w:r>
      <w:proofErr w:type="spellEnd"/>
      <w:r w:rsidR="00AD0653">
        <w:t xml:space="preserve"> e das Áreas de Desenvolvimento</w:t>
      </w:r>
      <w:r w:rsidR="006D0A2B">
        <w:t xml:space="preserve"> e a</w:t>
      </w:r>
      <w:r w:rsidR="00A16861">
        <w:t xml:space="preserve"> consequente </w:t>
      </w:r>
      <w:r w:rsidR="00530404">
        <w:t xml:space="preserve">diferença </w:t>
      </w:r>
      <w:r w:rsidR="00E65C06">
        <w:t xml:space="preserve">de </w:t>
      </w:r>
      <w:r w:rsidR="00A16861">
        <w:t>pagamento de Participação Especial.</w:t>
      </w:r>
    </w:p>
    <w:p w:rsidR="00A16861" w:rsidRDefault="00A16861" w:rsidP="00F77FDF">
      <w:pPr>
        <w:pStyle w:val="Default"/>
        <w:jc w:val="both"/>
      </w:pPr>
    </w:p>
    <w:p w:rsidR="009E0C3F" w:rsidRDefault="00622F86" w:rsidP="00F77FD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1.4.</w:t>
      </w:r>
      <w:r w:rsidR="00A96F15">
        <w:rPr>
          <w:rFonts w:ascii="Arial" w:hAnsi="Arial" w:cs="Arial"/>
        </w:rPr>
        <w:t xml:space="preserve"> </w:t>
      </w:r>
      <w:r w:rsidR="001512DD">
        <w:rPr>
          <w:rFonts w:ascii="Arial" w:hAnsi="Arial" w:cs="Arial"/>
        </w:rPr>
        <w:t xml:space="preserve">A </w:t>
      </w:r>
      <w:r w:rsidR="00C40F17">
        <w:rPr>
          <w:rFonts w:ascii="Arial" w:hAnsi="Arial" w:cs="Arial"/>
        </w:rPr>
        <w:t xml:space="preserve">ANP </w:t>
      </w:r>
      <w:r w:rsidR="002D7B3C">
        <w:rPr>
          <w:rFonts w:ascii="Arial" w:hAnsi="Arial" w:cs="Arial"/>
        </w:rPr>
        <w:t xml:space="preserve">se compromete a prorrogar </w:t>
      </w:r>
      <w:r w:rsidR="00D639E6">
        <w:rPr>
          <w:rFonts w:ascii="Arial" w:hAnsi="Arial" w:cs="Arial"/>
        </w:rPr>
        <w:t xml:space="preserve">a Fase de Produção do </w:t>
      </w:r>
      <w:r>
        <w:rPr>
          <w:rFonts w:ascii="Arial" w:hAnsi="Arial" w:cs="Arial"/>
        </w:rPr>
        <w:t xml:space="preserve">Novo </w:t>
      </w:r>
      <w:r w:rsidR="00D639E6">
        <w:rPr>
          <w:rFonts w:ascii="Arial" w:hAnsi="Arial" w:cs="Arial"/>
        </w:rPr>
        <w:t xml:space="preserve">Campo </w:t>
      </w:r>
      <w:r w:rsidR="00C40F17">
        <w:rPr>
          <w:rFonts w:ascii="Arial" w:hAnsi="Arial" w:cs="Arial"/>
        </w:rPr>
        <w:t xml:space="preserve">de </w:t>
      </w:r>
      <w:proofErr w:type="spellStart"/>
      <w:r w:rsidR="00C40F17">
        <w:rPr>
          <w:rFonts w:ascii="Arial" w:hAnsi="Arial" w:cs="Arial"/>
        </w:rPr>
        <w:t>Jubarte</w:t>
      </w:r>
      <w:proofErr w:type="spellEnd"/>
      <w:r w:rsidR="00BA7539">
        <w:rPr>
          <w:rFonts w:ascii="Arial" w:hAnsi="Arial" w:cs="Arial"/>
        </w:rPr>
        <w:t xml:space="preserve"> </w:t>
      </w:r>
      <w:r w:rsidR="004E20E2">
        <w:rPr>
          <w:rFonts w:ascii="Arial" w:hAnsi="Arial" w:cs="Arial"/>
        </w:rPr>
        <w:t xml:space="preserve">por 27 anos, a contar de </w:t>
      </w:r>
      <w:r>
        <w:rPr>
          <w:rFonts w:ascii="Arial" w:hAnsi="Arial" w:cs="Arial"/>
        </w:rPr>
        <w:t>11/12/2029</w:t>
      </w:r>
      <w:r w:rsidR="002D7B3C">
        <w:rPr>
          <w:rFonts w:ascii="Arial" w:hAnsi="Arial" w:cs="Arial"/>
        </w:rPr>
        <w:t xml:space="preserve">, considerando que a PETROBRAS implantará o Projeto Integrado do Parque das Baleias, conforme Relatório Técnico Econômico (RTE) enviado por meio da </w:t>
      </w:r>
      <w:r w:rsidR="002D7B3C" w:rsidRPr="00416437">
        <w:rPr>
          <w:rFonts w:ascii="Arial" w:hAnsi="Arial" w:cs="Arial"/>
        </w:rPr>
        <w:t xml:space="preserve">Carta </w:t>
      </w:r>
      <w:r w:rsidR="000B3FDB" w:rsidRPr="000B3FDB">
        <w:rPr>
          <w:rFonts w:ascii="Arial" w:hAnsi="Arial" w:cs="Arial"/>
        </w:rPr>
        <w:t>UO-ES 320/2018</w:t>
      </w:r>
      <w:r w:rsidR="008F2877">
        <w:rPr>
          <w:rFonts w:ascii="Arial" w:hAnsi="Arial" w:cs="Arial"/>
        </w:rPr>
        <w:t>, enviada em 05/11/2018</w:t>
      </w:r>
      <w:r w:rsidR="008E68AB">
        <w:rPr>
          <w:rFonts w:ascii="Arial" w:hAnsi="Arial" w:cs="Arial"/>
        </w:rPr>
        <w:t>.</w:t>
      </w:r>
    </w:p>
    <w:p w:rsidR="009E0C3F" w:rsidRDefault="009E0C3F" w:rsidP="009E0C3F">
      <w:pPr>
        <w:pStyle w:val="PargrafodaLista"/>
        <w:rPr>
          <w:rFonts w:ascii="Arial" w:hAnsi="Arial" w:cs="Arial"/>
        </w:rPr>
      </w:pPr>
    </w:p>
    <w:p w:rsidR="00947BAA" w:rsidRDefault="00DF638C" w:rsidP="00F77FD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1.4.1. </w:t>
      </w:r>
      <w:r w:rsidR="00947BAA">
        <w:rPr>
          <w:rFonts w:ascii="Arial" w:hAnsi="Arial" w:cs="Arial"/>
        </w:rPr>
        <w:t>A PETROBRAS se compromete a realizar os investimentos,</w:t>
      </w:r>
      <w:r w:rsidR="00324EEB">
        <w:rPr>
          <w:rFonts w:ascii="Arial" w:hAnsi="Arial" w:cs="Arial"/>
        </w:rPr>
        <w:t xml:space="preserve"> de acordo com seu </w:t>
      </w:r>
      <w:r w:rsidR="001512DD">
        <w:rPr>
          <w:rFonts w:ascii="Arial" w:hAnsi="Arial" w:cs="Arial"/>
        </w:rPr>
        <w:t>P</w:t>
      </w:r>
      <w:r w:rsidR="00324EEB">
        <w:rPr>
          <w:rFonts w:ascii="Arial" w:hAnsi="Arial" w:cs="Arial"/>
        </w:rPr>
        <w:t xml:space="preserve">lano de </w:t>
      </w:r>
      <w:r w:rsidR="001512DD">
        <w:rPr>
          <w:rFonts w:ascii="Arial" w:hAnsi="Arial" w:cs="Arial"/>
        </w:rPr>
        <w:t>D</w:t>
      </w:r>
      <w:r w:rsidR="00324EEB">
        <w:rPr>
          <w:rFonts w:ascii="Arial" w:hAnsi="Arial" w:cs="Arial"/>
        </w:rPr>
        <w:t>esenvolvimento,</w:t>
      </w:r>
      <w:r w:rsidR="00947BAA">
        <w:rPr>
          <w:rFonts w:ascii="Arial" w:hAnsi="Arial" w:cs="Arial"/>
        </w:rPr>
        <w:t xml:space="preserve"> a</w:t>
      </w:r>
      <w:r w:rsidR="005A0009">
        <w:rPr>
          <w:rFonts w:ascii="Arial" w:hAnsi="Arial" w:cs="Arial"/>
        </w:rPr>
        <w:t>o tempo da assinatura deste Acordo</w:t>
      </w:r>
      <w:r w:rsidR="00947BAA">
        <w:rPr>
          <w:rFonts w:ascii="Arial" w:hAnsi="Arial" w:cs="Arial"/>
        </w:rPr>
        <w:t xml:space="preserve"> para dar cumprimento a prorrogação da Fase de Produção que está relatada nesta cláusula.</w:t>
      </w:r>
    </w:p>
    <w:p w:rsidR="00947BAA" w:rsidRDefault="00947BAA" w:rsidP="00947BAA">
      <w:pPr>
        <w:pStyle w:val="PargrafodaLista"/>
        <w:rPr>
          <w:rFonts w:ascii="Arial" w:hAnsi="Arial" w:cs="Arial"/>
        </w:rPr>
      </w:pPr>
    </w:p>
    <w:p w:rsidR="004C2E9F" w:rsidRDefault="004C2E9F" w:rsidP="00F77FD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8E68AB" w:rsidRPr="009E0C3F" w:rsidRDefault="008E68AB" w:rsidP="00F77FD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467F41" w:rsidRDefault="00467F41" w:rsidP="005E783B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28691A" w:rsidRDefault="0028691A" w:rsidP="005E783B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4931D5" w:rsidRDefault="004931D5" w:rsidP="004931D5">
      <w:pPr>
        <w:pStyle w:val="PargrafodaLista"/>
        <w:rPr>
          <w:rFonts w:ascii="Arial" w:hAnsi="Arial" w:cs="Arial"/>
          <w:b/>
        </w:rPr>
      </w:pPr>
    </w:p>
    <w:p w:rsidR="004931D5" w:rsidRPr="00116BA7" w:rsidRDefault="005E783B" w:rsidP="00CA5728">
      <w:pPr>
        <w:pStyle w:val="PargrafodaLista"/>
        <w:ind w:left="0"/>
        <w:jc w:val="both"/>
        <w:rPr>
          <w:rFonts w:ascii="Arial" w:hAnsi="Arial" w:cs="Arial"/>
          <w:b/>
          <w:color w:val="FF0000"/>
        </w:rPr>
      </w:pPr>
      <w:r w:rsidRPr="005E783B">
        <w:rPr>
          <w:rFonts w:ascii="Arial" w:hAnsi="Arial" w:cs="Arial"/>
          <w:b/>
        </w:rPr>
        <w:t>CLÁUSULA SEGUNDA – DO PAGAMENTO</w:t>
      </w:r>
      <w:r w:rsidR="00116BA7">
        <w:rPr>
          <w:rFonts w:ascii="Arial" w:hAnsi="Arial" w:cs="Arial"/>
          <w:b/>
        </w:rPr>
        <w:t xml:space="preserve"> </w:t>
      </w:r>
    </w:p>
    <w:p w:rsidR="00BA7539" w:rsidRDefault="00BA7539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17007B" w:rsidRDefault="00BA7539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 </w:t>
      </w:r>
      <w:r w:rsidR="00A40CCD">
        <w:rPr>
          <w:rFonts w:ascii="Arial" w:hAnsi="Arial" w:cs="Arial"/>
        </w:rPr>
        <w:t xml:space="preserve">A diferença </w:t>
      </w:r>
      <w:r w:rsidR="00D54039" w:rsidRPr="008666AF">
        <w:rPr>
          <w:rFonts w:ascii="Arial" w:hAnsi="Arial" w:cs="Arial"/>
        </w:rPr>
        <w:t xml:space="preserve">de participação especial calculada para o período compreendido entre o </w:t>
      </w:r>
      <w:r w:rsidR="00D54039">
        <w:rPr>
          <w:rFonts w:ascii="Arial" w:hAnsi="Arial" w:cs="Arial"/>
        </w:rPr>
        <w:t>4</w:t>
      </w:r>
      <w:r w:rsidR="00D54039" w:rsidRPr="008666AF">
        <w:rPr>
          <w:rFonts w:ascii="Arial" w:hAnsi="Arial" w:cs="Arial"/>
        </w:rPr>
        <w:t>º trimestre de 201</w:t>
      </w:r>
      <w:r w:rsidR="00D54039">
        <w:rPr>
          <w:rFonts w:ascii="Arial" w:hAnsi="Arial" w:cs="Arial"/>
        </w:rPr>
        <w:t>6</w:t>
      </w:r>
      <w:r w:rsidR="00D54039" w:rsidRPr="008666AF">
        <w:rPr>
          <w:rFonts w:ascii="Arial" w:hAnsi="Arial" w:cs="Arial"/>
        </w:rPr>
        <w:t xml:space="preserve"> </w:t>
      </w:r>
      <w:r w:rsidR="00D54039" w:rsidRPr="00416437">
        <w:rPr>
          <w:rFonts w:ascii="Arial" w:hAnsi="Arial" w:cs="Arial"/>
        </w:rPr>
        <w:t>e o 3º trimestre de 2018</w:t>
      </w:r>
      <w:r w:rsidR="00D54039" w:rsidRPr="00D109F3">
        <w:rPr>
          <w:rFonts w:ascii="Arial" w:hAnsi="Arial" w:cs="Arial"/>
        </w:rPr>
        <w:t>,</w:t>
      </w:r>
      <w:r w:rsidR="00D54039">
        <w:rPr>
          <w:rFonts w:ascii="Arial" w:hAnsi="Arial" w:cs="Arial"/>
        </w:rPr>
        <w:t xml:space="preserve"> </w:t>
      </w:r>
      <w:r w:rsidR="00A91229" w:rsidRPr="00D109F3">
        <w:rPr>
          <w:rFonts w:ascii="Arial" w:hAnsi="Arial" w:cs="Arial"/>
        </w:rPr>
        <w:t xml:space="preserve">importa na </w:t>
      </w:r>
      <w:r w:rsidR="00A91229" w:rsidRPr="00E12665">
        <w:rPr>
          <w:rFonts w:ascii="Arial" w:hAnsi="Arial" w:cs="Arial"/>
        </w:rPr>
        <w:t xml:space="preserve">quantia </w:t>
      </w:r>
      <w:r w:rsidR="006D450F" w:rsidRPr="00E12665">
        <w:rPr>
          <w:rFonts w:ascii="Arial" w:hAnsi="Arial" w:cs="Arial"/>
        </w:rPr>
        <w:t xml:space="preserve">total e </w:t>
      </w:r>
      <w:r w:rsidR="00A91229" w:rsidRPr="00E12665">
        <w:rPr>
          <w:rFonts w:ascii="Arial" w:hAnsi="Arial" w:cs="Arial"/>
        </w:rPr>
        <w:lastRenderedPageBreak/>
        <w:t xml:space="preserve">certa de </w:t>
      </w:r>
      <w:r w:rsidR="000B3FDB" w:rsidRPr="00E12665">
        <w:rPr>
          <w:rFonts w:ascii="Arial" w:hAnsi="Arial" w:cs="Arial"/>
        </w:rPr>
        <w:t>R$ XXXX (XXX reais)</w:t>
      </w:r>
      <w:r w:rsidR="00E64FB4" w:rsidRPr="00E12665">
        <w:rPr>
          <w:rFonts w:ascii="Arial" w:hAnsi="Arial" w:cs="Arial"/>
        </w:rPr>
        <w:t xml:space="preserve">, </w:t>
      </w:r>
      <w:r w:rsidR="00CB1DAB" w:rsidRPr="00E12665">
        <w:rPr>
          <w:rFonts w:ascii="Arial" w:hAnsi="Arial" w:cs="Arial"/>
        </w:rPr>
        <w:t xml:space="preserve">já atualizado pelo IPCA-E </w:t>
      </w:r>
      <w:r w:rsidR="000B3FDB" w:rsidRPr="00E12665">
        <w:rPr>
          <w:rFonts w:ascii="Arial" w:hAnsi="Arial" w:cs="Arial"/>
        </w:rPr>
        <w:t>até</w:t>
      </w:r>
      <w:r w:rsidR="000B3FDB" w:rsidRPr="0090282F">
        <w:rPr>
          <w:rFonts w:ascii="Arial" w:hAnsi="Arial" w:cs="Arial"/>
        </w:rPr>
        <w:t xml:space="preserve"> </w:t>
      </w:r>
      <w:r w:rsidR="0090282F" w:rsidRPr="0090282F">
        <w:rPr>
          <w:rFonts w:ascii="Arial" w:hAnsi="Arial" w:cs="Arial"/>
        </w:rPr>
        <w:t>31/10/2018</w:t>
      </w:r>
      <w:r w:rsidR="00E57D54" w:rsidRPr="0090282F">
        <w:rPr>
          <w:rFonts w:ascii="Arial" w:hAnsi="Arial" w:cs="Arial"/>
        </w:rPr>
        <w:t>,</w:t>
      </w:r>
      <w:r w:rsidR="00E57D54">
        <w:rPr>
          <w:rFonts w:ascii="Arial" w:hAnsi="Arial" w:cs="Arial"/>
        </w:rPr>
        <w:t xml:space="preserve"> dispensada a incidência de qualquer encargo moratório,</w:t>
      </w:r>
      <w:r w:rsidR="00CB1DAB">
        <w:rPr>
          <w:rFonts w:ascii="Arial" w:hAnsi="Arial" w:cs="Arial"/>
        </w:rPr>
        <w:t xml:space="preserve"> </w:t>
      </w:r>
      <w:r w:rsidR="00C739EA">
        <w:rPr>
          <w:rFonts w:ascii="Arial" w:hAnsi="Arial" w:cs="Arial"/>
        </w:rPr>
        <w:t>a ser quitado da seguinte forma:</w:t>
      </w:r>
    </w:p>
    <w:p w:rsidR="00A40CCD" w:rsidRDefault="00A40CCD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C739EA" w:rsidRDefault="00C739EA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E12665">
        <w:rPr>
          <w:rFonts w:ascii="Arial" w:hAnsi="Arial" w:cs="Arial"/>
        </w:rPr>
        <w:t>2.1.1</w:t>
      </w:r>
      <w:r w:rsidR="0028691A">
        <w:rPr>
          <w:rFonts w:ascii="Arial" w:hAnsi="Arial" w:cs="Arial"/>
        </w:rPr>
        <w:t>.</w:t>
      </w:r>
      <w:r w:rsidRPr="00E12665">
        <w:rPr>
          <w:rFonts w:ascii="Arial" w:hAnsi="Arial" w:cs="Arial"/>
        </w:rPr>
        <w:t xml:space="preserve"> Um pagamento à vista no montante de </w:t>
      </w:r>
      <w:r w:rsidR="000B3FDB" w:rsidRPr="00E12665">
        <w:rPr>
          <w:rFonts w:ascii="Arial" w:hAnsi="Arial" w:cs="Arial"/>
        </w:rPr>
        <w:t>R$ XXX (XXX reais)</w:t>
      </w:r>
      <w:r w:rsidRPr="00E12665">
        <w:rPr>
          <w:rFonts w:ascii="Arial" w:hAnsi="Arial" w:cs="Arial"/>
        </w:rPr>
        <w:t>, a ser pago</w:t>
      </w:r>
      <w:r>
        <w:rPr>
          <w:rFonts w:ascii="Arial" w:hAnsi="Arial" w:cs="Arial"/>
        </w:rPr>
        <w:t xml:space="preserve"> </w:t>
      </w:r>
      <w:r w:rsidRPr="00E64FB4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 xml:space="preserve">até 10 dias úteis, contados a partir da assinatura do Acordo; </w:t>
      </w:r>
      <w:r w:rsidR="00CA61A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sse valor será </w:t>
      </w:r>
      <w:r w:rsidRPr="0090282F">
        <w:rPr>
          <w:rFonts w:ascii="Arial" w:hAnsi="Arial" w:cs="Arial"/>
        </w:rPr>
        <w:t xml:space="preserve">atualizado pelo </w:t>
      </w:r>
      <w:r w:rsidR="000B3FDB" w:rsidRPr="0090282F">
        <w:rPr>
          <w:rFonts w:ascii="Arial" w:hAnsi="Arial" w:cs="Arial"/>
        </w:rPr>
        <w:t>IPCA-E</w:t>
      </w:r>
      <w:r w:rsidR="0090282F" w:rsidRPr="0090282F">
        <w:rPr>
          <w:rFonts w:ascii="Arial" w:hAnsi="Arial" w:cs="Arial"/>
        </w:rPr>
        <w:t xml:space="preserve"> </w:t>
      </w:r>
      <w:r w:rsidR="001F5E0A">
        <w:rPr>
          <w:rFonts w:ascii="Arial" w:hAnsi="Arial" w:cs="Arial"/>
        </w:rPr>
        <w:t xml:space="preserve">desde 01/11/2018 </w:t>
      </w:r>
      <w:r w:rsidRPr="0090282F">
        <w:rPr>
          <w:rFonts w:ascii="Arial" w:hAnsi="Arial" w:cs="Arial"/>
        </w:rPr>
        <w:t xml:space="preserve">até a data do efetivo pagamento. </w:t>
      </w:r>
      <w:r w:rsidR="000B3FDB" w:rsidRPr="0090282F">
        <w:rPr>
          <w:rFonts w:ascii="Arial" w:hAnsi="Arial" w:cs="Arial"/>
        </w:rPr>
        <w:t>Para o período</w:t>
      </w:r>
      <w:r w:rsidR="000B3FDB" w:rsidRPr="00232A14">
        <w:rPr>
          <w:rFonts w:ascii="Arial" w:hAnsi="Arial" w:cs="Arial"/>
        </w:rPr>
        <w:t xml:space="preserve"> posterior à divulgação do último índice IPCA-E disponível até a data do efetivo pagamento, será utilizado o índice do mês anterior, </w:t>
      </w:r>
      <w:proofErr w:type="gramStart"/>
      <w:r w:rsidR="000B3FDB" w:rsidRPr="00232A14">
        <w:rPr>
          <w:rFonts w:ascii="Arial" w:hAnsi="Arial" w:cs="Arial"/>
          <w:i/>
        </w:rPr>
        <w:t>pro</w:t>
      </w:r>
      <w:proofErr w:type="gramEnd"/>
      <w:r w:rsidR="000B3FDB" w:rsidRPr="00232A14">
        <w:rPr>
          <w:rFonts w:ascii="Arial" w:hAnsi="Arial" w:cs="Arial"/>
          <w:i/>
        </w:rPr>
        <w:t xml:space="preserve"> rata die</w:t>
      </w:r>
      <w:r w:rsidRPr="00232A14">
        <w:rPr>
          <w:rFonts w:ascii="Arial" w:hAnsi="Arial" w:cs="Arial"/>
        </w:rPr>
        <w:t>.</w:t>
      </w:r>
    </w:p>
    <w:p w:rsidR="000C0C31" w:rsidRDefault="00C739EA">
      <w:pPr>
        <w:pStyle w:val="PargrafodaLista"/>
        <w:tabs>
          <w:tab w:val="left" w:pos="0"/>
          <w:tab w:val="left" w:pos="3640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40CCD" w:rsidRPr="00B77A73" w:rsidRDefault="00C739EA" w:rsidP="00A40CCD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E12665">
        <w:rPr>
          <w:rFonts w:ascii="Arial" w:hAnsi="Arial" w:cs="Arial"/>
        </w:rPr>
        <w:t>2.1.2</w:t>
      </w:r>
      <w:r w:rsidR="00A40CCD" w:rsidRPr="00E12665">
        <w:rPr>
          <w:rFonts w:ascii="Arial" w:hAnsi="Arial" w:cs="Arial"/>
        </w:rPr>
        <w:t xml:space="preserve">. </w:t>
      </w:r>
      <w:r w:rsidR="00E64FB4" w:rsidRPr="00E12665">
        <w:rPr>
          <w:rFonts w:ascii="Arial" w:hAnsi="Arial" w:cs="Arial"/>
        </w:rPr>
        <w:t xml:space="preserve">O saldo de </w:t>
      </w:r>
      <w:r w:rsidR="000B3FDB" w:rsidRPr="00E12665">
        <w:rPr>
          <w:rFonts w:ascii="Arial" w:hAnsi="Arial" w:cs="Arial"/>
        </w:rPr>
        <w:t>R$ XXX (XXX)</w:t>
      </w:r>
      <w:r w:rsidR="00E64FB4" w:rsidRPr="00E12665">
        <w:rPr>
          <w:rFonts w:ascii="Arial" w:hAnsi="Arial" w:cs="Arial"/>
        </w:rPr>
        <w:t xml:space="preserve"> </w:t>
      </w:r>
      <w:r w:rsidR="00F22CBB" w:rsidRPr="00E12665">
        <w:rPr>
          <w:rFonts w:ascii="Arial" w:hAnsi="Arial" w:cs="Arial"/>
        </w:rPr>
        <w:t>será atualizado pelo IPCA-E</w:t>
      </w:r>
      <w:r w:rsidR="00A130D1" w:rsidRPr="00E12665">
        <w:rPr>
          <w:rFonts w:ascii="Arial" w:hAnsi="Arial" w:cs="Arial"/>
        </w:rPr>
        <w:t xml:space="preserve"> desde</w:t>
      </w:r>
      <w:r w:rsidR="00A130D1">
        <w:rPr>
          <w:rFonts w:ascii="Arial" w:hAnsi="Arial" w:cs="Arial"/>
        </w:rPr>
        <w:t xml:space="preserve"> 01/11/2018</w:t>
      </w:r>
      <w:r w:rsidR="00F22CBB">
        <w:rPr>
          <w:rFonts w:ascii="Arial" w:hAnsi="Arial" w:cs="Arial"/>
        </w:rPr>
        <w:t xml:space="preserve"> até a data da assinatura do Acordo e </w:t>
      </w:r>
      <w:r w:rsidR="00A40CCD">
        <w:rPr>
          <w:rFonts w:ascii="Arial" w:hAnsi="Arial" w:cs="Arial"/>
        </w:rPr>
        <w:t xml:space="preserve">o </w:t>
      </w:r>
      <w:r w:rsidR="00E64FB4">
        <w:rPr>
          <w:rFonts w:ascii="Arial" w:hAnsi="Arial" w:cs="Arial"/>
        </w:rPr>
        <w:t xml:space="preserve">pagamento se </w:t>
      </w:r>
      <w:r w:rsidR="00E64FB4" w:rsidRPr="0070260B">
        <w:rPr>
          <w:rFonts w:ascii="Arial" w:hAnsi="Arial" w:cs="Arial"/>
        </w:rPr>
        <w:t xml:space="preserve">dará </w:t>
      </w:r>
      <w:r w:rsidR="00A40CCD" w:rsidRPr="0070260B">
        <w:rPr>
          <w:rFonts w:ascii="Arial" w:hAnsi="Arial" w:cs="Arial"/>
        </w:rPr>
        <w:t xml:space="preserve">em 60 (sessenta) </w:t>
      </w:r>
      <w:r w:rsidR="000B3FDB">
        <w:rPr>
          <w:rFonts w:ascii="Arial" w:hAnsi="Arial" w:cs="Arial"/>
        </w:rPr>
        <w:t>pa</w:t>
      </w:r>
      <w:r w:rsidR="00A40CCD">
        <w:rPr>
          <w:rFonts w:ascii="Arial" w:hAnsi="Arial" w:cs="Arial"/>
        </w:rPr>
        <w:t xml:space="preserve">rcelas </w:t>
      </w:r>
      <w:r w:rsidR="00A40CCD" w:rsidRPr="00B77A73">
        <w:rPr>
          <w:rFonts w:ascii="Arial" w:hAnsi="Arial" w:cs="Arial"/>
        </w:rPr>
        <w:t xml:space="preserve">mensais, </w:t>
      </w:r>
      <w:r w:rsidR="004C5028" w:rsidRPr="00B77A73">
        <w:rPr>
          <w:rFonts w:ascii="Arial" w:hAnsi="Arial" w:cs="Arial"/>
        </w:rPr>
        <w:t xml:space="preserve">vencíveis no último dia útil de cada mês </w:t>
      </w:r>
      <w:r w:rsidR="00A40CCD" w:rsidRPr="00B77A73">
        <w:rPr>
          <w:rFonts w:ascii="Arial" w:hAnsi="Arial" w:cs="Arial"/>
        </w:rPr>
        <w:t xml:space="preserve">a partir </w:t>
      </w:r>
      <w:r w:rsidR="005A7C15" w:rsidRPr="00B77A73">
        <w:rPr>
          <w:rFonts w:ascii="Arial" w:hAnsi="Arial" w:cs="Arial"/>
        </w:rPr>
        <w:t>do mês subsequente ao pagamento da primeira parcela indicada no item 2.1.1</w:t>
      </w:r>
      <w:r w:rsidR="00F22CBB" w:rsidRPr="00B77A73">
        <w:rPr>
          <w:rFonts w:ascii="Arial" w:hAnsi="Arial" w:cs="Arial"/>
        </w:rPr>
        <w:t>, corrigidas pela SELIC</w:t>
      </w:r>
      <w:r w:rsidR="00A40CCD" w:rsidRPr="00B77A73">
        <w:rPr>
          <w:rFonts w:ascii="Arial" w:hAnsi="Arial" w:cs="Arial"/>
        </w:rPr>
        <w:t>.</w:t>
      </w:r>
    </w:p>
    <w:p w:rsidR="004014D5" w:rsidRDefault="004014D5" w:rsidP="00A40CCD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4014D5" w:rsidRDefault="004014D5" w:rsidP="00A40CCD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2.1.3</w:t>
      </w:r>
      <w:r w:rsidR="002869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valor correspondente à diferença de Participação Especial </w:t>
      </w:r>
      <w:r w:rsidR="000E11EB">
        <w:rPr>
          <w:rFonts w:ascii="Arial" w:hAnsi="Arial" w:cs="Arial"/>
        </w:rPr>
        <w:t xml:space="preserve">a partir </w:t>
      </w:r>
      <w:proofErr w:type="gramStart"/>
      <w:r w:rsidR="000E11EB">
        <w:rPr>
          <w:rFonts w:ascii="Arial" w:hAnsi="Arial" w:cs="Arial"/>
        </w:rPr>
        <w:t xml:space="preserve">do </w:t>
      </w:r>
      <w:r>
        <w:rPr>
          <w:rFonts w:ascii="Arial" w:hAnsi="Arial" w:cs="Arial"/>
        </w:rPr>
        <w:t xml:space="preserve"> 4</w:t>
      </w:r>
      <w:proofErr w:type="gramEnd"/>
      <w:r>
        <w:rPr>
          <w:rFonts w:ascii="Arial" w:hAnsi="Arial" w:cs="Arial"/>
        </w:rPr>
        <w:t>T2018</w:t>
      </w:r>
      <w:r w:rsidR="000E11EB">
        <w:rPr>
          <w:rFonts w:ascii="Arial" w:hAnsi="Arial" w:cs="Arial"/>
        </w:rPr>
        <w:t xml:space="preserve"> (inclusive)</w:t>
      </w:r>
      <w:r>
        <w:rPr>
          <w:rFonts w:ascii="Arial" w:hAnsi="Arial" w:cs="Arial"/>
        </w:rPr>
        <w:t xml:space="preserve"> será integralmente pago na mesma data da parcela referida no item 2.1.1 </w:t>
      </w:r>
      <w:r w:rsidRPr="00232A14">
        <w:rPr>
          <w:rFonts w:ascii="Arial" w:hAnsi="Arial" w:cs="Arial"/>
        </w:rPr>
        <w:t>acima, corrigido pelo IPCA-E desde</w:t>
      </w:r>
      <w:r w:rsidR="000E11EB">
        <w:rPr>
          <w:rFonts w:ascii="Arial" w:hAnsi="Arial" w:cs="Arial"/>
        </w:rPr>
        <w:t xml:space="preserve"> a</w:t>
      </w:r>
      <w:r w:rsidRPr="00232A14">
        <w:rPr>
          <w:rFonts w:ascii="Arial" w:hAnsi="Arial" w:cs="Arial"/>
        </w:rPr>
        <w:t xml:space="preserve"> </w:t>
      </w:r>
      <w:r w:rsidR="000E11EB">
        <w:rPr>
          <w:rFonts w:ascii="Arial" w:hAnsi="Arial" w:cs="Arial"/>
        </w:rPr>
        <w:t>data do seu vencimento</w:t>
      </w:r>
      <w:r w:rsidRPr="00232A14">
        <w:rPr>
          <w:rFonts w:ascii="Arial" w:hAnsi="Arial" w:cs="Arial"/>
        </w:rPr>
        <w:t xml:space="preserve"> até a data do seu efetivo pagamento</w:t>
      </w:r>
      <w:r w:rsidR="005A7C15" w:rsidRPr="00232A14">
        <w:rPr>
          <w:rFonts w:ascii="Arial" w:hAnsi="Arial" w:cs="Arial"/>
        </w:rPr>
        <w:t>.</w:t>
      </w:r>
    </w:p>
    <w:p w:rsidR="00CB1DAB" w:rsidRPr="00D109F3" w:rsidRDefault="00CB1DAB" w:rsidP="00A40CCD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CB1DAB" w:rsidRPr="00F77FDF" w:rsidRDefault="00CB1DAB" w:rsidP="00CB1DAB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F77FDF">
        <w:rPr>
          <w:rFonts w:ascii="Arial" w:hAnsi="Arial" w:cs="Arial"/>
        </w:rPr>
        <w:t>2.2</w:t>
      </w:r>
      <w:r w:rsidR="0028691A">
        <w:rPr>
          <w:rFonts w:ascii="Arial" w:hAnsi="Arial" w:cs="Arial"/>
        </w:rPr>
        <w:t>.</w:t>
      </w:r>
      <w:r w:rsidRPr="00F77FDF">
        <w:rPr>
          <w:rFonts w:ascii="Arial" w:hAnsi="Arial" w:cs="Arial"/>
        </w:rPr>
        <w:t xml:space="preserve"> Do montante total </w:t>
      </w:r>
      <w:r>
        <w:rPr>
          <w:rFonts w:ascii="Arial" w:hAnsi="Arial" w:cs="Arial"/>
        </w:rPr>
        <w:t>informado no item 2.1</w:t>
      </w:r>
      <w:r w:rsidR="004014D5">
        <w:rPr>
          <w:rFonts w:ascii="Arial" w:hAnsi="Arial" w:cs="Arial"/>
        </w:rPr>
        <w:t>.1</w:t>
      </w:r>
      <w:r w:rsidRPr="00A40CCD">
        <w:rPr>
          <w:rFonts w:ascii="Arial" w:hAnsi="Arial" w:cs="Arial"/>
        </w:rPr>
        <w:t xml:space="preserve"> </w:t>
      </w:r>
      <w:r w:rsidRPr="00F77FDF">
        <w:rPr>
          <w:rFonts w:ascii="Arial" w:hAnsi="Arial" w:cs="Arial"/>
        </w:rPr>
        <w:t>será descontad</w:t>
      </w:r>
      <w:r>
        <w:rPr>
          <w:rFonts w:ascii="Arial" w:hAnsi="Arial" w:cs="Arial"/>
        </w:rPr>
        <w:t xml:space="preserve">o o valor de </w:t>
      </w:r>
      <w:r w:rsidRPr="00F77FDF">
        <w:rPr>
          <w:rFonts w:ascii="Arial" w:hAnsi="Arial" w:cs="Arial"/>
        </w:rPr>
        <w:t>R$ 111.005.900,35</w:t>
      </w:r>
      <w:r>
        <w:rPr>
          <w:rFonts w:ascii="Arial" w:hAnsi="Arial" w:cs="Arial"/>
        </w:rPr>
        <w:t xml:space="preserve"> (cento e onze milhões, cinco mil e novecentos reais e trinta e cinco centavos)</w:t>
      </w:r>
      <w:r w:rsidRPr="00F77FD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já recolhido pela PETROBRAS em </w:t>
      </w:r>
      <w:r w:rsidRPr="00F77FDF">
        <w:rPr>
          <w:rFonts w:ascii="Arial" w:hAnsi="Arial" w:cs="Arial"/>
        </w:rPr>
        <w:t xml:space="preserve">04/07/2018, </w:t>
      </w:r>
      <w:r>
        <w:rPr>
          <w:rFonts w:ascii="Arial" w:hAnsi="Arial" w:cs="Arial"/>
        </w:rPr>
        <w:t>conforme informado por meio da Carta AGP 025/2018, valor este a ser atualizado pelo IPCA-E até a data da assinatura do Acordo.</w:t>
      </w:r>
    </w:p>
    <w:p w:rsidR="00A40CCD" w:rsidRDefault="00A40CCD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E57D54" w:rsidRDefault="00E57D54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2869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Em caso de atraso em qualquer dos pagamentos previstos na cláusula 2.1 acima após a assinatura do presente acordo, incidirão os encargos morat</w:t>
      </w:r>
      <w:r w:rsidR="006D438A">
        <w:rPr>
          <w:rFonts w:ascii="Arial" w:hAnsi="Arial" w:cs="Arial"/>
        </w:rPr>
        <w:t xml:space="preserve">órios </w:t>
      </w:r>
      <w:r w:rsidR="006D438A" w:rsidRPr="00232A14">
        <w:rPr>
          <w:rFonts w:ascii="Arial" w:hAnsi="Arial" w:cs="Arial"/>
        </w:rPr>
        <w:t xml:space="preserve">previstos na </w:t>
      </w:r>
      <w:r w:rsidR="000B3FDB" w:rsidRPr="00232A14">
        <w:rPr>
          <w:rFonts w:ascii="Arial" w:hAnsi="Arial" w:cs="Arial"/>
        </w:rPr>
        <w:t>Portaria ANP nº 234 de 12 de agosto de 2003</w:t>
      </w:r>
      <w:r w:rsidR="00497862" w:rsidRPr="00232A14">
        <w:rPr>
          <w:rFonts w:ascii="Arial" w:hAnsi="Arial" w:cs="Arial"/>
        </w:rPr>
        <w:t>.</w:t>
      </w:r>
    </w:p>
    <w:p w:rsidR="00E57D54" w:rsidRDefault="00E57D54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A40CCD" w:rsidRDefault="00A40CCD" w:rsidP="00A40CCD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D109F3">
        <w:rPr>
          <w:rFonts w:ascii="Arial" w:hAnsi="Arial" w:cs="Arial"/>
        </w:rPr>
        <w:t>2.</w:t>
      </w:r>
      <w:r w:rsidR="00F22CBB">
        <w:rPr>
          <w:rFonts w:ascii="Arial" w:hAnsi="Arial" w:cs="Arial"/>
        </w:rPr>
        <w:t>4</w:t>
      </w:r>
      <w:r w:rsidRPr="00D109F3">
        <w:rPr>
          <w:rFonts w:ascii="Arial" w:hAnsi="Arial" w:cs="Arial"/>
        </w:rPr>
        <w:t xml:space="preserve">. </w:t>
      </w:r>
      <w:r w:rsidR="000A5329">
        <w:rPr>
          <w:rFonts w:ascii="Arial" w:hAnsi="Arial" w:cs="Arial"/>
        </w:rPr>
        <w:t>A ANP dará</w:t>
      </w:r>
      <w:r w:rsidRPr="00D109F3">
        <w:rPr>
          <w:rFonts w:ascii="Arial" w:hAnsi="Arial" w:cs="Arial"/>
        </w:rPr>
        <w:t xml:space="preserve"> total </w:t>
      </w:r>
      <w:r>
        <w:rPr>
          <w:rFonts w:ascii="Arial" w:hAnsi="Arial" w:cs="Arial"/>
        </w:rPr>
        <w:t xml:space="preserve">e plena </w:t>
      </w:r>
      <w:r w:rsidRPr="00D109F3">
        <w:rPr>
          <w:rFonts w:ascii="Arial" w:hAnsi="Arial" w:cs="Arial"/>
        </w:rPr>
        <w:t xml:space="preserve">quitação de valores relacionados </w:t>
      </w:r>
      <w:r w:rsidR="00491C29">
        <w:rPr>
          <w:rFonts w:ascii="Arial" w:hAnsi="Arial" w:cs="Arial"/>
        </w:rPr>
        <w:t>à</w:t>
      </w:r>
      <w:r w:rsidRPr="00D109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participação especial</w:t>
      </w:r>
      <w:r w:rsidRPr="00D109F3">
        <w:rPr>
          <w:rFonts w:ascii="Arial" w:hAnsi="Arial" w:cs="Arial"/>
        </w:rPr>
        <w:t xml:space="preserve"> devida referente ao </w:t>
      </w:r>
      <w:r>
        <w:rPr>
          <w:rFonts w:ascii="Arial" w:hAnsi="Arial" w:cs="Arial"/>
        </w:rPr>
        <w:t xml:space="preserve">Novo </w:t>
      </w:r>
      <w:r w:rsidRPr="00D109F3">
        <w:rPr>
          <w:rFonts w:ascii="Arial" w:hAnsi="Arial" w:cs="Arial"/>
        </w:rPr>
        <w:t xml:space="preserve">Campo de </w:t>
      </w:r>
      <w:proofErr w:type="spellStart"/>
      <w:r w:rsidR="00F22CBB">
        <w:rPr>
          <w:rFonts w:ascii="Arial" w:hAnsi="Arial" w:cs="Arial"/>
        </w:rPr>
        <w:t>Jubarte</w:t>
      </w:r>
      <w:proofErr w:type="spellEnd"/>
      <w:r w:rsidR="00491C29">
        <w:rPr>
          <w:rFonts w:ascii="Arial" w:hAnsi="Arial" w:cs="Arial"/>
        </w:rPr>
        <w:t xml:space="preserve"> e demais Áreas de Desenvolvimento</w:t>
      </w:r>
      <w:r w:rsidR="000A5329">
        <w:rPr>
          <w:rFonts w:ascii="Arial" w:hAnsi="Arial" w:cs="Arial"/>
        </w:rPr>
        <w:t xml:space="preserve"> mediante o pagamento integral dos valores referidos na cláusula 2.1</w:t>
      </w:r>
      <w:r w:rsidRPr="00D109F3">
        <w:rPr>
          <w:rFonts w:ascii="Arial" w:hAnsi="Arial" w:cs="Arial"/>
        </w:rPr>
        <w:t>.</w:t>
      </w:r>
    </w:p>
    <w:p w:rsidR="009E0C3F" w:rsidRDefault="009E0C3F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9E0C3F" w:rsidRPr="009E0C3F" w:rsidRDefault="009E0C3F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  <w:b/>
        </w:rPr>
      </w:pPr>
      <w:r w:rsidRPr="009E0C3F">
        <w:rPr>
          <w:rFonts w:ascii="Arial" w:hAnsi="Arial" w:cs="Arial"/>
          <w:b/>
        </w:rPr>
        <w:t>CLÁUSULA TERCEIRA – DOS PROCESSOS ADMINISTRATIVOS</w:t>
      </w:r>
      <w:r w:rsidR="00E41CC0">
        <w:rPr>
          <w:rFonts w:ascii="Arial" w:hAnsi="Arial" w:cs="Arial"/>
          <w:b/>
        </w:rPr>
        <w:t xml:space="preserve"> E</w:t>
      </w:r>
      <w:r w:rsidRPr="009E0C3F">
        <w:rPr>
          <w:rFonts w:ascii="Arial" w:hAnsi="Arial" w:cs="Arial"/>
          <w:b/>
        </w:rPr>
        <w:t xml:space="preserve"> JUDICIAIS </w:t>
      </w:r>
    </w:p>
    <w:p w:rsidR="009E0C3F" w:rsidRDefault="009E0C3F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  <w:highlight w:val="yellow"/>
        </w:rPr>
      </w:pPr>
    </w:p>
    <w:p w:rsidR="009E0C3F" w:rsidRDefault="0070586A" w:rsidP="0070586A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="00BA75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E0C3F" w:rsidRPr="00217B8F">
        <w:rPr>
          <w:rFonts w:ascii="Arial" w:hAnsi="Arial" w:cs="Arial"/>
        </w:rPr>
        <w:t xml:space="preserve">Com a celebração do presente </w:t>
      </w:r>
      <w:r w:rsidR="009E0C3F">
        <w:rPr>
          <w:rFonts w:ascii="Arial" w:hAnsi="Arial" w:cs="Arial"/>
        </w:rPr>
        <w:t>A</w:t>
      </w:r>
      <w:r w:rsidR="009E0C3F" w:rsidRPr="00217B8F">
        <w:rPr>
          <w:rFonts w:ascii="Arial" w:hAnsi="Arial" w:cs="Arial"/>
        </w:rPr>
        <w:t>cordo</w:t>
      </w:r>
      <w:r w:rsidR="009E0C3F">
        <w:rPr>
          <w:rFonts w:ascii="Arial" w:hAnsi="Arial" w:cs="Arial"/>
        </w:rPr>
        <w:t>,</w:t>
      </w:r>
      <w:r w:rsidR="009E0C3F" w:rsidRPr="00217B8F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>P</w:t>
      </w:r>
      <w:r w:rsidR="009E0C3F" w:rsidRPr="00217B8F">
        <w:rPr>
          <w:rFonts w:ascii="Arial" w:hAnsi="Arial" w:cs="Arial"/>
        </w:rPr>
        <w:t xml:space="preserve">artes </w:t>
      </w:r>
      <w:r w:rsidR="009E0C3F">
        <w:rPr>
          <w:rFonts w:ascii="Arial" w:hAnsi="Arial" w:cs="Arial"/>
        </w:rPr>
        <w:t>entendem que perdem efeito todos os processos abaixo relacionados, bem como eventuais ações, recursos e procedimentos</w:t>
      </w:r>
      <w:r w:rsidR="006D450F">
        <w:rPr>
          <w:rFonts w:ascii="Arial" w:hAnsi="Arial" w:cs="Arial"/>
        </w:rPr>
        <w:t>, mesmo os administrativos,</w:t>
      </w:r>
      <w:r w:rsidR="009E0C3F">
        <w:rPr>
          <w:rFonts w:ascii="Arial" w:hAnsi="Arial" w:cs="Arial"/>
        </w:rPr>
        <w:t xml:space="preserve"> que tratem do objeto do presente acordo, ainda que não expressamente listados abaixo: </w:t>
      </w:r>
    </w:p>
    <w:p w:rsidR="009E0C3F" w:rsidRPr="00C4787E" w:rsidRDefault="009E0C3F" w:rsidP="009E0C3F">
      <w:pPr>
        <w:tabs>
          <w:tab w:val="left" w:pos="72"/>
          <w:tab w:val="left" w:pos="497"/>
        </w:tabs>
        <w:spacing w:after="0" w:line="280" w:lineRule="exact"/>
        <w:jc w:val="both"/>
        <w:rPr>
          <w:rFonts w:ascii="Arial" w:hAnsi="Arial" w:cs="Arial"/>
          <w:sz w:val="24"/>
          <w:szCs w:val="24"/>
          <w:lang w:eastAsia="en-US"/>
        </w:rPr>
      </w:pPr>
    </w:p>
    <w:p w:rsidR="009E0C3F" w:rsidRPr="00E12665" w:rsidRDefault="009E0C3F" w:rsidP="009E0C3F">
      <w:pPr>
        <w:numPr>
          <w:ilvl w:val="0"/>
          <w:numId w:val="7"/>
        </w:numPr>
        <w:tabs>
          <w:tab w:val="left" w:pos="567"/>
          <w:tab w:val="left" w:pos="993"/>
        </w:tabs>
        <w:spacing w:after="0" w:line="280" w:lineRule="exact"/>
        <w:ind w:left="993" w:hanging="426"/>
        <w:jc w:val="both"/>
        <w:rPr>
          <w:rFonts w:ascii="Arial" w:hAnsi="Arial" w:cs="Arial"/>
          <w:sz w:val="24"/>
          <w:szCs w:val="24"/>
          <w:lang w:eastAsia="en-US"/>
        </w:rPr>
      </w:pPr>
      <w:r w:rsidRPr="00E12665">
        <w:rPr>
          <w:rFonts w:ascii="Arial" w:hAnsi="Arial" w:cs="Arial"/>
          <w:sz w:val="24"/>
          <w:szCs w:val="24"/>
          <w:lang w:eastAsia="en-US"/>
        </w:rPr>
        <w:t>Ação Cautelar nº 0005535-47.2014.4.02.5101, protocolizada pela PETROBRAS e distribuída à 5ª Vara Federal da Seção Judiciária do Rio de Janeiro;</w:t>
      </w:r>
    </w:p>
    <w:p w:rsidR="009E0C3F" w:rsidRPr="00E12665" w:rsidRDefault="009E0C3F" w:rsidP="009E0C3F">
      <w:pPr>
        <w:numPr>
          <w:ilvl w:val="0"/>
          <w:numId w:val="7"/>
        </w:numPr>
        <w:tabs>
          <w:tab w:val="left" w:pos="567"/>
          <w:tab w:val="left" w:pos="993"/>
        </w:tabs>
        <w:spacing w:after="0" w:line="280" w:lineRule="exact"/>
        <w:ind w:left="993" w:hanging="426"/>
        <w:jc w:val="both"/>
        <w:rPr>
          <w:rFonts w:ascii="Arial" w:hAnsi="Arial" w:cs="Arial"/>
          <w:sz w:val="24"/>
          <w:szCs w:val="24"/>
          <w:lang w:eastAsia="en-US"/>
        </w:rPr>
      </w:pPr>
      <w:r w:rsidRPr="00E12665">
        <w:rPr>
          <w:rFonts w:ascii="Arial" w:hAnsi="Arial" w:cs="Arial"/>
          <w:sz w:val="24"/>
          <w:szCs w:val="24"/>
          <w:lang w:eastAsia="en-US"/>
        </w:rPr>
        <w:t xml:space="preserve">Ação </w:t>
      </w:r>
      <w:proofErr w:type="spellStart"/>
      <w:r w:rsidR="00E41CC0" w:rsidRPr="00E12665">
        <w:rPr>
          <w:rFonts w:ascii="Arial" w:hAnsi="Arial" w:cs="Arial"/>
          <w:sz w:val="24"/>
          <w:szCs w:val="24"/>
          <w:lang w:eastAsia="en-US"/>
        </w:rPr>
        <w:t>Anti-</w:t>
      </w:r>
      <w:r w:rsidRPr="00E12665">
        <w:rPr>
          <w:rFonts w:ascii="Arial" w:hAnsi="Arial" w:cs="Arial"/>
          <w:sz w:val="24"/>
          <w:szCs w:val="24"/>
          <w:lang w:eastAsia="en-US"/>
        </w:rPr>
        <w:t>A</w:t>
      </w:r>
      <w:r w:rsidR="00E41CC0" w:rsidRPr="00E12665">
        <w:rPr>
          <w:rFonts w:ascii="Arial" w:hAnsi="Arial" w:cs="Arial"/>
          <w:sz w:val="24"/>
          <w:szCs w:val="24"/>
          <w:lang w:eastAsia="en-US"/>
        </w:rPr>
        <w:t>rbitragem</w:t>
      </w:r>
      <w:proofErr w:type="spellEnd"/>
      <w:r w:rsidRPr="00E12665">
        <w:rPr>
          <w:rFonts w:ascii="Arial" w:hAnsi="Arial" w:cs="Arial"/>
          <w:sz w:val="24"/>
          <w:szCs w:val="24"/>
          <w:lang w:eastAsia="en-US"/>
        </w:rPr>
        <w:t xml:space="preserve"> ANP – Processo nº 0006800-84.2014.4.02.5101, protocolizada pela PETROBRAS e distribuída à 5ª Vara Federal da Seção Judiciária do Rio de Janeiro;</w:t>
      </w:r>
    </w:p>
    <w:p w:rsidR="00165F3A" w:rsidRPr="00E12665" w:rsidRDefault="009E0C3F">
      <w:pPr>
        <w:numPr>
          <w:ilvl w:val="0"/>
          <w:numId w:val="7"/>
        </w:numPr>
        <w:tabs>
          <w:tab w:val="left" w:pos="567"/>
          <w:tab w:val="left" w:pos="993"/>
        </w:tabs>
        <w:spacing w:after="0" w:line="280" w:lineRule="exact"/>
        <w:ind w:left="993" w:hanging="426"/>
        <w:jc w:val="both"/>
        <w:rPr>
          <w:rFonts w:ascii="Arial" w:hAnsi="Arial" w:cs="Arial"/>
          <w:sz w:val="24"/>
          <w:szCs w:val="24"/>
          <w:lang w:eastAsia="en-US"/>
        </w:rPr>
      </w:pPr>
      <w:r w:rsidRPr="00E12665">
        <w:rPr>
          <w:rFonts w:ascii="Arial" w:hAnsi="Arial" w:cs="Arial"/>
          <w:sz w:val="24"/>
          <w:szCs w:val="24"/>
          <w:lang w:eastAsia="en-US"/>
        </w:rPr>
        <w:lastRenderedPageBreak/>
        <w:t>Ação Cautelar do Estado do Espírito Santo – Processo nº 0001194-18.2015.4.02.0000 – Tribunal Regional Federal da 2ª Região;</w:t>
      </w:r>
      <w:r w:rsidR="00485189" w:rsidRPr="00E12665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9E0C3F" w:rsidRPr="00E12665" w:rsidRDefault="009E0C3F">
      <w:pPr>
        <w:numPr>
          <w:ilvl w:val="0"/>
          <w:numId w:val="7"/>
        </w:numPr>
        <w:tabs>
          <w:tab w:val="left" w:pos="567"/>
          <w:tab w:val="left" w:pos="993"/>
        </w:tabs>
        <w:spacing w:after="0" w:line="280" w:lineRule="exact"/>
        <w:ind w:left="993" w:hanging="426"/>
        <w:jc w:val="both"/>
        <w:rPr>
          <w:rFonts w:ascii="Arial" w:hAnsi="Arial" w:cs="Arial"/>
          <w:sz w:val="24"/>
          <w:szCs w:val="24"/>
          <w:lang w:eastAsia="en-US"/>
        </w:rPr>
      </w:pPr>
      <w:r w:rsidRPr="00E12665">
        <w:rPr>
          <w:rFonts w:ascii="Arial" w:hAnsi="Arial" w:cs="Arial"/>
          <w:sz w:val="24"/>
          <w:szCs w:val="24"/>
          <w:lang w:eastAsia="en-US"/>
        </w:rPr>
        <w:t>Ação Cautelar da ANP – Processo nº 0001312-91.2015.4.02.0000 – Tribunal Regional Federal da 2ª Região</w:t>
      </w:r>
      <w:r w:rsidR="00E92449" w:rsidRPr="00E12665">
        <w:rPr>
          <w:rFonts w:ascii="Arial" w:hAnsi="Arial" w:cs="Arial"/>
          <w:sz w:val="24"/>
          <w:szCs w:val="24"/>
          <w:lang w:eastAsia="en-US"/>
        </w:rPr>
        <w:t>;</w:t>
      </w:r>
    </w:p>
    <w:p w:rsidR="00E92449" w:rsidRPr="00E12665" w:rsidRDefault="00E92449" w:rsidP="009E0C3F">
      <w:pPr>
        <w:numPr>
          <w:ilvl w:val="0"/>
          <w:numId w:val="7"/>
        </w:numPr>
        <w:tabs>
          <w:tab w:val="left" w:pos="567"/>
          <w:tab w:val="left" w:pos="993"/>
        </w:tabs>
        <w:spacing w:after="0" w:line="280" w:lineRule="exact"/>
        <w:ind w:left="993" w:hanging="426"/>
        <w:jc w:val="both"/>
        <w:rPr>
          <w:rFonts w:ascii="Arial" w:hAnsi="Arial" w:cs="Arial"/>
          <w:sz w:val="24"/>
          <w:szCs w:val="24"/>
          <w:lang w:eastAsia="en-US"/>
        </w:rPr>
      </w:pPr>
      <w:r w:rsidRPr="00E12665">
        <w:rPr>
          <w:rFonts w:ascii="Arial" w:hAnsi="Arial" w:cs="Arial"/>
          <w:sz w:val="24"/>
          <w:szCs w:val="24"/>
          <w:lang w:eastAsia="en-US"/>
        </w:rPr>
        <w:t>Processo Administrativo nº</w:t>
      </w:r>
      <w:r w:rsidR="00881700" w:rsidRPr="00E12665">
        <w:rPr>
          <w:rFonts w:ascii="Arial" w:hAnsi="Arial" w:cs="Arial"/>
          <w:sz w:val="24"/>
          <w:szCs w:val="24"/>
          <w:lang w:eastAsia="en-US"/>
        </w:rPr>
        <w:t xml:space="preserve"> 48610.013045/2015-87 (Auto de Infração nº 810-0</w:t>
      </w:r>
      <w:r w:rsidR="0008695D" w:rsidRPr="00E12665">
        <w:rPr>
          <w:rFonts w:ascii="Arial" w:hAnsi="Arial" w:cs="Arial"/>
          <w:sz w:val="24"/>
          <w:szCs w:val="24"/>
          <w:lang w:eastAsia="en-US"/>
        </w:rPr>
        <w:t>00-1533-470103</w:t>
      </w:r>
      <w:r w:rsidR="0051266D" w:rsidRPr="00E12665">
        <w:rPr>
          <w:rFonts w:ascii="Arial" w:hAnsi="Arial" w:cs="Arial"/>
          <w:sz w:val="24"/>
          <w:szCs w:val="24"/>
          <w:lang w:eastAsia="en-US"/>
        </w:rPr>
        <w:t>), instaurado pela ANP;</w:t>
      </w:r>
    </w:p>
    <w:p w:rsidR="00F22CBB" w:rsidRPr="00E12665" w:rsidRDefault="00F22CBB" w:rsidP="00F22CBB">
      <w:pPr>
        <w:numPr>
          <w:ilvl w:val="0"/>
          <w:numId w:val="7"/>
        </w:numPr>
        <w:tabs>
          <w:tab w:val="left" w:pos="567"/>
          <w:tab w:val="left" w:pos="993"/>
        </w:tabs>
        <w:spacing w:after="0" w:line="280" w:lineRule="exact"/>
        <w:ind w:left="993" w:hanging="426"/>
        <w:jc w:val="both"/>
        <w:rPr>
          <w:rFonts w:ascii="Arial" w:hAnsi="Arial" w:cs="Arial"/>
          <w:sz w:val="24"/>
          <w:szCs w:val="24"/>
          <w:lang w:eastAsia="en-US"/>
        </w:rPr>
      </w:pPr>
      <w:r w:rsidRPr="00E12665">
        <w:rPr>
          <w:rFonts w:ascii="Arial" w:hAnsi="Arial" w:cs="Arial"/>
          <w:sz w:val="24"/>
          <w:szCs w:val="24"/>
          <w:lang w:eastAsia="en-US"/>
        </w:rPr>
        <w:t>Processo Administrativo nº 48610.0</w:t>
      </w:r>
      <w:r w:rsidR="00A27BA0" w:rsidRPr="00E12665">
        <w:rPr>
          <w:rFonts w:ascii="Arial" w:hAnsi="Arial" w:cs="Arial"/>
          <w:sz w:val="24"/>
          <w:szCs w:val="24"/>
          <w:lang w:eastAsia="en-US"/>
        </w:rPr>
        <w:t>02131</w:t>
      </w:r>
      <w:r w:rsidRPr="00E12665">
        <w:rPr>
          <w:rFonts w:ascii="Arial" w:hAnsi="Arial" w:cs="Arial"/>
          <w:sz w:val="24"/>
          <w:szCs w:val="24"/>
          <w:lang w:eastAsia="en-US"/>
        </w:rPr>
        <w:t>/201</w:t>
      </w:r>
      <w:r w:rsidR="00A27BA0" w:rsidRPr="00E12665">
        <w:rPr>
          <w:rFonts w:ascii="Arial" w:hAnsi="Arial" w:cs="Arial"/>
          <w:sz w:val="24"/>
          <w:szCs w:val="24"/>
          <w:lang w:eastAsia="en-US"/>
        </w:rPr>
        <w:t>4</w:t>
      </w:r>
      <w:r w:rsidRPr="00E12665">
        <w:rPr>
          <w:rFonts w:ascii="Arial" w:hAnsi="Arial" w:cs="Arial"/>
          <w:sz w:val="24"/>
          <w:szCs w:val="24"/>
          <w:lang w:eastAsia="en-US"/>
        </w:rPr>
        <w:t>-8</w:t>
      </w:r>
      <w:r w:rsidR="00A27BA0" w:rsidRPr="00E12665">
        <w:rPr>
          <w:rFonts w:ascii="Arial" w:hAnsi="Arial" w:cs="Arial"/>
          <w:sz w:val="24"/>
          <w:szCs w:val="24"/>
          <w:lang w:eastAsia="en-US"/>
        </w:rPr>
        <w:t>3</w:t>
      </w:r>
      <w:r w:rsidRPr="00E12665">
        <w:rPr>
          <w:rFonts w:ascii="Arial" w:hAnsi="Arial" w:cs="Arial"/>
          <w:sz w:val="24"/>
          <w:szCs w:val="24"/>
          <w:lang w:eastAsia="en-US"/>
        </w:rPr>
        <w:t xml:space="preserve"> (Auto de Infração nº 810-103-1433-401500), instaurado pela ANP.</w:t>
      </w:r>
    </w:p>
    <w:p w:rsidR="009E0C3F" w:rsidRDefault="009E0C3F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BC1749" w:rsidRDefault="00FE5211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2</w:t>
      </w:r>
      <w:r w:rsidR="00A27B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PETROBRAS arcará com </w:t>
      </w:r>
      <w:r w:rsidR="00E063C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despesas decorrentes do </w:t>
      </w:r>
      <w:r w:rsidRPr="00F77FDF">
        <w:rPr>
          <w:rFonts w:ascii="Arial" w:hAnsi="Arial" w:cs="Arial"/>
        </w:rPr>
        <w:t>Procedimento Arbitral 20196/ASM</w:t>
      </w:r>
      <w:r w:rsidR="00E063CF">
        <w:rPr>
          <w:rFonts w:ascii="Arial" w:hAnsi="Arial" w:cs="Arial"/>
        </w:rPr>
        <w:t>, incluindo os honorários dos árbitros e eventuais custos administrativos porventura pendentes.</w:t>
      </w:r>
    </w:p>
    <w:p w:rsidR="0095208D" w:rsidRDefault="00AE422F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5208D" w:rsidRDefault="0095208D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 w:rsidRPr="00F77FDF"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3</w:t>
      </w:r>
      <w:r w:rsidR="00A27BA0" w:rsidRPr="00F77FDF">
        <w:rPr>
          <w:rFonts w:ascii="Arial" w:hAnsi="Arial" w:cs="Arial"/>
        </w:rPr>
        <w:t>.</w:t>
      </w:r>
      <w:r w:rsidRPr="00F77FDF">
        <w:rPr>
          <w:rFonts w:ascii="Arial" w:hAnsi="Arial" w:cs="Arial"/>
        </w:rPr>
        <w:t xml:space="preserve"> A ANP arcará com eventuais custas pendentes e/ou finais de ações judiciais que tenha instaurado</w:t>
      </w:r>
      <w:r w:rsidR="00CB75B0" w:rsidRPr="00F77FDF">
        <w:rPr>
          <w:rFonts w:ascii="Arial" w:hAnsi="Arial" w:cs="Arial"/>
        </w:rPr>
        <w:t xml:space="preserve"> em relação </w:t>
      </w:r>
      <w:r w:rsidR="00CD7DA3" w:rsidRPr="00F77FDF">
        <w:rPr>
          <w:rFonts w:ascii="Arial" w:hAnsi="Arial" w:cs="Arial"/>
        </w:rPr>
        <w:t>à</w:t>
      </w:r>
      <w:r w:rsidR="00CB75B0" w:rsidRPr="00F77FDF">
        <w:rPr>
          <w:rFonts w:ascii="Arial" w:hAnsi="Arial" w:cs="Arial"/>
        </w:rPr>
        <w:t xml:space="preserve"> controvérsia </w:t>
      </w:r>
      <w:r w:rsidR="00CD7DA3" w:rsidRPr="00F77FDF">
        <w:rPr>
          <w:rFonts w:ascii="Arial" w:hAnsi="Arial" w:cs="Arial"/>
        </w:rPr>
        <w:t xml:space="preserve">tratada </w:t>
      </w:r>
      <w:r w:rsidR="00CB75B0" w:rsidRPr="00F77FDF">
        <w:rPr>
          <w:rFonts w:ascii="Arial" w:hAnsi="Arial" w:cs="Arial"/>
        </w:rPr>
        <w:t xml:space="preserve">neste </w:t>
      </w:r>
      <w:r w:rsidR="00CD7DA3" w:rsidRPr="00F77FDF">
        <w:rPr>
          <w:rFonts w:ascii="Arial" w:hAnsi="Arial" w:cs="Arial"/>
        </w:rPr>
        <w:t>Acordo</w:t>
      </w:r>
      <w:r w:rsidRPr="00F77FDF">
        <w:rPr>
          <w:rFonts w:ascii="Arial" w:hAnsi="Arial" w:cs="Arial"/>
        </w:rPr>
        <w:t>.</w:t>
      </w:r>
      <w:r w:rsidRPr="002F627E">
        <w:rPr>
          <w:rFonts w:ascii="Arial" w:hAnsi="Arial" w:cs="Arial"/>
        </w:rPr>
        <w:t xml:space="preserve"> </w:t>
      </w:r>
    </w:p>
    <w:p w:rsidR="00930955" w:rsidRDefault="00930955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930955" w:rsidRDefault="00E557E6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="00C606E8">
        <w:rPr>
          <w:rFonts w:ascii="Arial" w:hAnsi="Arial" w:cs="Arial"/>
        </w:rPr>
        <w:t>. Cada</w:t>
      </w:r>
      <w:r w:rsidR="00930955">
        <w:rPr>
          <w:rFonts w:ascii="Arial" w:hAnsi="Arial" w:cs="Arial"/>
        </w:rPr>
        <w:t xml:space="preserve"> parte arcará com os honorários de seus respectivos advogados em cada uma das ações e arbitragens mencionadas no item 3.1.</w:t>
      </w:r>
    </w:p>
    <w:p w:rsidR="00BC1749" w:rsidRDefault="00BC1749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9E0C3F" w:rsidRDefault="00BC1749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5</w:t>
      </w:r>
      <w:r w:rsidR="00F5359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E0C3F" w:rsidRPr="00BC1749">
        <w:rPr>
          <w:rFonts w:ascii="Arial" w:hAnsi="Arial" w:cs="Arial"/>
        </w:rPr>
        <w:t xml:space="preserve">Em razão da disposição acima, os efeitos jurídicos </w:t>
      </w:r>
      <w:r w:rsidR="00A27BA0">
        <w:rPr>
          <w:rFonts w:ascii="Arial" w:hAnsi="Arial" w:cs="Arial"/>
        </w:rPr>
        <w:t xml:space="preserve">dos </w:t>
      </w:r>
      <w:r w:rsidR="009E0C3F" w:rsidRPr="00BC1749">
        <w:rPr>
          <w:rFonts w:ascii="Arial" w:hAnsi="Arial" w:cs="Arial"/>
        </w:rPr>
        <w:t>processo</w:t>
      </w:r>
      <w:r w:rsidR="00A27BA0">
        <w:rPr>
          <w:rFonts w:ascii="Arial" w:hAnsi="Arial" w:cs="Arial"/>
        </w:rPr>
        <w:t>s</w:t>
      </w:r>
      <w:r w:rsidR="009E0C3F" w:rsidRPr="00BC1749">
        <w:rPr>
          <w:rFonts w:ascii="Arial" w:hAnsi="Arial" w:cs="Arial"/>
        </w:rPr>
        <w:t xml:space="preserve"> administrativo</w:t>
      </w:r>
      <w:r w:rsidR="00A27BA0">
        <w:rPr>
          <w:rFonts w:ascii="Arial" w:hAnsi="Arial" w:cs="Arial"/>
        </w:rPr>
        <w:t>s</w:t>
      </w:r>
      <w:r w:rsidR="009E0C3F" w:rsidRPr="00BC1749">
        <w:rPr>
          <w:rFonts w:ascii="Arial" w:hAnsi="Arial" w:cs="Arial"/>
        </w:rPr>
        <w:t xml:space="preserve"> </w:t>
      </w:r>
      <w:r w:rsidR="00EB1E05" w:rsidRPr="00C44B77">
        <w:rPr>
          <w:rFonts w:ascii="Arial" w:hAnsi="Arial" w:cs="Arial"/>
        </w:rPr>
        <w:t xml:space="preserve">nº 48610.013045/2015-87 (Auto de Infração nº 810-000-1533-470103) </w:t>
      </w:r>
      <w:r w:rsidR="00A27BA0">
        <w:rPr>
          <w:rFonts w:ascii="Arial" w:hAnsi="Arial" w:cs="Arial"/>
        </w:rPr>
        <w:t xml:space="preserve">e </w:t>
      </w:r>
      <w:r w:rsidR="00A27BA0" w:rsidRPr="00F77FDF">
        <w:rPr>
          <w:rFonts w:ascii="Arial" w:hAnsi="Arial" w:cs="Arial"/>
        </w:rPr>
        <w:t>48610.002131/2014-83 (Auto de Infração nº 810-103-1433-401500)</w:t>
      </w:r>
      <w:r w:rsidR="00A27BA0">
        <w:rPr>
          <w:rFonts w:ascii="Arial" w:hAnsi="Arial" w:cs="Arial"/>
          <w:b/>
        </w:rPr>
        <w:t xml:space="preserve"> </w:t>
      </w:r>
      <w:r w:rsidR="009E0C3F" w:rsidRPr="00BC1749">
        <w:rPr>
          <w:rFonts w:ascii="Arial" w:hAnsi="Arial" w:cs="Arial"/>
        </w:rPr>
        <w:t>ficam prejudicados e, portanto, nenhuma ação ou medida decorrente do referido processo será implementada</w:t>
      </w:r>
      <w:r>
        <w:rPr>
          <w:rFonts w:ascii="Arial" w:hAnsi="Arial" w:cs="Arial"/>
        </w:rPr>
        <w:t>.</w:t>
      </w:r>
    </w:p>
    <w:p w:rsidR="009B0029" w:rsidRDefault="009B0029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9B0029" w:rsidRPr="00BC1749" w:rsidRDefault="009B0029" w:rsidP="00E9244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6</w:t>
      </w:r>
      <w:r w:rsidR="001919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 </w:t>
      </w:r>
      <w:r w:rsidR="002E3005">
        <w:rPr>
          <w:rFonts w:ascii="Arial" w:hAnsi="Arial" w:cs="Arial"/>
        </w:rPr>
        <w:t>Resolução de Diretoria da ANP que aprovar este acordo substituirá, para todos os fins, as decisões tomadas no processo 48610.009666/2013-02, que restarão prejudicadas.</w:t>
      </w:r>
    </w:p>
    <w:p w:rsidR="009E0C3F" w:rsidRPr="00B77A73" w:rsidRDefault="009E0C3F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left="405" w:right="23"/>
        <w:jc w:val="both"/>
        <w:rPr>
          <w:rFonts w:ascii="Arial" w:hAnsi="Arial" w:cs="Arial"/>
          <w:b/>
          <w:highlight w:val="yellow"/>
        </w:rPr>
      </w:pPr>
    </w:p>
    <w:p w:rsidR="00930955" w:rsidRDefault="00F11643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7</w:t>
      </w:r>
      <w:r w:rsidR="00A27BA0">
        <w:rPr>
          <w:rFonts w:ascii="Arial" w:hAnsi="Arial" w:cs="Arial"/>
        </w:rPr>
        <w:t xml:space="preserve">. </w:t>
      </w:r>
      <w:r w:rsidR="00930955">
        <w:rPr>
          <w:rFonts w:ascii="Arial" w:hAnsi="Arial" w:cs="Arial"/>
        </w:rPr>
        <w:t>O presente acordo será válido e produzirá seus efeitos a partir da assinatura por ambas as partes.</w:t>
      </w:r>
    </w:p>
    <w:p w:rsidR="00930955" w:rsidRDefault="00930955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95208D" w:rsidRDefault="00930955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7</w:t>
      </w:r>
      <w:r>
        <w:rPr>
          <w:rFonts w:ascii="Arial" w:hAnsi="Arial" w:cs="Arial"/>
        </w:rPr>
        <w:t>.1</w:t>
      </w:r>
      <w:r w:rsidR="0028691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E0C3F">
        <w:rPr>
          <w:rFonts w:ascii="Arial" w:hAnsi="Arial" w:cs="Arial"/>
        </w:rPr>
        <w:t>N</w:t>
      </w:r>
      <w:r w:rsidR="009E0C3F" w:rsidRPr="00A06D42">
        <w:rPr>
          <w:rFonts w:ascii="Arial" w:hAnsi="Arial" w:cs="Arial"/>
        </w:rPr>
        <w:t xml:space="preserve">o prazo de 5 (cinco) dias úteis a partir da assinatura deste Acordo, as Partes se comprometem a apresentar aos </w:t>
      </w:r>
      <w:r w:rsidR="009E0C3F">
        <w:rPr>
          <w:rFonts w:ascii="Arial" w:hAnsi="Arial" w:cs="Arial"/>
        </w:rPr>
        <w:t>a</w:t>
      </w:r>
      <w:r w:rsidR="009E0C3F" w:rsidRPr="00A06D42">
        <w:rPr>
          <w:rFonts w:ascii="Arial" w:hAnsi="Arial" w:cs="Arial"/>
        </w:rPr>
        <w:t xml:space="preserve">utos </w:t>
      </w:r>
      <w:r w:rsidR="009E0C3F">
        <w:rPr>
          <w:rFonts w:ascii="Arial" w:hAnsi="Arial" w:cs="Arial"/>
        </w:rPr>
        <w:t>da Arbitragem</w:t>
      </w:r>
      <w:r w:rsidR="009E0C3F" w:rsidRPr="00A06D42">
        <w:rPr>
          <w:rFonts w:ascii="Arial" w:hAnsi="Arial" w:cs="Arial"/>
        </w:rPr>
        <w:t xml:space="preserve"> a petição </w:t>
      </w:r>
      <w:r w:rsidR="005F538F">
        <w:rPr>
          <w:rFonts w:ascii="Arial" w:hAnsi="Arial" w:cs="Arial"/>
        </w:rPr>
        <w:t>acordada entre as Partes</w:t>
      </w:r>
      <w:r w:rsidR="009E0C3F" w:rsidRPr="00A06D42">
        <w:rPr>
          <w:rFonts w:ascii="Arial" w:hAnsi="Arial" w:cs="Arial"/>
        </w:rPr>
        <w:t xml:space="preserve">, </w:t>
      </w:r>
      <w:r w:rsidR="002E2997" w:rsidRPr="00F77FDF">
        <w:rPr>
          <w:rFonts w:ascii="Arial" w:hAnsi="Arial" w:cs="Arial"/>
        </w:rPr>
        <w:t>requerendo ao Tribunal Arbitral a homologação deste Acordo na forma de sentença arbitral</w:t>
      </w:r>
      <w:r w:rsidR="00EB1E05" w:rsidRPr="00F77FDF">
        <w:rPr>
          <w:rFonts w:ascii="Arial" w:hAnsi="Arial" w:cs="Arial"/>
        </w:rPr>
        <w:t>, com resolução do mérito,</w:t>
      </w:r>
      <w:r w:rsidR="002E2997" w:rsidRPr="00F77FDF">
        <w:rPr>
          <w:rFonts w:ascii="Arial" w:hAnsi="Arial" w:cs="Arial"/>
        </w:rPr>
        <w:t xml:space="preserve"> por acordo das partes, consoante art. 33 do Regulamento de Arbitragem da CCI</w:t>
      </w:r>
      <w:r w:rsidR="002E2997" w:rsidRPr="00B4553A">
        <w:rPr>
          <w:rFonts w:ascii="Arial" w:hAnsi="Arial" w:cs="Arial"/>
        </w:rPr>
        <w:t>,</w:t>
      </w:r>
      <w:r w:rsidR="006B6A3F" w:rsidRPr="00B4553A">
        <w:rPr>
          <w:rFonts w:ascii="Arial" w:hAnsi="Arial" w:cs="Arial"/>
        </w:rPr>
        <w:t xml:space="preserve"> bem como a </w:t>
      </w:r>
      <w:r w:rsidR="002E2997" w:rsidRPr="00B4553A">
        <w:rPr>
          <w:rFonts w:ascii="Arial" w:hAnsi="Arial" w:cs="Arial"/>
        </w:rPr>
        <w:t>extinção d</w:t>
      </w:r>
      <w:r w:rsidR="006B6A3F" w:rsidRPr="00B4553A">
        <w:rPr>
          <w:rFonts w:ascii="Arial" w:hAnsi="Arial" w:cs="Arial"/>
        </w:rPr>
        <w:t>os demais processos</w:t>
      </w:r>
      <w:r w:rsidR="006B6A3F">
        <w:rPr>
          <w:rFonts w:ascii="Arial" w:hAnsi="Arial" w:cs="Arial"/>
        </w:rPr>
        <w:t xml:space="preserve"> judiciais </w:t>
      </w:r>
      <w:r w:rsidR="009E0C3F" w:rsidRPr="00A06D42">
        <w:rPr>
          <w:rFonts w:ascii="Arial" w:hAnsi="Arial" w:cs="Arial"/>
        </w:rPr>
        <w:t>com resolução de mérito</w:t>
      </w:r>
      <w:r w:rsidR="006B6A3F">
        <w:rPr>
          <w:rFonts w:ascii="Arial" w:hAnsi="Arial" w:cs="Arial"/>
        </w:rPr>
        <w:t>,</w:t>
      </w:r>
      <w:r w:rsidR="009E0C3F" w:rsidRPr="00A06D42">
        <w:rPr>
          <w:rFonts w:ascii="Arial" w:hAnsi="Arial" w:cs="Arial"/>
        </w:rPr>
        <w:t xml:space="preserve"> nos termos do art</w:t>
      </w:r>
      <w:r w:rsidR="006B6A3F">
        <w:rPr>
          <w:rFonts w:ascii="Arial" w:hAnsi="Arial" w:cs="Arial"/>
        </w:rPr>
        <w:t>.</w:t>
      </w:r>
      <w:r w:rsidR="009E0C3F" w:rsidRPr="00A06D42">
        <w:rPr>
          <w:rFonts w:ascii="Arial" w:hAnsi="Arial" w:cs="Arial"/>
        </w:rPr>
        <w:t xml:space="preserve"> 487, inciso III, alínea b</w:t>
      </w:r>
      <w:r w:rsidR="006B6A3F">
        <w:rPr>
          <w:rFonts w:ascii="Arial" w:hAnsi="Arial" w:cs="Arial"/>
        </w:rPr>
        <w:t>,</w:t>
      </w:r>
      <w:r w:rsidR="009E0C3F" w:rsidRPr="00A06D42">
        <w:rPr>
          <w:rFonts w:ascii="Arial" w:hAnsi="Arial" w:cs="Arial"/>
        </w:rPr>
        <w:t xml:space="preserve"> do Código de Processo Civil,</w:t>
      </w:r>
      <w:r w:rsidR="000A37E1">
        <w:rPr>
          <w:rFonts w:ascii="Arial" w:hAnsi="Arial" w:cs="Arial"/>
        </w:rPr>
        <w:t xml:space="preserve"> além do cancelamento do processo administrativo arrolado na</w:t>
      </w:r>
      <w:r w:rsidR="00256D52">
        <w:rPr>
          <w:rFonts w:ascii="Arial" w:hAnsi="Arial" w:cs="Arial"/>
        </w:rPr>
        <w:t>s</w:t>
      </w:r>
      <w:r w:rsidR="000A37E1">
        <w:rPr>
          <w:rFonts w:ascii="Arial" w:hAnsi="Arial" w:cs="Arial"/>
        </w:rPr>
        <w:t xml:space="preserve"> alínea</w:t>
      </w:r>
      <w:r w:rsidR="00256D52">
        <w:rPr>
          <w:rFonts w:ascii="Arial" w:hAnsi="Arial" w:cs="Arial"/>
        </w:rPr>
        <w:t>s</w:t>
      </w:r>
      <w:r w:rsidR="000A37E1">
        <w:rPr>
          <w:rFonts w:ascii="Arial" w:hAnsi="Arial" w:cs="Arial"/>
        </w:rPr>
        <w:t xml:space="preserve"> </w:t>
      </w:r>
      <w:r w:rsidR="00256D52">
        <w:rPr>
          <w:rFonts w:ascii="Arial" w:hAnsi="Arial" w:cs="Arial"/>
        </w:rPr>
        <w:t>“</w:t>
      </w:r>
      <w:r w:rsidR="000A37E1">
        <w:rPr>
          <w:rFonts w:ascii="Arial" w:hAnsi="Arial" w:cs="Arial"/>
        </w:rPr>
        <w:t>f</w:t>
      </w:r>
      <w:r w:rsidR="00256D52">
        <w:rPr>
          <w:rFonts w:ascii="Arial" w:hAnsi="Arial" w:cs="Arial"/>
        </w:rPr>
        <w:t xml:space="preserve">” e “g” </w:t>
      </w:r>
      <w:r w:rsidR="000A37E1">
        <w:rPr>
          <w:rFonts w:ascii="Arial" w:hAnsi="Arial" w:cs="Arial"/>
        </w:rPr>
        <w:t>d</w:t>
      </w:r>
      <w:r w:rsidR="00D776F5">
        <w:rPr>
          <w:rFonts w:ascii="Arial" w:hAnsi="Arial" w:cs="Arial"/>
        </w:rPr>
        <w:t xml:space="preserve">o item </w:t>
      </w:r>
      <w:r w:rsidR="000A37E1">
        <w:rPr>
          <w:rFonts w:ascii="Arial" w:hAnsi="Arial" w:cs="Arial"/>
        </w:rPr>
        <w:t>3.1</w:t>
      </w:r>
      <w:r w:rsidR="00087B29">
        <w:rPr>
          <w:rFonts w:ascii="Arial" w:hAnsi="Arial" w:cs="Arial"/>
        </w:rPr>
        <w:t xml:space="preserve"> acima.</w:t>
      </w:r>
    </w:p>
    <w:p w:rsidR="00EB1E05" w:rsidRDefault="00EB1E05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EB1E05" w:rsidRDefault="00EB1E05" w:rsidP="00A1692E">
      <w:pPr>
        <w:pStyle w:val="Cabealho"/>
        <w:tabs>
          <w:tab w:val="clear" w:pos="4320"/>
          <w:tab w:val="clear" w:pos="864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 w:rsidR="00930955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A sentença arbitral acima referida é </w:t>
      </w:r>
      <w:r w:rsidR="00C44B77">
        <w:rPr>
          <w:rFonts w:ascii="Arial" w:hAnsi="Arial" w:cs="Arial"/>
        </w:rPr>
        <w:t xml:space="preserve">irrecorrível e </w:t>
      </w:r>
      <w:r>
        <w:rPr>
          <w:rFonts w:ascii="Arial" w:hAnsi="Arial" w:cs="Arial"/>
        </w:rPr>
        <w:t xml:space="preserve">imutável </w:t>
      </w:r>
      <w:r w:rsidR="00C44B77">
        <w:rPr>
          <w:rFonts w:ascii="Arial" w:hAnsi="Arial" w:cs="Arial"/>
        </w:rPr>
        <w:t xml:space="preserve">e formará coisa julgada material, </w:t>
      </w:r>
      <w:r>
        <w:rPr>
          <w:rFonts w:ascii="Arial" w:hAnsi="Arial" w:cs="Arial"/>
        </w:rPr>
        <w:t>não c</w:t>
      </w:r>
      <w:r w:rsidR="00C44B77">
        <w:rPr>
          <w:rFonts w:ascii="Arial" w:hAnsi="Arial" w:cs="Arial"/>
        </w:rPr>
        <w:t>abendo a qualquer juízo ou corte alter</w:t>
      </w:r>
      <w:r w:rsidR="00256D52">
        <w:rPr>
          <w:rFonts w:ascii="Arial" w:hAnsi="Arial" w:cs="Arial"/>
        </w:rPr>
        <w:t>á</w:t>
      </w:r>
      <w:r w:rsidR="00C44B77">
        <w:rPr>
          <w:rFonts w:ascii="Arial" w:hAnsi="Arial" w:cs="Arial"/>
        </w:rPr>
        <w:t>-l</w:t>
      </w:r>
      <w:r w:rsidR="00256D52">
        <w:rPr>
          <w:rFonts w:ascii="Arial" w:hAnsi="Arial" w:cs="Arial"/>
        </w:rPr>
        <w:t>a</w:t>
      </w:r>
      <w:r w:rsidR="00C44B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por mais </w:t>
      </w:r>
      <w:r w:rsidR="00C44B77">
        <w:rPr>
          <w:rFonts w:ascii="Arial" w:hAnsi="Arial" w:cs="Arial"/>
        </w:rPr>
        <w:t xml:space="preserve">privilegiado </w:t>
      </w:r>
      <w:r>
        <w:rPr>
          <w:rFonts w:ascii="Arial" w:hAnsi="Arial" w:cs="Arial"/>
        </w:rPr>
        <w:t>que seja.</w:t>
      </w:r>
    </w:p>
    <w:p w:rsidR="002E3005" w:rsidRDefault="002E3005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</w:p>
    <w:p w:rsidR="009E0C3F" w:rsidRPr="00EA20F5" w:rsidRDefault="00AA0964" w:rsidP="009E0C3F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E557E6">
        <w:rPr>
          <w:rFonts w:ascii="Arial" w:hAnsi="Arial" w:cs="Arial"/>
        </w:rPr>
        <w:t>8</w:t>
      </w:r>
      <w:r w:rsidR="00256D52">
        <w:rPr>
          <w:rFonts w:ascii="Arial" w:hAnsi="Arial" w:cs="Arial"/>
        </w:rPr>
        <w:t xml:space="preserve">. </w:t>
      </w:r>
      <w:r w:rsidR="009E0C3F" w:rsidRPr="00EA20F5">
        <w:rPr>
          <w:rFonts w:ascii="Arial" w:hAnsi="Arial" w:cs="Arial"/>
        </w:rPr>
        <w:t>Se, à ocasião da assinatura deste Acordo, houve</w:t>
      </w:r>
      <w:r w:rsidR="009E0C3F">
        <w:rPr>
          <w:rFonts w:ascii="Arial" w:hAnsi="Arial" w:cs="Arial"/>
        </w:rPr>
        <w:t>r</w:t>
      </w:r>
      <w:r w:rsidR="009E0C3F" w:rsidRPr="00EA20F5">
        <w:rPr>
          <w:rFonts w:ascii="Arial" w:hAnsi="Arial" w:cs="Arial"/>
        </w:rPr>
        <w:t xml:space="preserve"> eventuais recursos </w:t>
      </w:r>
      <w:r w:rsidR="009E0C3F" w:rsidRPr="005F538F">
        <w:rPr>
          <w:rFonts w:ascii="Arial" w:hAnsi="Arial" w:cs="Arial"/>
        </w:rPr>
        <w:t xml:space="preserve">pendentes, cada Parte Recorrente desistirá deles </w:t>
      </w:r>
      <w:r w:rsidR="005F538F" w:rsidRPr="005F538F">
        <w:rPr>
          <w:rFonts w:ascii="Arial" w:hAnsi="Arial" w:cs="Arial"/>
        </w:rPr>
        <w:t>em petição acordada entre as Partes</w:t>
      </w:r>
      <w:r w:rsidR="000B3FDB" w:rsidRPr="005F538F">
        <w:rPr>
          <w:rFonts w:ascii="Arial" w:hAnsi="Arial" w:cs="Arial"/>
        </w:rPr>
        <w:t>.</w:t>
      </w:r>
    </w:p>
    <w:p w:rsidR="00AE3B9A" w:rsidRDefault="00AE3B9A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9E0C3F" w:rsidRDefault="009E0C3F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</w:p>
    <w:p w:rsidR="008F473E" w:rsidRPr="008F473E" w:rsidRDefault="008F473E" w:rsidP="008F47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473E">
        <w:rPr>
          <w:rFonts w:ascii="Arial" w:hAnsi="Arial" w:cs="Arial"/>
          <w:b/>
          <w:sz w:val="24"/>
          <w:szCs w:val="24"/>
        </w:rPr>
        <w:t xml:space="preserve">CLÁUSULA </w:t>
      </w:r>
      <w:r w:rsidR="007B0180">
        <w:rPr>
          <w:rFonts w:ascii="Arial" w:hAnsi="Arial" w:cs="Arial"/>
          <w:b/>
          <w:sz w:val="24"/>
          <w:szCs w:val="24"/>
        </w:rPr>
        <w:t>QUARTA</w:t>
      </w:r>
      <w:r w:rsidR="007B0180" w:rsidRPr="008F473E">
        <w:rPr>
          <w:rFonts w:ascii="Arial" w:hAnsi="Arial" w:cs="Arial"/>
          <w:b/>
          <w:sz w:val="24"/>
          <w:szCs w:val="24"/>
        </w:rPr>
        <w:t xml:space="preserve"> </w:t>
      </w:r>
      <w:r w:rsidRPr="008F473E">
        <w:rPr>
          <w:rFonts w:ascii="Arial" w:hAnsi="Arial" w:cs="Arial"/>
          <w:b/>
          <w:sz w:val="24"/>
          <w:szCs w:val="24"/>
        </w:rPr>
        <w:t xml:space="preserve">– </w:t>
      </w:r>
      <w:r w:rsidR="00252F0A">
        <w:rPr>
          <w:rFonts w:ascii="Arial" w:hAnsi="Arial" w:cs="Arial"/>
          <w:b/>
          <w:sz w:val="24"/>
          <w:szCs w:val="24"/>
        </w:rPr>
        <w:t>DOS LITÍGIOS SOBRE O MESMO TEMA</w:t>
      </w:r>
    </w:p>
    <w:p w:rsidR="008F473E" w:rsidRPr="008F473E" w:rsidRDefault="008F473E" w:rsidP="003C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3B9A" w:rsidRPr="008F473E" w:rsidRDefault="007B0180" w:rsidP="003C41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8F473E" w:rsidRPr="008F473E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.</w:t>
      </w:r>
      <w:r w:rsidR="00185AA8" w:rsidRPr="008F473E">
        <w:rPr>
          <w:rFonts w:ascii="Arial" w:hAnsi="Arial" w:cs="Arial"/>
          <w:sz w:val="24"/>
          <w:szCs w:val="24"/>
        </w:rPr>
        <w:t xml:space="preserve"> </w:t>
      </w:r>
      <w:r w:rsidR="00252F0A">
        <w:rPr>
          <w:rFonts w:ascii="Arial" w:hAnsi="Arial" w:cs="Arial"/>
          <w:sz w:val="24"/>
          <w:szCs w:val="24"/>
        </w:rPr>
        <w:t>As Partes iniciarão tratativas buscando resolver os litígios que envolvem os contratos de concessão BM-S-11, BM-C-36</w:t>
      </w:r>
      <w:r w:rsidR="00B72CBE">
        <w:rPr>
          <w:rFonts w:ascii="Arial" w:hAnsi="Arial" w:cs="Arial"/>
          <w:sz w:val="24"/>
          <w:szCs w:val="24"/>
        </w:rPr>
        <w:t xml:space="preserve"> e BM-S-40</w:t>
      </w:r>
      <w:r w:rsidR="007958D7">
        <w:rPr>
          <w:rFonts w:ascii="Arial" w:hAnsi="Arial" w:cs="Arial"/>
          <w:sz w:val="24"/>
          <w:szCs w:val="24"/>
        </w:rPr>
        <w:t>.</w:t>
      </w:r>
    </w:p>
    <w:p w:rsidR="00AE3B9A" w:rsidRPr="00AF2CD1" w:rsidRDefault="00AE3B9A" w:rsidP="00080544">
      <w:pPr>
        <w:rPr>
          <w:rFonts w:ascii="Arial" w:hAnsi="Arial" w:cs="Arial"/>
          <w:sz w:val="24"/>
          <w:szCs w:val="24"/>
        </w:rPr>
      </w:pPr>
    </w:p>
    <w:p w:rsidR="00080544" w:rsidRPr="00AF2CD1" w:rsidRDefault="003A0D0D" w:rsidP="00080544">
      <w:pPr>
        <w:rPr>
          <w:rFonts w:ascii="Arial" w:hAnsi="Arial" w:cs="Arial"/>
          <w:b/>
          <w:sz w:val="24"/>
          <w:szCs w:val="24"/>
        </w:rPr>
      </w:pPr>
      <w:r w:rsidRPr="00AF2CD1">
        <w:rPr>
          <w:rFonts w:ascii="Arial" w:hAnsi="Arial" w:cs="Arial"/>
          <w:b/>
          <w:sz w:val="24"/>
          <w:szCs w:val="24"/>
        </w:rPr>
        <w:t xml:space="preserve">CLÁUSULA </w:t>
      </w:r>
      <w:r w:rsidR="007958D7">
        <w:rPr>
          <w:rFonts w:ascii="Arial" w:hAnsi="Arial" w:cs="Arial"/>
          <w:b/>
          <w:sz w:val="24"/>
          <w:szCs w:val="24"/>
        </w:rPr>
        <w:tab/>
        <w:t>QUINTA</w:t>
      </w:r>
      <w:r w:rsidR="007958D7" w:rsidRPr="00AF2CD1">
        <w:rPr>
          <w:rFonts w:ascii="Arial" w:hAnsi="Arial" w:cs="Arial"/>
          <w:b/>
          <w:sz w:val="24"/>
          <w:szCs w:val="24"/>
        </w:rPr>
        <w:t xml:space="preserve"> </w:t>
      </w:r>
      <w:r w:rsidRPr="00AF2CD1">
        <w:rPr>
          <w:rFonts w:ascii="Arial" w:hAnsi="Arial" w:cs="Arial"/>
          <w:b/>
          <w:sz w:val="24"/>
          <w:szCs w:val="24"/>
        </w:rPr>
        <w:t>– RESOLUÇÃO DE DISPUTAS</w:t>
      </w:r>
    </w:p>
    <w:p w:rsidR="003A0D0D" w:rsidRDefault="00DA172B" w:rsidP="0081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F2CD1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.</w:t>
      </w:r>
      <w:r w:rsidR="00AF2CD1">
        <w:rPr>
          <w:rFonts w:ascii="Arial" w:hAnsi="Arial" w:cs="Arial"/>
          <w:sz w:val="24"/>
          <w:szCs w:val="24"/>
        </w:rPr>
        <w:t xml:space="preserve"> </w:t>
      </w:r>
      <w:r w:rsidR="00AF2CD1" w:rsidRPr="00AF2CD1">
        <w:rPr>
          <w:rFonts w:ascii="Arial" w:hAnsi="Arial" w:cs="Arial"/>
          <w:sz w:val="24"/>
          <w:szCs w:val="24"/>
        </w:rPr>
        <w:t>Este Acordo</w:t>
      </w:r>
      <w:r w:rsidR="00AF2CD1">
        <w:rPr>
          <w:rFonts w:ascii="Arial" w:hAnsi="Arial" w:cs="Arial"/>
          <w:sz w:val="24"/>
          <w:szCs w:val="24"/>
        </w:rPr>
        <w:t xml:space="preserve"> será executado, regido e interpretado de acordo com as leis </w:t>
      </w:r>
      <w:r w:rsidR="00FD0344">
        <w:rPr>
          <w:rFonts w:ascii="Arial" w:hAnsi="Arial" w:cs="Arial"/>
          <w:sz w:val="24"/>
          <w:szCs w:val="24"/>
        </w:rPr>
        <w:t>da República Federativa do Brasil</w:t>
      </w:r>
      <w:r w:rsidR="00AF2CD1">
        <w:rPr>
          <w:rFonts w:ascii="Arial" w:hAnsi="Arial" w:cs="Arial"/>
          <w:sz w:val="24"/>
          <w:szCs w:val="24"/>
        </w:rPr>
        <w:t xml:space="preserve">. </w:t>
      </w:r>
    </w:p>
    <w:p w:rsidR="00A56F1E" w:rsidRDefault="00A56F1E" w:rsidP="0081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2CD1" w:rsidRPr="00A56F1E" w:rsidRDefault="00DA172B" w:rsidP="0081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F2CD1">
        <w:rPr>
          <w:rFonts w:ascii="Arial" w:hAnsi="Arial" w:cs="Arial"/>
          <w:sz w:val="24"/>
          <w:szCs w:val="24"/>
        </w:rPr>
        <w:t>.2</w:t>
      </w:r>
      <w:r>
        <w:rPr>
          <w:rFonts w:ascii="Arial" w:hAnsi="Arial" w:cs="Arial"/>
          <w:sz w:val="24"/>
          <w:szCs w:val="24"/>
        </w:rPr>
        <w:t>.</w:t>
      </w:r>
      <w:r w:rsidR="00AF2CD1">
        <w:rPr>
          <w:rFonts w:ascii="Arial" w:hAnsi="Arial" w:cs="Arial"/>
          <w:sz w:val="24"/>
          <w:szCs w:val="24"/>
        </w:rPr>
        <w:t xml:space="preserve"> </w:t>
      </w:r>
      <w:r w:rsidR="00A56F1E">
        <w:rPr>
          <w:rFonts w:ascii="Arial" w:hAnsi="Arial" w:cs="Arial"/>
          <w:sz w:val="24"/>
          <w:szCs w:val="24"/>
        </w:rPr>
        <w:t>Eventual</w:t>
      </w:r>
      <w:r w:rsidR="00A56F1E" w:rsidRPr="00A56F1E">
        <w:rPr>
          <w:rFonts w:ascii="Arial" w:hAnsi="Arial" w:cs="Arial"/>
          <w:sz w:val="24"/>
          <w:szCs w:val="24"/>
        </w:rPr>
        <w:t xml:space="preserve"> controvérsia originada, relativa ou em conexão com este </w:t>
      </w:r>
      <w:r w:rsidR="00A56F1E">
        <w:rPr>
          <w:rFonts w:ascii="Arial" w:hAnsi="Arial" w:cs="Arial"/>
          <w:sz w:val="24"/>
          <w:szCs w:val="24"/>
        </w:rPr>
        <w:t>Acordo</w:t>
      </w:r>
      <w:r w:rsidR="00A56F1E" w:rsidRPr="00A56F1E">
        <w:rPr>
          <w:rFonts w:ascii="Arial" w:hAnsi="Arial" w:cs="Arial"/>
          <w:sz w:val="24"/>
          <w:szCs w:val="24"/>
        </w:rPr>
        <w:t xml:space="preserve"> deverá ser exclusiva e definitivamente decidida por arbitragem, nos termos da Cláusula </w:t>
      </w:r>
      <w:r w:rsidR="00A56F1E">
        <w:rPr>
          <w:rFonts w:ascii="Arial" w:hAnsi="Arial" w:cs="Arial"/>
          <w:sz w:val="24"/>
          <w:szCs w:val="24"/>
        </w:rPr>
        <w:t xml:space="preserve">29.4 </w:t>
      </w:r>
      <w:r w:rsidR="00A56F1E" w:rsidRPr="00A56F1E">
        <w:rPr>
          <w:rFonts w:ascii="Arial" w:hAnsi="Arial" w:cs="Arial"/>
          <w:sz w:val="24"/>
          <w:szCs w:val="24"/>
        </w:rPr>
        <w:t>do Contrato de Concessão B</w:t>
      </w:r>
      <w:r w:rsidR="00A56F1E">
        <w:rPr>
          <w:rFonts w:ascii="Arial" w:hAnsi="Arial" w:cs="Arial"/>
          <w:sz w:val="24"/>
          <w:szCs w:val="24"/>
        </w:rPr>
        <w:t>C-60.</w:t>
      </w:r>
    </w:p>
    <w:p w:rsidR="00A56F1E" w:rsidRPr="00A56F1E" w:rsidRDefault="00A56F1E" w:rsidP="0081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6F1E" w:rsidRPr="00A56F1E" w:rsidRDefault="00DA172B" w:rsidP="00816A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56F1E">
        <w:rPr>
          <w:rFonts w:ascii="Arial" w:hAnsi="Arial" w:cs="Arial"/>
          <w:sz w:val="24"/>
          <w:szCs w:val="24"/>
        </w:rPr>
        <w:t>.2.1</w:t>
      </w:r>
      <w:r>
        <w:rPr>
          <w:rFonts w:ascii="Arial" w:hAnsi="Arial" w:cs="Arial"/>
          <w:sz w:val="24"/>
          <w:szCs w:val="24"/>
        </w:rPr>
        <w:t>.</w:t>
      </w:r>
      <w:r w:rsidR="00A56F1E">
        <w:rPr>
          <w:rFonts w:ascii="Arial" w:hAnsi="Arial" w:cs="Arial"/>
          <w:sz w:val="24"/>
          <w:szCs w:val="24"/>
        </w:rPr>
        <w:t xml:space="preserve"> </w:t>
      </w:r>
      <w:r w:rsidR="00A56F1E" w:rsidRPr="00A56F1E">
        <w:rPr>
          <w:rFonts w:ascii="Arial" w:hAnsi="Arial" w:cs="Arial"/>
          <w:sz w:val="24"/>
          <w:szCs w:val="24"/>
        </w:rPr>
        <w:t>Havendo necessidade de medidas cautelares, preparatórias ou incidentais, anteriores à formação do Tribunal Arbitral, estas serão requeridas pela Parte interessada diretamente no foro eleito da cidade do Rio de Janeiro, sem que isso constitua renúncia à arbitragem ou à competência do Tribunal Arbitral.</w:t>
      </w:r>
    </w:p>
    <w:p w:rsidR="003A0D0D" w:rsidRPr="00AF2CD1" w:rsidRDefault="003A0D0D" w:rsidP="00FD0344">
      <w:pPr>
        <w:jc w:val="both"/>
        <w:rPr>
          <w:rFonts w:ascii="Arial" w:hAnsi="Arial" w:cs="Arial"/>
          <w:sz w:val="24"/>
          <w:szCs w:val="24"/>
        </w:rPr>
      </w:pPr>
    </w:p>
    <w:p w:rsidR="00CF01BA" w:rsidRPr="00A91229" w:rsidRDefault="00CF01BA" w:rsidP="00A91229">
      <w:pPr>
        <w:pStyle w:val="PargrafodaLista"/>
        <w:tabs>
          <w:tab w:val="left" w:pos="0"/>
          <w:tab w:val="left" w:pos="284"/>
        </w:tabs>
        <w:ind w:left="0"/>
        <w:jc w:val="both"/>
        <w:rPr>
          <w:rFonts w:ascii="Arial" w:hAnsi="Arial" w:cs="Arial"/>
        </w:rPr>
      </w:pPr>
      <w:r w:rsidRPr="008F473E">
        <w:rPr>
          <w:rFonts w:ascii="Arial" w:hAnsi="Arial" w:cs="Arial"/>
        </w:rPr>
        <w:t>E, po</w:t>
      </w:r>
      <w:r w:rsidRPr="00CF01BA">
        <w:rPr>
          <w:rFonts w:ascii="Arial" w:hAnsi="Arial" w:cs="Arial"/>
        </w:rPr>
        <w:t xml:space="preserve">r estarem justas e acordadas, firmam o presente </w:t>
      </w:r>
      <w:r>
        <w:rPr>
          <w:rFonts w:ascii="Arial" w:hAnsi="Arial" w:cs="Arial"/>
        </w:rPr>
        <w:t>Acordo</w:t>
      </w:r>
      <w:r w:rsidRPr="00CF01BA">
        <w:rPr>
          <w:rFonts w:ascii="Arial" w:hAnsi="Arial" w:cs="Arial"/>
        </w:rPr>
        <w:t>, em (02) duas vias de igual teor e forma, na presença das testemunhas abaixo firmadas e qualificadas, que também o subscrevem.</w:t>
      </w:r>
    </w:p>
    <w:p w:rsidR="00A91229" w:rsidRPr="005E783B" w:rsidRDefault="00A91229" w:rsidP="00A91229">
      <w:pPr>
        <w:pStyle w:val="PargrafodaLista"/>
        <w:ind w:left="405"/>
        <w:jc w:val="both"/>
        <w:rPr>
          <w:rFonts w:ascii="Arial" w:hAnsi="Arial" w:cs="Arial"/>
        </w:rPr>
      </w:pPr>
    </w:p>
    <w:p w:rsidR="004931D5" w:rsidRPr="0070260B" w:rsidRDefault="004931D5" w:rsidP="004931D5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  <w:b/>
        </w:rPr>
      </w:pPr>
      <w:r w:rsidRPr="0070260B">
        <w:rPr>
          <w:rFonts w:ascii="Arial" w:hAnsi="Arial" w:cs="Arial"/>
        </w:rPr>
        <w:t>Rio de Janeiro,</w:t>
      </w:r>
      <w:r w:rsidRPr="0070260B">
        <w:rPr>
          <w:rFonts w:ascii="Arial" w:hAnsi="Arial" w:cs="Arial"/>
          <w:b/>
        </w:rPr>
        <w:t xml:space="preserve"> </w:t>
      </w:r>
      <w:r w:rsidR="000B3FDB" w:rsidRPr="000B3FDB">
        <w:rPr>
          <w:rFonts w:ascii="Arial" w:hAnsi="Arial" w:cs="Arial"/>
          <w:b/>
          <w:highlight w:val="yellow"/>
        </w:rPr>
        <w:t>[DATA]</w:t>
      </w:r>
    </w:p>
    <w:p w:rsidR="007D48CB" w:rsidRDefault="007D48CB" w:rsidP="007D48CB">
      <w:pPr>
        <w:pStyle w:val="PargrafodaLista"/>
        <w:rPr>
          <w:rFonts w:ascii="Arial" w:hAnsi="Arial" w:cs="Arial"/>
          <w:b/>
        </w:rPr>
      </w:pPr>
    </w:p>
    <w:p w:rsidR="004931D5" w:rsidRPr="004931D5" w:rsidRDefault="004931D5" w:rsidP="007D48CB">
      <w:pPr>
        <w:pStyle w:val="PargrafodaLista"/>
        <w:rPr>
          <w:rFonts w:ascii="Arial" w:hAnsi="Arial" w:cs="Arial"/>
          <w:b/>
        </w:rPr>
      </w:pPr>
    </w:p>
    <w:p w:rsidR="004931D5" w:rsidRPr="004931D5" w:rsidRDefault="000B3FDB" w:rsidP="004931D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sz w:val="24"/>
          <w:szCs w:val="24"/>
        </w:rPr>
      </w:pPr>
      <w:r w:rsidRPr="000B3FDB">
        <w:rPr>
          <w:rFonts w:ascii="Arial" w:eastAsia="Arial Unicode MS" w:hAnsi="Arial" w:cs="Arial"/>
          <w:sz w:val="24"/>
          <w:szCs w:val="24"/>
          <w:highlight w:val="yellow"/>
        </w:rPr>
        <w:t>______________________________________</w:t>
      </w:r>
    </w:p>
    <w:p w:rsidR="004931D5" w:rsidRPr="0070260B" w:rsidRDefault="004931D5" w:rsidP="004931D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70260B">
        <w:rPr>
          <w:rFonts w:ascii="Arial" w:eastAsia="Arial Unicode MS" w:hAnsi="Arial" w:cs="Arial"/>
          <w:b/>
          <w:bCs/>
          <w:sz w:val="24"/>
          <w:szCs w:val="24"/>
        </w:rPr>
        <w:t>PETRÓLEO BRASILEIRO S.A. – PETROBRAS</w:t>
      </w:r>
    </w:p>
    <w:p w:rsidR="004931D5" w:rsidRPr="00C463F1" w:rsidRDefault="000B3FDB" w:rsidP="004931D5">
      <w:pPr>
        <w:ind w:left="11"/>
        <w:jc w:val="center"/>
        <w:rPr>
          <w:rFonts w:ascii="Arial" w:hAnsi="Arial" w:cs="Arial"/>
          <w:sz w:val="24"/>
          <w:szCs w:val="24"/>
          <w:highlight w:val="yellow"/>
        </w:rPr>
      </w:pPr>
      <w:r w:rsidRPr="000B3FDB">
        <w:rPr>
          <w:rFonts w:ascii="Arial" w:hAnsi="Arial" w:cs="Arial"/>
          <w:b/>
          <w:sz w:val="24"/>
          <w:szCs w:val="24"/>
          <w:highlight w:val="yellow"/>
        </w:rPr>
        <w:t>[</w:t>
      </w:r>
      <w:r w:rsidRPr="000B3FDB">
        <w:rPr>
          <w:rFonts w:ascii="Arial" w:hAnsi="Arial" w:cs="Arial"/>
          <w:b/>
          <w:smallCaps/>
          <w:sz w:val="24"/>
          <w:szCs w:val="24"/>
          <w:highlight w:val="yellow"/>
        </w:rPr>
        <w:t>nome</w:t>
      </w:r>
      <w:r w:rsidRPr="000B3FDB">
        <w:rPr>
          <w:rFonts w:ascii="Arial" w:hAnsi="Arial" w:cs="Arial"/>
          <w:sz w:val="24"/>
          <w:szCs w:val="24"/>
          <w:highlight w:val="yellow"/>
        </w:rPr>
        <w:t>]</w:t>
      </w:r>
    </w:p>
    <w:p w:rsidR="004931D5" w:rsidRPr="0070260B" w:rsidRDefault="000B3FDB" w:rsidP="004931D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mallCaps/>
          <w:sz w:val="24"/>
          <w:szCs w:val="24"/>
        </w:rPr>
      </w:pPr>
      <w:r w:rsidRPr="000B3FDB">
        <w:rPr>
          <w:rFonts w:ascii="Arial" w:hAnsi="Arial" w:cs="Arial"/>
          <w:smallCaps/>
          <w:sz w:val="24"/>
          <w:szCs w:val="24"/>
          <w:highlight w:val="yellow"/>
        </w:rPr>
        <w:t>[</w:t>
      </w:r>
      <w:r w:rsidRPr="000B3FDB">
        <w:rPr>
          <w:rFonts w:ascii="Arial" w:hAnsi="Arial" w:cs="Arial"/>
          <w:b/>
          <w:smallCaps/>
          <w:sz w:val="24"/>
          <w:szCs w:val="24"/>
          <w:highlight w:val="yellow"/>
        </w:rPr>
        <w:t>função]</w:t>
      </w:r>
    </w:p>
    <w:p w:rsidR="004931D5" w:rsidRPr="00C463F1" w:rsidRDefault="004931D5" w:rsidP="004931D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sz w:val="24"/>
          <w:szCs w:val="24"/>
        </w:rPr>
      </w:pPr>
    </w:p>
    <w:p w:rsidR="004931D5" w:rsidRPr="0070260B" w:rsidRDefault="000B3FDB" w:rsidP="004931D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sz w:val="24"/>
          <w:szCs w:val="24"/>
        </w:rPr>
      </w:pPr>
      <w:r w:rsidRPr="000B3FDB">
        <w:rPr>
          <w:rFonts w:ascii="Arial" w:eastAsia="Arial Unicode MS" w:hAnsi="Arial" w:cs="Arial"/>
          <w:sz w:val="24"/>
          <w:szCs w:val="24"/>
          <w:highlight w:val="yellow"/>
        </w:rPr>
        <w:t>______________________________________</w:t>
      </w:r>
    </w:p>
    <w:p w:rsidR="004931D5" w:rsidRPr="00C463F1" w:rsidRDefault="009B7E21" w:rsidP="004931D5">
      <w:pPr>
        <w:ind w:left="11"/>
        <w:jc w:val="center"/>
        <w:rPr>
          <w:rFonts w:ascii="Arial" w:hAnsi="Arial" w:cs="Arial"/>
          <w:b/>
          <w:smallCaps/>
          <w:sz w:val="24"/>
          <w:szCs w:val="24"/>
        </w:rPr>
      </w:pPr>
      <w:r w:rsidRPr="0070260B">
        <w:rPr>
          <w:rFonts w:ascii="Arial" w:hAnsi="Arial" w:cs="Arial"/>
          <w:b/>
        </w:rPr>
        <w:t xml:space="preserve">AGÊNCIA NACIONAL DE PETRÓLEO E GÁS </w:t>
      </w:r>
      <w:r w:rsidR="004931D5" w:rsidRPr="0070260B">
        <w:rPr>
          <w:rFonts w:ascii="Arial" w:hAnsi="Arial" w:cs="Arial"/>
          <w:b/>
        </w:rPr>
        <w:t>– ANP</w:t>
      </w:r>
      <w:r w:rsidR="000B3FDB" w:rsidRPr="000B3FDB"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:rsidR="004931D5" w:rsidRPr="00C463F1" w:rsidRDefault="000B3FDB" w:rsidP="004931D5">
      <w:pPr>
        <w:ind w:left="11"/>
        <w:jc w:val="center"/>
        <w:rPr>
          <w:rFonts w:ascii="Arial" w:hAnsi="Arial" w:cs="Arial"/>
          <w:b/>
          <w:smallCaps/>
          <w:sz w:val="24"/>
          <w:szCs w:val="24"/>
          <w:highlight w:val="yellow"/>
        </w:rPr>
      </w:pPr>
      <w:r w:rsidRPr="000B3FDB">
        <w:rPr>
          <w:rFonts w:ascii="Arial" w:hAnsi="Arial" w:cs="Arial"/>
          <w:smallCaps/>
          <w:sz w:val="24"/>
          <w:szCs w:val="24"/>
          <w:highlight w:val="yellow"/>
        </w:rPr>
        <w:t>[</w:t>
      </w:r>
      <w:r w:rsidRPr="000B3FDB">
        <w:rPr>
          <w:rFonts w:ascii="Arial" w:hAnsi="Arial" w:cs="Arial"/>
          <w:b/>
          <w:smallCaps/>
          <w:sz w:val="24"/>
          <w:szCs w:val="24"/>
          <w:highlight w:val="yellow"/>
        </w:rPr>
        <w:t>nome</w:t>
      </w:r>
      <w:r w:rsidRPr="000B3FDB">
        <w:rPr>
          <w:rFonts w:ascii="Arial" w:hAnsi="Arial" w:cs="Arial"/>
          <w:smallCaps/>
          <w:sz w:val="24"/>
          <w:szCs w:val="24"/>
          <w:highlight w:val="yellow"/>
        </w:rPr>
        <w:t>]</w:t>
      </w:r>
    </w:p>
    <w:p w:rsidR="004931D5" w:rsidRPr="0070260B" w:rsidRDefault="000B3FDB" w:rsidP="004931D5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bCs/>
          <w:smallCaps/>
          <w:sz w:val="24"/>
          <w:szCs w:val="24"/>
        </w:rPr>
      </w:pPr>
      <w:r w:rsidRPr="000B3FDB">
        <w:rPr>
          <w:rFonts w:ascii="Arial" w:hAnsi="Arial" w:cs="Arial"/>
          <w:smallCaps/>
          <w:sz w:val="24"/>
          <w:szCs w:val="24"/>
          <w:highlight w:val="yellow"/>
        </w:rPr>
        <w:t>[</w:t>
      </w:r>
      <w:r w:rsidRPr="000B3FDB">
        <w:rPr>
          <w:rFonts w:ascii="Arial" w:hAnsi="Arial" w:cs="Arial"/>
          <w:b/>
          <w:smallCaps/>
          <w:sz w:val="24"/>
          <w:szCs w:val="24"/>
          <w:highlight w:val="yellow"/>
        </w:rPr>
        <w:t>função</w:t>
      </w:r>
      <w:r w:rsidRPr="000B3FDB">
        <w:rPr>
          <w:rFonts w:ascii="Arial" w:hAnsi="Arial" w:cs="Arial"/>
          <w:smallCaps/>
          <w:sz w:val="24"/>
          <w:szCs w:val="24"/>
          <w:highlight w:val="yellow"/>
        </w:rPr>
        <w:t>]</w:t>
      </w:r>
    </w:p>
    <w:p w:rsidR="004931D5" w:rsidRPr="004931D5" w:rsidRDefault="004931D5" w:rsidP="004931D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4931D5" w:rsidRPr="004931D5" w:rsidRDefault="004931D5" w:rsidP="004931D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4931D5" w:rsidRPr="004931D5" w:rsidRDefault="004931D5" w:rsidP="004931D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4931D5">
        <w:rPr>
          <w:rFonts w:ascii="Arial" w:eastAsia="Arial Unicode MS" w:hAnsi="Arial" w:cs="Arial"/>
          <w:b/>
          <w:bCs/>
          <w:sz w:val="24"/>
          <w:szCs w:val="24"/>
        </w:rPr>
        <w:t>TESTEMUNHAS:</w:t>
      </w:r>
    </w:p>
    <w:p w:rsidR="004931D5" w:rsidRPr="004931D5" w:rsidRDefault="004931D5" w:rsidP="004931D5">
      <w:pPr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</w:p>
    <w:p w:rsidR="004931D5" w:rsidRPr="004931D5" w:rsidRDefault="004931D5" w:rsidP="004931D5">
      <w:pPr>
        <w:tabs>
          <w:tab w:val="left" w:pos="4140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4931D5">
        <w:rPr>
          <w:rFonts w:ascii="Arial" w:eastAsia="Arial Unicode MS" w:hAnsi="Arial" w:cs="Arial"/>
          <w:sz w:val="24"/>
          <w:szCs w:val="24"/>
        </w:rPr>
        <w:t>Nome:</w:t>
      </w:r>
    </w:p>
    <w:p w:rsidR="004931D5" w:rsidRPr="004931D5" w:rsidRDefault="004931D5" w:rsidP="004931D5">
      <w:pPr>
        <w:tabs>
          <w:tab w:val="left" w:pos="4270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4931D5">
        <w:rPr>
          <w:rFonts w:ascii="Arial" w:eastAsia="Arial Unicode MS" w:hAnsi="Arial" w:cs="Arial"/>
          <w:sz w:val="24"/>
          <w:szCs w:val="24"/>
        </w:rPr>
        <w:lastRenderedPageBreak/>
        <w:t>CPF:</w:t>
      </w:r>
    </w:p>
    <w:p w:rsidR="004931D5" w:rsidRPr="004931D5" w:rsidRDefault="004931D5" w:rsidP="004931D5">
      <w:pPr>
        <w:tabs>
          <w:tab w:val="left" w:pos="4270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4931D5">
        <w:rPr>
          <w:rFonts w:ascii="Arial" w:eastAsia="Arial Unicode MS" w:hAnsi="Arial" w:cs="Arial"/>
          <w:sz w:val="24"/>
          <w:szCs w:val="24"/>
        </w:rPr>
        <w:t>Identidade:</w:t>
      </w:r>
    </w:p>
    <w:p w:rsidR="004931D5" w:rsidRPr="004931D5" w:rsidRDefault="004931D5" w:rsidP="004931D5">
      <w:pPr>
        <w:tabs>
          <w:tab w:val="left" w:pos="4270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</w:p>
    <w:p w:rsidR="004931D5" w:rsidRPr="004931D5" w:rsidRDefault="004931D5" w:rsidP="004931D5">
      <w:pPr>
        <w:tabs>
          <w:tab w:val="left" w:pos="4270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4931D5">
        <w:rPr>
          <w:rFonts w:ascii="Arial" w:eastAsia="Arial Unicode MS" w:hAnsi="Arial" w:cs="Arial"/>
          <w:sz w:val="24"/>
          <w:szCs w:val="24"/>
        </w:rPr>
        <w:t>Nome:</w:t>
      </w:r>
    </w:p>
    <w:p w:rsidR="004931D5" w:rsidRPr="004931D5" w:rsidRDefault="004931D5" w:rsidP="004931D5">
      <w:pPr>
        <w:tabs>
          <w:tab w:val="left" w:pos="4270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4931D5">
        <w:rPr>
          <w:rFonts w:ascii="Arial" w:eastAsia="Arial Unicode MS" w:hAnsi="Arial" w:cs="Arial"/>
          <w:sz w:val="24"/>
          <w:szCs w:val="24"/>
        </w:rPr>
        <w:t>CPF:</w:t>
      </w:r>
    </w:p>
    <w:p w:rsidR="004931D5" w:rsidRPr="004931D5" w:rsidRDefault="004931D5" w:rsidP="004931D5">
      <w:pPr>
        <w:tabs>
          <w:tab w:val="left" w:pos="4270"/>
        </w:tabs>
        <w:autoSpaceDE w:val="0"/>
        <w:autoSpaceDN w:val="0"/>
        <w:adjustRightInd w:val="0"/>
        <w:jc w:val="both"/>
        <w:rPr>
          <w:rFonts w:ascii="Arial" w:eastAsia="Arial Unicode MS" w:hAnsi="Arial" w:cs="Arial"/>
          <w:sz w:val="24"/>
          <w:szCs w:val="24"/>
        </w:rPr>
      </w:pPr>
      <w:r w:rsidRPr="004931D5">
        <w:rPr>
          <w:rFonts w:ascii="Arial" w:eastAsia="Arial Unicode MS" w:hAnsi="Arial" w:cs="Arial"/>
          <w:sz w:val="24"/>
          <w:szCs w:val="24"/>
        </w:rPr>
        <w:t>Identidade:</w:t>
      </w:r>
    </w:p>
    <w:p w:rsidR="007D48CB" w:rsidRDefault="007D48CB" w:rsidP="007D48CB">
      <w:pPr>
        <w:pStyle w:val="PargrafodaLista"/>
        <w:rPr>
          <w:rFonts w:ascii="Arial" w:hAnsi="Arial" w:cs="Arial"/>
          <w:b/>
        </w:rPr>
      </w:pPr>
    </w:p>
    <w:p w:rsidR="007D48CB" w:rsidRPr="001F666B" w:rsidRDefault="007D48CB" w:rsidP="007D48CB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  <w:b/>
        </w:rPr>
      </w:pPr>
    </w:p>
    <w:p w:rsidR="0015764B" w:rsidRDefault="0015764B" w:rsidP="004D3609">
      <w:pPr>
        <w:pStyle w:val="Cabealho"/>
        <w:tabs>
          <w:tab w:val="clear" w:pos="4320"/>
          <w:tab w:val="left" w:pos="-2184"/>
          <w:tab w:val="left" w:pos="-2106"/>
          <w:tab w:val="center" w:pos="360"/>
        </w:tabs>
        <w:ind w:right="23"/>
        <w:jc w:val="both"/>
        <w:rPr>
          <w:rFonts w:ascii="Arial" w:hAnsi="Arial" w:cs="Arial"/>
          <w:lang w:eastAsia="pt-BR"/>
        </w:rPr>
        <w:sectPr w:rsidR="0015764B">
          <w:headerReference w:type="even" r:id="rId7"/>
          <w:headerReference w:type="default" r:id="rId8"/>
          <w:headerReference w:type="firs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607A0" w:rsidRDefault="00D607A0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15764B" w:rsidRDefault="0015764B" w:rsidP="007D48CB">
      <w:pPr>
        <w:rPr>
          <w:rFonts w:ascii="Arial" w:hAnsi="Arial" w:cs="Arial"/>
          <w:sz w:val="24"/>
          <w:szCs w:val="24"/>
        </w:rPr>
        <w:sectPr w:rsidR="0015764B" w:rsidSect="0015764B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5764B" w:rsidRDefault="0015764B" w:rsidP="00497862">
      <w:pPr>
        <w:jc w:val="both"/>
        <w:rPr>
          <w:rFonts w:ascii="Arial" w:hAnsi="Arial" w:cs="Arial"/>
          <w:b/>
          <w:sz w:val="24"/>
          <w:szCs w:val="24"/>
          <w:lang w:eastAsia="en-US"/>
        </w:rPr>
        <w:sectPr w:rsidR="0015764B" w:rsidSect="007D48CB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497862" w:rsidRDefault="00497862" w:rsidP="00497862">
      <w:pPr>
        <w:jc w:val="both"/>
        <w:rPr>
          <w:rFonts w:ascii="Arial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  <w:lang w:eastAsia="en-US"/>
        </w:rPr>
        <w:lastRenderedPageBreak/>
        <w:t>ANEXO 1 – VÉRTICES DO NOV</w:t>
      </w:r>
      <w:r w:rsidR="008E68AB">
        <w:rPr>
          <w:rFonts w:ascii="Arial" w:hAnsi="Arial" w:cs="Arial"/>
          <w:b/>
          <w:sz w:val="24"/>
          <w:szCs w:val="24"/>
          <w:lang w:eastAsia="en-US"/>
        </w:rPr>
        <w:t xml:space="preserve">O CAMPO DE JUBARTE E DAS ÁREAS DE </w:t>
      </w:r>
      <w:proofErr w:type="gramStart"/>
      <w:r w:rsidR="008E68AB">
        <w:rPr>
          <w:rFonts w:ascii="Arial" w:hAnsi="Arial" w:cs="Arial"/>
          <w:b/>
          <w:sz w:val="24"/>
          <w:szCs w:val="24"/>
          <w:lang w:eastAsia="en-US"/>
        </w:rPr>
        <w:t xml:space="preserve">DESENVOLVIMENTO </w:t>
      </w:r>
      <w:r>
        <w:rPr>
          <w:rFonts w:ascii="Arial" w:hAnsi="Arial" w:cs="Arial"/>
          <w:b/>
          <w:sz w:val="24"/>
          <w:szCs w:val="24"/>
          <w:lang w:eastAsia="en-US"/>
        </w:rPr>
        <w:t xml:space="preserve"> DO</w:t>
      </w:r>
      <w:proofErr w:type="gramEnd"/>
      <w:r>
        <w:rPr>
          <w:rFonts w:ascii="Arial" w:hAnsi="Arial" w:cs="Arial"/>
          <w:b/>
          <w:sz w:val="24"/>
          <w:szCs w:val="24"/>
          <w:lang w:eastAsia="en-US"/>
        </w:rPr>
        <w:t xml:space="preserve"> PARQUE DAS BALEIAS</w:t>
      </w:r>
    </w:p>
    <w:p w:rsidR="00497862" w:rsidRDefault="00497862" w:rsidP="00497862">
      <w:pPr>
        <w:jc w:val="both"/>
      </w:pPr>
      <w:r>
        <w:t>A</w:t>
      </w:r>
      <w:r w:rsidRPr="007D0655">
        <w:t>s coordenadas encontram-se no sistema de coorden</w:t>
      </w:r>
      <w:r>
        <w:t>adas SIRGAS 2000 e estão listada</w:t>
      </w:r>
      <w:r w:rsidRPr="007D0655">
        <w:t xml:space="preserve">s a seguir em forma </w:t>
      </w:r>
      <w:r>
        <w:t>de</w:t>
      </w:r>
      <w:r w:rsidRPr="007D0655">
        <w:t xml:space="preserve"> textos</w:t>
      </w:r>
      <w:r w:rsidR="008E68AB">
        <w:t xml:space="preserve">, </w:t>
      </w:r>
      <w:r w:rsidRPr="007D0655">
        <w:t>com três casas decimais, conforme Padrão ANP4C.</w:t>
      </w:r>
    </w:p>
    <w:p w:rsidR="00497862" w:rsidRDefault="00497862" w:rsidP="00497862">
      <w:r>
        <w:t xml:space="preserve">1 - Novo Campo de </w:t>
      </w:r>
      <w:proofErr w:type="spellStart"/>
      <w:r>
        <w:t>Jubarte</w:t>
      </w:r>
      <w:proofErr w:type="spellEnd"/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8"/>
        <w:gridCol w:w="1999"/>
      </w:tblGrid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Vértice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Latitude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Longitude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-21:17:39,375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-39:56:16,397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-21:17:39,375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-21:18:16,875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-21:18:16,875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-39:57:20,625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-21:19:03,750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-39:57:20,625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-21:19:03,750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-39:58:16,875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-21:20:46,875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-39:58:16,875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-21:20:46,875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-39:58:54,375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-39:58:54,375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-39:59:13,125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-21:24:31,875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-39:59:13,125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-21:24:31,875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-21:25:56,250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-21:25:56,250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-40:00:18,750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-21:26:05,625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-40:00:18,750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-21:26:05,625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-40:00:46,875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-21:26:43,125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-40:00:46,875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-21:26:43,125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-40:00:56,250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-21:27:01,875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-40:00:56,250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-21:27:01,875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-40:01:33,750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-21:27:31,786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-40:01:33,750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-21:27:31,786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-40:02:12,652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-21:30:01,787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-40:02:12,652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-21:30:01,787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-40:07:31,405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-21:26:52,500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-40:07:31,404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-21:26:52,500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-40:05:09,375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-21:24:22,500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-40:05:09,375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-21:24:22,500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-40:05:00,000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-40:05:00,000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-40:04:50,625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-21:23:45,000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-40:04:50,625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-21:23:45,000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-21:23:35,625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-21:23:35,625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-40:04:31,875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-40:04:31,875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-40:04:22,500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-21:22:41,159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-40:04:22,500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38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-21:22:41,160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-40:02:59,526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-21:18:18,658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-40:02:59,526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-21:18:18,658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-40:05:29,527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-21:13:46,781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-40:05:29,526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-21:13:46,782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-40:03:46,400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-21:12:13,031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-40:03:46,400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-21:12:13,031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-40:01:25,774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-21:12:03,656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-40:01:25,774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-21:12:03,656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-40:01:53,899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-21:11:54,281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-40:01:53,899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-21:11:54,281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-40:02:22,024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-21:11:35,531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-40:02:22,024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-21:11:35,531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-40:02:40,774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-21:10:58,031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-40:02:40,774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-21:10:58,031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-21:10:28,125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-21:10:28,125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-40:01:24,375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-21:10:18,750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-40:01:24,375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-21:10:18,750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-40:01:15,000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-21:10:09,375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-40:01:15,000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-21:10:09,375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-39:56:16,396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-21:17:39,375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-39:56:16,397</w:t>
            </w:r>
          </w:p>
        </w:tc>
      </w:tr>
    </w:tbl>
    <w:p w:rsidR="00497862" w:rsidRDefault="00497862" w:rsidP="00497862"/>
    <w:p w:rsidR="00497862" w:rsidRDefault="00497862" w:rsidP="00497862">
      <w:r>
        <w:t>2 - Nova Área de Desenvolvimento de Cachalote</w:t>
      </w:r>
    </w:p>
    <w:p w:rsidR="00497862" w:rsidRDefault="00497862" w:rsidP="00497862"/>
    <w:tbl>
      <w:tblPr>
        <w:tblW w:w="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920"/>
        <w:gridCol w:w="1720"/>
      </w:tblGrid>
      <w:tr w:rsidR="00497862" w:rsidRPr="004101BB" w:rsidTr="00497862">
        <w:trPr>
          <w:trHeight w:val="3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Vértice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Latitude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Longitude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-21:10:18,750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-40:01:15,000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-21:10:18,750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-40:01:24,375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-21:10:28,125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-40:01:24,375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-21:10:28,125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-21:10:58,031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-21:10:58,031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-40:04:42,650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-21:10:11,155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-40:04:42,650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-21:10:11,155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-40:07:31,402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-21:07:31,779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-40:07:31,401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-21:07:31,780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-40:01:15,000</w:t>
            </w:r>
          </w:p>
        </w:tc>
      </w:tr>
      <w:tr w:rsidR="00497862" w:rsidRPr="004101BB" w:rsidTr="00497862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-21:10:18,750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-40:01:15,000</w:t>
            </w:r>
          </w:p>
        </w:tc>
      </w:tr>
    </w:tbl>
    <w:p w:rsidR="00497862" w:rsidRDefault="00497862" w:rsidP="00497862"/>
    <w:p w:rsidR="00497862" w:rsidRDefault="00497862" w:rsidP="00497862"/>
    <w:p w:rsidR="008E68AB" w:rsidRDefault="008E68AB" w:rsidP="00497862"/>
    <w:p w:rsidR="0028691A" w:rsidRDefault="0028691A" w:rsidP="00497862"/>
    <w:p w:rsidR="008E68AB" w:rsidRDefault="008E68AB" w:rsidP="00497862"/>
    <w:p w:rsidR="00497862" w:rsidRDefault="00497862" w:rsidP="00497862">
      <w:r>
        <w:lastRenderedPageBreak/>
        <w:t xml:space="preserve">3 - Nova Área de Desenvolvimento de </w:t>
      </w:r>
      <w:proofErr w:type="spellStart"/>
      <w:r>
        <w:t>Pirambu</w:t>
      </w:r>
      <w:proofErr w:type="spellEnd"/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8"/>
        <w:gridCol w:w="1999"/>
      </w:tblGrid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Vértice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Latitude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Longitude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-21:24:43,036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-39:58:27,649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-21:24:43,036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-39:59:33,275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-21:26:26,161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-39:59:33,275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-21:26:26,161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-40:00:38,901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-21:27:31,787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-40:00:38,901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-21:27:31,786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-40:01:33,750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-21:27:01,875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-40:01:33,750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-21:27:01,875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-40:00:56,250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-21:26:43,125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-40:00:56,250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-21:26:43,125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-40:00:46,875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-21:26:05,625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-40:00:46,875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-21:26:05,625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-40:00:18,750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-21:25:56,250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-40:00:18,750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-21:25:56,250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-21:24:31,875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-21:24:31,875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-39:59:13,125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-39:59:13,125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-39:58:54,375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-21:20:46,875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-39:58:54,375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-21:20:46,875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-39:58:16,875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-21:21:24,375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-39:58:16,875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-21:21:24,375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-39:56:16,397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-21:23:28,036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-39:56:16,398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-21:23:28,036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-39:58:27,649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-21:24:43,036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-39:58:27,649</w:t>
            </w:r>
          </w:p>
        </w:tc>
      </w:tr>
    </w:tbl>
    <w:p w:rsidR="00497862" w:rsidRDefault="00497862" w:rsidP="00497862"/>
    <w:p w:rsidR="00497862" w:rsidRDefault="00497862" w:rsidP="00497862"/>
    <w:p w:rsidR="00497862" w:rsidRDefault="00497862" w:rsidP="00497862">
      <w:r>
        <w:t>4 - Nova Área de Desenvolvimento de Caxaréu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8"/>
        <w:gridCol w:w="1999"/>
      </w:tblGrid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Vértice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Latitude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Longitude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-40:04:31,875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-21:23:35,625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-40:04:31,875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-21:23:35,625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-21:23:45,000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-40:04:41,250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-21:23:45,000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-40:04:50,625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-40:04:50,625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-21:23:54,375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-40:05:00,000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-21:24:22,500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-40:05:00,000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-21:24:22,500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-40:05:09,375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-21:26:52,500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-40:05:09,375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-21:26:52,500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-40:07:31,404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-21:22:41,159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-40:07:31,404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13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-21:22:41,159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-40:04:22,500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-40:04:22,500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-21:23:16,875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-40:04:31,875</w:t>
            </w:r>
          </w:p>
        </w:tc>
      </w:tr>
    </w:tbl>
    <w:p w:rsidR="00497862" w:rsidRDefault="00497862" w:rsidP="00497862"/>
    <w:p w:rsidR="00497862" w:rsidRDefault="00497862" w:rsidP="00497862"/>
    <w:p w:rsidR="00497862" w:rsidRDefault="00497862" w:rsidP="00497862">
      <w:r>
        <w:t>5 - Nova Área de Desenvolvimento de Mangangá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8"/>
        <w:gridCol w:w="1999"/>
      </w:tblGrid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Vértice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Latitude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Longitude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-21:19:03,750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-39:58:16,875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-21:19:03,750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-39:57:20,625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-21:18:16,875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-39:57:20,625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-21:18:16,875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-21:17:39,375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-39:56:43,125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-21:17:39,375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-39:56:16,397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-21:21:24,375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-39:56:16,397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-21:21:24,375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-39:58:16,875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-21:19:03,750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-39:58:16,875</w:t>
            </w:r>
          </w:p>
        </w:tc>
      </w:tr>
    </w:tbl>
    <w:p w:rsidR="00497862" w:rsidRDefault="00497862" w:rsidP="00497862"/>
    <w:p w:rsidR="00497862" w:rsidRDefault="00497862" w:rsidP="00497862"/>
    <w:p w:rsidR="00497862" w:rsidRDefault="00497862" w:rsidP="00497862">
      <w:r>
        <w:t>6 - Nova Área de Desenvolvimento de Baleia Anã</w:t>
      </w:r>
    </w:p>
    <w:tbl>
      <w:tblPr>
        <w:tblW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8"/>
        <w:gridCol w:w="1999"/>
      </w:tblGrid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Vértice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Latitude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Longitude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-21:07:31,781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-39:56:16,395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-21:10:09,375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-39:56:16,396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-21:10:09,375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-40:01:15,000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-21:07:31,780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-40:01:15,000</w:t>
            </w:r>
          </w:p>
        </w:tc>
      </w:tr>
      <w:tr w:rsidR="00497862" w:rsidRPr="004101BB" w:rsidTr="0049786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-21:07:31,781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7862" w:rsidRPr="004101BB" w:rsidRDefault="00497862" w:rsidP="004978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101BB">
              <w:rPr>
                <w:rFonts w:ascii="Calibri" w:eastAsia="Times New Roman" w:hAnsi="Calibri" w:cs="Times New Roman"/>
                <w:color w:val="000000"/>
                <w:lang w:eastAsia="pt-BR"/>
              </w:rPr>
              <w:t>-39:56:16,395</w:t>
            </w:r>
          </w:p>
        </w:tc>
      </w:tr>
    </w:tbl>
    <w:p w:rsidR="00497862" w:rsidRDefault="00497862" w:rsidP="00497862"/>
    <w:p w:rsidR="00497862" w:rsidRDefault="00497862" w:rsidP="00497862"/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497862" w:rsidRDefault="00497862" w:rsidP="007D48CB">
      <w:pPr>
        <w:rPr>
          <w:rFonts w:ascii="Arial" w:hAnsi="Arial" w:cs="Arial"/>
          <w:sz w:val="24"/>
          <w:szCs w:val="24"/>
        </w:rPr>
      </w:pPr>
    </w:p>
    <w:p w:rsidR="0015764B" w:rsidRDefault="0015764B" w:rsidP="007D48CB">
      <w:pPr>
        <w:rPr>
          <w:rFonts w:ascii="Arial" w:hAnsi="Arial" w:cs="Arial"/>
          <w:sz w:val="24"/>
          <w:szCs w:val="24"/>
        </w:rPr>
      </w:pPr>
    </w:p>
    <w:p w:rsidR="0015764B" w:rsidRDefault="0015764B" w:rsidP="007D48CB">
      <w:pPr>
        <w:rPr>
          <w:rFonts w:ascii="Arial" w:hAnsi="Arial" w:cs="Arial"/>
          <w:sz w:val="24"/>
          <w:szCs w:val="24"/>
        </w:rPr>
      </w:pPr>
    </w:p>
    <w:p w:rsidR="0015764B" w:rsidRDefault="0015764B" w:rsidP="007D48CB">
      <w:pPr>
        <w:rPr>
          <w:rFonts w:ascii="Arial" w:hAnsi="Arial" w:cs="Arial"/>
          <w:sz w:val="24"/>
          <w:szCs w:val="24"/>
        </w:rPr>
      </w:pPr>
    </w:p>
    <w:p w:rsidR="0015764B" w:rsidRDefault="0015764B" w:rsidP="007D48CB">
      <w:pPr>
        <w:rPr>
          <w:rFonts w:ascii="Arial" w:hAnsi="Arial" w:cs="Arial"/>
          <w:sz w:val="24"/>
          <w:szCs w:val="24"/>
        </w:rPr>
      </w:pPr>
    </w:p>
    <w:p w:rsidR="0015764B" w:rsidRDefault="0015764B" w:rsidP="007D48CB">
      <w:pPr>
        <w:rPr>
          <w:rFonts w:ascii="Arial" w:hAnsi="Arial" w:cs="Arial"/>
          <w:sz w:val="24"/>
          <w:szCs w:val="24"/>
        </w:rPr>
      </w:pPr>
    </w:p>
    <w:p w:rsidR="0015764B" w:rsidRPr="007D48CB" w:rsidRDefault="0015764B" w:rsidP="00A169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15764B" w:rsidRPr="007D48CB" w:rsidSect="0015764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C31" w:rsidRDefault="000C0C31" w:rsidP="00A4228A">
      <w:pPr>
        <w:spacing w:after="0" w:line="240" w:lineRule="auto"/>
      </w:pPr>
      <w:r>
        <w:separator/>
      </w:r>
    </w:p>
  </w:endnote>
  <w:endnote w:type="continuationSeparator" w:id="0">
    <w:p w:rsidR="000C0C31" w:rsidRDefault="000C0C31" w:rsidP="00A4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C31" w:rsidRDefault="000C0C31" w:rsidP="00A4228A">
      <w:pPr>
        <w:spacing w:after="0" w:line="240" w:lineRule="auto"/>
      </w:pPr>
      <w:r>
        <w:separator/>
      </w:r>
    </w:p>
  </w:footnote>
  <w:footnote w:type="continuationSeparator" w:id="0">
    <w:p w:rsidR="000C0C31" w:rsidRDefault="000C0C31" w:rsidP="00A4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C31" w:rsidRDefault="004277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80538" o:spid="_x0000_s2050" type="#_x0000_t136" style="position:absolute;margin-left:0;margin-top:0;width:449.6pt;height:14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C31" w:rsidRPr="00A21D1A" w:rsidRDefault="0042779A">
    <w:pPr>
      <w:pStyle w:val="Cabealho"/>
      <w:rPr>
        <w:rFonts w:ascii="Arial" w:hAnsi="Arial" w:cs="Arial"/>
        <w:color w:val="FF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80539" o:spid="_x0000_s2051" type="#_x0000_t136" style="position:absolute;margin-left:0;margin-top:0;width:449.6pt;height:180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INUTA"/>
          <w10:wrap anchorx="margin" anchory="margin"/>
        </v:shape>
      </w:pict>
    </w:r>
    <w:r w:rsidR="000C0C31" w:rsidRPr="00A21D1A" w:rsidDel="000D56D3">
      <w:rPr>
        <w:rFonts w:ascii="Arial" w:hAnsi="Arial" w:cs="Arial"/>
        <w:color w:val="FF000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C31" w:rsidRDefault="0042779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280537" o:spid="_x0000_s2049" type="#_x0000_t136" style="position:absolute;margin-left:0;margin-top:0;width:449.6pt;height:14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3606"/>
    <w:multiLevelType w:val="hybridMultilevel"/>
    <w:tmpl w:val="ECA07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315B"/>
    <w:multiLevelType w:val="hybridMultilevel"/>
    <w:tmpl w:val="F08CCD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26928"/>
    <w:multiLevelType w:val="multilevel"/>
    <w:tmpl w:val="B046FA7C"/>
    <w:lvl w:ilvl="0">
      <w:start w:val="1"/>
      <w:numFmt w:val="decimal"/>
      <w:pStyle w:val="Contrato-Clausula-Nvel1"/>
      <w:lvlText w:val="%1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pStyle w:val="Contrato-Clausula-Nvel2"/>
      <w:lvlText w:val="%1.%2."/>
      <w:lvlJc w:val="left"/>
      <w:pPr>
        <w:ind w:left="1424" w:hanging="432"/>
      </w:pPr>
    </w:lvl>
    <w:lvl w:ilvl="2">
      <w:start w:val="1"/>
      <w:numFmt w:val="decimal"/>
      <w:pStyle w:val="Contrato-Clausula-Nvel3"/>
      <w:lvlText w:val="%1.%2.%3."/>
      <w:lvlJc w:val="left"/>
      <w:pPr>
        <w:ind w:left="2914" w:hanging="504"/>
      </w:pPr>
    </w:lvl>
    <w:lvl w:ilvl="3">
      <w:start w:val="1"/>
      <w:numFmt w:val="decimal"/>
      <w:pStyle w:val="Contrato-Clausula-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72406B"/>
    <w:multiLevelType w:val="hybridMultilevel"/>
    <w:tmpl w:val="2EDE7290"/>
    <w:lvl w:ilvl="0" w:tplc="8390B5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E168E"/>
    <w:multiLevelType w:val="multilevel"/>
    <w:tmpl w:val="B15CC268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5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555C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1E734A"/>
    <w:multiLevelType w:val="hybridMultilevel"/>
    <w:tmpl w:val="7C0C7FCC"/>
    <w:lvl w:ilvl="0" w:tplc="FCEEE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96"/>
    <w:multiLevelType w:val="hybridMultilevel"/>
    <w:tmpl w:val="4C6C2CAC"/>
    <w:lvl w:ilvl="0" w:tplc="742297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96F4E"/>
    <w:multiLevelType w:val="hybridMultilevel"/>
    <w:tmpl w:val="4EC2C1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C91F11"/>
    <w:multiLevelType w:val="hybridMultilevel"/>
    <w:tmpl w:val="192050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E708B"/>
    <w:multiLevelType w:val="hybridMultilevel"/>
    <w:tmpl w:val="58BC7E94"/>
    <w:lvl w:ilvl="0" w:tplc="6EC26C6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F51EC"/>
    <w:multiLevelType w:val="hybridMultilevel"/>
    <w:tmpl w:val="B34A96AA"/>
    <w:lvl w:ilvl="0" w:tplc="60F62E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B7536"/>
    <w:multiLevelType w:val="hybridMultilevel"/>
    <w:tmpl w:val="CBDEB5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D67A9"/>
    <w:multiLevelType w:val="multilevel"/>
    <w:tmpl w:val="12B40B1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 w15:restartNumberingAfterBreak="0">
    <w:nsid w:val="5C847B2A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2147724"/>
    <w:multiLevelType w:val="hybridMultilevel"/>
    <w:tmpl w:val="58BC7E94"/>
    <w:lvl w:ilvl="0" w:tplc="6EC26C6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16D63"/>
    <w:multiLevelType w:val="hybridMultilevel"/>
    <w:tmpl w:val="838C2720"/>
    <w:lvl w:ilvl="0" w:tplc="6DEEC9E2">
      <w:start w:val="10"/>
      <w:numFmt w:val="lowerRoman"/>
      <w:lvlText w:val="%1."/>
      <w:lvlJc w:val="left"/>
      <w:pPr>
        <w:ind w:left="793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153" w:hanging="360"/>
      </w:pPr>
    </w:lvl>
    <w:lvl w:ilvl="2" w:tplc="0416001B">
      <w:start w:val="1"/>
      <w:numFmt w:val="lowerRoman"/>
      <w:lvlText w:val="%3."/>
      <w:lvlJc w:val="right"/>
      <w:pPr>
        <w:ind w:left="1873" w:hanging="180"/>
      </w:pPr>
    </w:lvl>
    <w:lvl w:ilvl="3" w:tplc="0416000F">
      <w:start w:val="1"/>
      <w:numFmt w:val="decimal"/>
      <w:lvlText w:val="%4."/>
      <w:lvlJc w:val="left"/>
      <w:pPr>
        <w:ind w:left="2593" w:hanging="360"/>
      </w:pPr>
    </w:lvl>
    <w:lvl w:ilvl="4" w:tplc="04160019">
      <w:start w:val="1"/>
      <w:numFmt w:val="lowerLetter"/>
      <w:lvlText w:val="%5."/>
      <w:lvlJc w:val="left"/>
      <w:pPr>
        <w:ind w:left="3313" w:hanging="360"/>
      </w:pPr>
    </w:lvl>
    <w:lvl w:ilvl="5" w:tplc="0416001B">
      <w:start w:val="1"/>
      <w:numFmt w:val="lowerRoman"/>
      <w:lvlText w:val="%6."/>
      <w:lvlJc w:val="right"/>
      <w:pPr>
        <w:ind w:left="4033" w:hanging="180"/>
      </w:pPr>
    </w:lvl>
    <w:lvl w:ilvl="6" w:tplc="0416000F">
      <w:start w:val="1"/>
      <w:numFmt w:val="decimal"/>
      <w:lvlText w:val="%7."/>
      <w:lvlJc w:val="left"/>
      <w:pPr>
        <w:ind w:left="4753" w:hanging="360"/>
      </w:pPr>
    </w:lvl>
    <w:lvl w:ilvl="7" w:tplc="04160019">
      <w:start w:val="1"/>
      <w:numFmt w:val="lowerLetter"/>
      <w:lvlText w:val="%8."/>
      <w:lvlJc w:val="left"/>
      <w:pPr>
        <w:ind w:left="5473" w:hanging="360"/>
      </w:pPr>
    </w:lvl>
    <w:lvl w:ilvl="8" w:tplc="0416001B">
      <w:start w:val="1"/>
      <w:numFmt w:val="lowerRoman"/>
      <w:lvlText w:val="%9."/>
      <w:lvlJc w:val="right"/>
      <w:pPr>
        <w:ind w:left="6193" w:hanging="180"/>
      </w:pPr>
    </w:lvl>
  </w:abstractNum>
  <w:abstractNum w:abstractNumId="17" w15:restartNumberingAfterBreak="0">
    <w:nsid w:val="63A62A46"/>
    <w:multiLevelType w:val="multilevel"/>
    <w:tmpl w:val="12C6A5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203041"/>
    <w:multiLevelType w:val="hybridMultilevel"/>
    <w:tmpl w:val="192050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17"/>
  </w:num>
  <w:num w:numId="7">
    <w:abstractNumId w:val="8"/>
  </w:num>
  <w:num w:numId="8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9"/>
  </w:num>
  <w:num w:numId="11">
    <w:abstractNumId w:val="14"/>
  </w:num>
  <w:num w:numId="12">
    <w:abstractNumId w:val="12"/>
  </w:num>
  <w:num w:numId="13">
    <w:abstractNumId w:val="15"/>
  </w:num>
  <w:num w:numId="14">
    <w:abstractNumId w:val="2"/>
  </w:num>
  <w:num w:numId="15">
    <w:abstractNumId w:val="4"/>
  </w:num>
  <w:num w:numId="16">
    <w:abstractNumId w:val="10"/>
  </w:num>
  <w:num w:numId="17">
    <w:abstractNumId w:val="13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09"/>
    <w:rsid w:val="0001288B"/>
    <w:rsid w:val="000207EF"/>
    <w:rsid w:val="0002382E"/>
    <w:rsid w:val="000270B8"/>
    <w:rsid w:val="0003265F"/>
    <w:rsid w:val="0003361B"/>
    <w:rsid w:val="000340A3"/>
    <w:rsid w:val="00037D3D"/>
    <w:rsid w:val="00051045"/>
    <w:rsid w:val="000513EF"/>
    <w:rsid w:val="000549A1"/>
    <w:rsid w:val="00057DAB"/>
    <w:rsid w:val="000637B2"/>
    <w:rsid w:val="00064A97"/>
    <w:rsid w:val="00066569"/>
    <w:rsid w:val="000700AE"/>
    <w:rsid w:val="00074566"/>
    <w:rsid w:val="00080544"/>
    <w:rsid w:val="0008695D"/>
    <w:rsid w:val="00087B29"/>
    <w:rsid w:val="000901EA"/>
    <w:rsid w:val="000A2480"/>
    <w:rsid w:val="000A37E1"/>
    <w:rsid w:val="000A5329"/>
    <w:rsid w:val="000A5C71"/>
    <w:rsid w:val="000B3FDB"/>
    <w:rsid w:val="000B5BF6"/>
    <w:rsid w:val="000B67E3"/>
    <w:rsid w:val="000C0079"/>
    <w:rsid w:val="000C0C31"/>
    <w:rsid w:val="000D56D3"/>
    <w:rsid w:val="000D5FA9"/>
    <w:rsid w:val="000E099B"/>
    <w:rsid w:val="000E11EB"/>
    <w:rsid w:val="000E400A"/>
    <w:rsid w:val="000E6C86"/>
    <w:rsid w:val="000E7A7E"/>
    <w:rsid w:val="00102593"/>
    <w:rsid w:val="00107449"/>
    <w:rsid w:val="00110C7F"/>
    <w:rsid w:val="00114B18"/>
    <w:rsid w:val="00115990"/>
    <w:rsid w:val="00116BA7"/>
    <w:rsid w:val="00120E3D"/>
    <w:rsid w:val="0012761C"/>
    <w:rsid w:val="00134473"/>
    <w:rsid w:val="001404DD"/>
    <w:rsid w:val="00140805"/>
    <w:rsid w:val="00141685"/>
    <w:rsid w:val="0014662E"/>
    <w:rsid w:val="001512DD"/>
    <w:rsid w:val="0015192A"/>
    <w:rsid w:val="001526D2"/>
    <w:rsid w:val="00155AFF"/>
    <w:rsid w:val="0015764B"/>
    <w:rsid w:val="00160DB3"/>
    <w:rsid w:val="00161C7D"/>
    <w:rsid w:val="00165F3A"/>
    <w:rsid w:val="0017007B"/>
    <w:rsid w:val="001847AD"/>
    <w:rsid w:val="00185AA8"/>
    <w:rsid w:val="001901E9"/>
    <w:rsid w:val="001919C2"/>
    <w:rsid w:val="00194BD9"/>
    <w:rsid w:val="00197FB0"/>
    <w:rsid w:val="001A05AA"/>
    <w:rsid w:val="001A1180"/>
    <w:rsid w:val="001A1CB5"/>
    <w:rsid w:val="001A3BD2"/>
    <w:rsid w:val="001B0AD2"/>
    <w:rsid w:val="001B32F3"/>
    <w:rsid w:val="001B723C"/>
    <w:rsid w:val="001B7976"/>
    <w:rsid w:val="001C7516"/>
    <w:rsid w:val="001D17E4"/>
    <w:rsid w:val="001E0B3B"/>
    <w:rsid w:val="001F5E0A"/>
    <w:rsid w:val="00200CA8"/>
    <w:rsid w:val="00202863"/>
    <w:rsid w:val="00205F00"/>
    <w:rsid w:val="0020770C"/>
    <w:rsid w:val="00215B09"/>
    <w:rsid w:val="002201E1"/>
    <w:rsid w:val="00220DB4"/>
    <w:rsid w:val="002256D6"/>
    <w:rsid w:val="00227763"/>
    <w:rsid w:val="00232A14"/>
    <w:rsid w:val="0023796F"/>
    <w:rsid w:val="00240BB0"/>
    <w:rsid w:val="002476A2"/>
    <w:rsid w:val="00252F0A"/>
    <w:rsid w:val="002543A4"/>
    <w:rsid w:val="00255B50"/>
    <w:rsid w:val="00256D52"/>
    <w:rsid w:val="00264491"/>
    <w:rsid w:val="00270219"/>
    <w:rsid w:val="0027080F"/>
    <w:rsid w:val="00275FD3"/>
    <w:rsid w:val="0028691A"/>
    <w:rsid w:val="002926D4"/>
    <w:rsid w:val="002A45DA"/>
    <w:rsid w:val="002B2D8A"/>
    <w:rsid w:val="002B43D1"/>
    <w:rsid w:val="002C62E7"/>
    <w:rsid w:val="002D51B3"/>
    <w:rsid w:val="002D7B3C"/>
    <w:rsid w:val="002E0747"/>
    <w:rsid w:val="002E2997"/>
    <w:rsid w:val="002E3005"/>
    <w:rsid w:val="002E37E2"/>
    <w:rsid w:val="002E50F8"/>
    <w:rsid w:val="002E5BFD"/>
    <w:rsid w:val="002F627E"/>
    <w:rsid w:val="00301AA9"/>
    <w:rsid w:val="00302648"/>
    <w:rsid w:val="00302CD5"/>
    <w:rsid w:val="003035FF"/>
    <w:rsid w:val="00304BDF"/>
    <w:rsid w:val="00304FCC"/>
    <w:rsid w:val="00307405"/>
    <w:rsid w:val="00313E0C"/>
    <w:rsid w:val="003140AB"/>
    <w:rsid w:val="00317014"/>
    <w:rsid w:val="00320066"/>
    <w:rsid w:val="003212E4"/>
    <w:rsid w:val="00322DF5"/>
    <w:rsid w:val="003237CA"/>
    <w:rsid w:val="00323CCC"/>
    <w:rsid w:val="00324EEB"/>
    <w:rsid w:val="00327BB2"/>
    <w:rsid w:val="00334E95"/>
    <w:rsid w:val="00335603"/>
    <w:rsid w:val="003642C2"/>
    <w:rsid w:val="0036564B"/>
    <w:rsid w:val="00367C68"/>
    <w:rsid w:val="00371B8C"/>
    <w:rsid w:val="003731F7"/>
    <w:rsid w:val="00373805"/>
    <w:rsid w:val="003746D8"/>
    <w:rsid w:val="00375D4A"/>
    <w:rsid w:val="0038424A"/>
    <w:rsid w:val="00392713"/>
    <w:rsid w:val="00397F9A"/>
    <w:rsid w:val="003A0D0D"/>
    <w:rsid w:val="003A2A56"/>
    <w:rsid w:val="003B01E8"/>
    <w:rsid w:val="003B2CBE"/>
    <w:rsid w:val="003B53C0"/>
    <w:rsid w:val="003C3BE9"/>
    <w:rsid w:val="003C4100"/>
    <w:rsid w:val="003C43BB"/>
    <w:rsid w:val="003D0F50"/>
    <w:rsid w:val="003D0FB6"/>
    <w:rsid w:val="003D1260"/>
    <w:rsid w:val="003D5F8E"/>
    <w:rsid w:val="003E5148"/>
    <w:rsid w:val="003E580B"/>
    <w:rsid w:val="003E5C09"/>
    <w:rsid w:val="003E7EF8"/>
    <w:rsid w:val="003F07B4"/>
    <w:rsid w:val="003F69EE"/>
    <w:rsid w:val="00400F92"/>
    <w:rsid w:val="004014D5"/>
    <w:rsid w:val="00411043"/>
    <w:rsid w:val="00412073"/>
    <w:rsid w:val="00416437"/>
    <w:rsid w:val="00423DE7"/>
    <w:rsid w:val="0042779A"/>
    <w:rsid w:val="004307C1"/>
    <w:rsid w:val="0043175C"/>
    <w:rsid w:val="00431BFE"/>
    <w:rsid w:val="00432DC4"/>
    <w:rsid w:val="00435B03"/>
    <w:rsid w:val="0044517D"/>
    <w:rsid w:val="00451922"/>
    <w:rsid w:val="00455A63"/>
    <w:rsid w:val="00457CE6"/>
    <w:rsid w:val="004606C5"/>
    <w:rsid w:val="0046303D"/>
    <w:rsid w:val="004638F3"/>
    <w:rsid w:val="00467F41"/>
    <w:rsid w:val="004806A8"/>
    <w:rsid w:val="004808C0"/>
    <w:rsid w:val="00485189"/>
    <w:rsid w:val="00486F23"/>
    <w:rsid w:val="00487FF8"/>
    <w:rsid w:val="00491C29"/>
    <w:rsid w:val="00492407"/>
    <w:rsid w:val="004931D5"/>
    <w:rsid w:val="00497862"/>
    <w:rsid w:val="004A1471"/>
    <w:rsid w:val="004A5713"/>
    <w:rsid w:val="004A57FD"/>
    <w:rsid w:val="004A69CA"/>
    <w:rsid w:val="004A72AF"/>
    <w:rsid w:val="004B7A6C"/>
    <w:rsid w:val="004C0BD9"/>
    <w:rsid w:val="004C2E9F"/>
    <w:rsid w:val="004C5028"/>
    <w:rsid w:val="004C7936"/>
    <w:rsid w:val="004D3609"/>
    <w:rsid w:val="004D5A10"/>
    <w:rsid w:val="004D6C16"/>
    <w:rsid w:val="004E20E2"/>
    <w:rsid w:val="004F750D"/>
    <w:rsid w:val="004F7EA6"/>
    <w:rsid w:val="00502C05"/>
    <w:rsid w:val="0051266D"/>
    <w:rsid w:val="0051361A"/>
    <w:rsid w:val="0051731B"/>
    <w:rsid w:val="00530404"/>
    <w:rsid w:val="00530493"/>
    <w:rsid w:val="00537423"/>
    <w:rsid w:val="00540C57"/>
    <w:rsid w:val="00540DA6"/>
    <w:rsid w:val="005574C1"/>
    <w:rsid w:val="005618C4"/>
    <w:rsid w:val="005635FF"/>
    <w:rsid w:val="00564BDB"/>
    <w:rsid w:val="00564F62"/>
    <w:rsid w:val="00570E92"/>
    <w:rsid w:val="0057329D"/>
    <w:rsid w:val="005827D1"/>
    <w:rsid w:val="005845AA"/>
    <w:rsid w:val="005A0009"/>
    <w:rsid w:val="005A577F"/>
    <w:rsid w:val="005A7C15"/>
    <w:rsid w:val="005B211A"/>
    <w:rsid w:val="005B23BA"/>
    <w:rsid w:val="005B78F9"/>
    <w:rsid w:val="005C298E"/>
    <w:rsid w:val="005C2C3B"/>
    <w:rsid w:val="005C3219"/>
    <w:rsid w:val="005D7498"/>
    <w:rsid w:val="005E0492"/>
    <w:rsid w:val="005E431B"/>
    <w:rsid w:val="005E4FED"/>
    <w:rsid w:val="005E6F33"/>
    <w:rsid w:val="005E783B"/>
    <w:rsid w:val="005F0BF9"/>
    <w:rsid w:val="005F538F"/>
    <w:rsid w:val="005F607A"/>
    <w:rsid w:val="006057B3"/>
    <w:rsid w:val="00610753"/>
    <w:rsid w:val="00612CA5"/>
    <w:rsid w:val="006130C2"/>
    <w:rsid w:val="00614574"/>
    <w:rsid w:val="00615864"/>
    <w:rsid w:val="00616183"/>
    <w:rsid w:val="0062018B"/>
    <w:rsid w:val="006206E9"/>
    <w:rsid w:val="00622F86"/>
    <w:rsid w:val="006321D4"/>
    <w:rsid w:val="00633CA9"/>
    <w:rsid w:val="00647578"/>
    <w:rsid w:val="00651CCE"/>
    <w:rsid w:val="00671E16"/>
    <w:rsid w:val="00674F48"/>
    <w:rsid w:val="00686B3C"/>
    <w:rsid w:val="00694059"/>
    <w:rsid w:val="006A3030"/>
    <w:rsid w:val="006A51E4"/>
    <w:rsid w:val="006A67D3"/>
    <w:rsid w:val="006B4DE4"/>
    <w:rsid w:val="006B5C28"/>
    <w:rsid w:val="006B6A3F"/>
    <w:rsid w:val="006C7A75"/>
    <w:rsid w:val="006D0A2B"/>
    <w:rsid w:val="006D125A"/>
    <w:rsid w:val="006D248A"/>
    <w:rsid w:val="006D4218"/>
    <w:rsid w:val="006D438A"/>
    <w:rsid w:val="006D450F"/>
    <w:rsid w:val="006E49B5"/>
    <w:rsid w:val="006E678B"/>
    <w:rsid w:val="006F1230"/>
    <w:rsid w:val="006F2EB3"/>
    <w:rsid w:val="006F6786"/>
    <w:rsid w:val="006F7959"/>
    <w:rsid w:val="0070260B"/>
    <w:rsid w:val="0070586A"/>
    <w:rsid w:val="00707441"/>
    <w:rsid w:val="00712610"/>
    <w:rsid w:val="007131C7"/>
    <w:rsid w:val="00713D24"/>
    <w:rsid w:val="007170F7"/>
    <w:rsid w:val="007220FE"/>
    <w:rsid w:val="00723F11"/>
    <w:rsid w:val="00725799"/>
    <w:rsid w:val="0073034E"/>
    <w:rsid w:val="00735376"/>
    <w:rsid w:val="00741382"/>
    <w:rsid w:val="00742A89"/>
    <w:rsid w:val="00745F9E"/>
    <w:rsid w:val="007539B3"/>
    <w:rsid w:val="00756E82"/>
    <w:rsid w:val="00763A85"/>
    <w:rsid w:val="007649FE"/>
    <w:rsid w:val="00764C99"/>
    <w:rsid w:val="00764F96"/>
    <w:rsid w:val="007666FA"/>
    <w:rsid w:val="00766AFD"/>
    <w:rsid w:val="007759FD"/>
    <w:rsid w:val="007806FF"/>
    <w:rsid w:val="00781948"/>
    <w:rsid w:val="007879D3"/>
    <w:rsid w:val="00790BFD"/>
    <w:rsid w:val="007958D7"/>
    <w:rsid w:val="007A1D60"/>
    <w:rsid w:val="007A3FEA"/>
    <w:rsid w:val="007A575F"/>
    <w:rsid w:val="007B0180"/>
    <w:rsid w:val="007B084C"/>
    <w:rsid w:val="007B12BF"/>
    <w:rsid w:val="007C1292"/>
    <w:rsid w:val="007C7556"/>
    <w:rsid w:val="007D48CB"/>
    <w:rsid w:val="007D601A"/>
    <w:rsid w:val="007E0D33"/>
    <w:rsid w:val="007E4377"/>
    <w:rsid w:val="007F2ECB"/>
    <w:rsid w:val="007F5CAC"/>
    <w:rsid w:val="007F6BF9"/>
    <w:rsid w:val="008117DE"/>
    <w:rsid w:val="00812C9C"/>
    <w:rsid w:val="00813622"/>
    <w:rsid w:val="00814110"/>
    <w:rsid w:val="00814762"/>
    <w:rsid w:val="00814F32"/>
    <w:rsid w:val="00814FBE"/>
    <w:rsid w:val="00816A27"/>
    <w:rsid w:val="0081774E"/>
    <w:rsid w:val="008352FD"/>
    <w:rsid w:val="00847771"/>
    <w:rsid w:val="00847F37"/>
    <w:rsid w:val="00851DCF"/>
    <w:rsid w:val="0085533A"/>
    <w:rsid w:val="00856F9C"/>
    <w:rsid w:val="0086001D"/>
    <w:rsid w:val="00863812"/>
    <w:rsid w:val="00863CC5"/>
    <w:rsid w:val="00866E76"/>
    <w:rsid w:val="008671E0"/>
    <w:rsid w:val="00870557"/>
    <w:rsid w:val="00870856"/>
    <w:rsid w:val="00872456"/>
    <w:rsid w:val="00875DEC"/>
    <w:rsid w:val="00880F1B"/>
    <w:rsid w:val="008813C5"/>
    <w:rsid w:val="00881700"/>
    <w:rsid w:val="00885C7F"/>
    <w:rsid w:val="00885DE5"/>
    <w:rsid w:val="00886D65"/>
    <w:rsid w:val="00893BE0"/>
    <w:rsid w:val="008A21DE"/>
    <w:rsid w:val="008A222E"/>
    <w:rsid w:val="008B17D2"/>
    <w:rsid w:val="008B1B87"/>
    <w:rsid w:val="008C21AB"/>
    <w:rsid w:val="008C56AB"/>
    <w:rsid w:val="008C587D"/>
    <w:rsid w:val="008C66A5"/>
    <w:rsid w:val="008D23A8"/>
    <w:rsid w:val="008D25D8"/>
    <w:rsid w:val="008D44A4"/>
    <w:rsid w:val="008E0973"/>
    <w:rsid w:val="008E1A07"/>
    <w:rsid w:val="008E2F7E"/>
    <w:rsid w:val="008E3062"/>
    <w:rsid w:val="008E68AB"/>
    <w:rsid w:val="008F2877"/>
    <w:rsid w:val="008F2910"/>
    <w:rsid w:val="008F473E"/>
    <w:rsid w:val="008F4F8A"/>
    <w:rsid w:val="008F6F79"/>
    <w:rsid w:val="0090282F"/>
    <w:rsid w:val="0091472E"/>
    <w:rsid w:val="00915721"/>
    <w:rsid w:val="0092384C"/>
    <w:rsid w:val="00927575"/>
    <w:rsid w:val="00930955"/>
    <w:rsid w:val="00935A2A"/>
    <w:rsid w:val="009445E4"/>
    <w:rsid w:val="00946F76"/>
    <w:rsid w:val="00947BAA"/>
    <w:rsid w:val="0095208D"/>
    <w:rsid w:val="00952ABD"/>
    <w:rsid w:val="00955659"/>
    <w:rsid w:val="00955B89"/>
    <w:rsid w:val="0096382E"/>
    <w:rsid w:val="00974075"/>
    <w:rsid w:val="009746BD"/>
    <w:rsid w:val="009746E8"/>
    <w:rsid w:val="009754F2"/>
    <w:rsid w:val="0097701B"/>
    <w:rsid w:val="00981144"/>
    <w:rsid w:val="00982356"/>
    <w:rsid w:val="00983545"/>
    <w:rsid w:val="009859DB"/>
    <w:rsid w:val="00987136"/>
    <w:rsid w:val="009952A2"/>
    <w:rsid w:val="009A1DE6"/>
    <w:rsid w:val="009A6B45"/>
    <w:rsid w:val="009B0029"/>
    <w:rsid w:val="009B045D"/>
    <w:rsid w:val="009B2A53"/>
    <w:rsid w:val="009B5D15"/>
    <w:rsid w:val="009B6E65"/>
    <w:rsid w:val="009B7E21"/>
    <w:rsid w:val="009C23BB"/>
    <w:rsid w:val="009C379A"/>
    <w:rsid w:val="009E0C3F"/>
    <w:rsid w:val="009F2068"/>
    <w:rsid w:val="009F5D0E"/>
    <w:rsid w:val="00A06D42"/>
    <w:rsid w:val="00A10243"/>
    <w:rsid w:val="00A130D1"/>
    <w:rsid w:val="00A1404A"/>
    <w:rsid w:val="00A16861"/>
    <w:rsid w:val="00A1692E"/>
    <w:rsid w:val="00A20EE4"/>
    <w:rsid w:val="00A21D1A"/>
    <w:rsid w:val="00A24317"/>
    <w:rsid w:val="00A2677F"/>
    <w:rsid w:val="00A27BA0"/>
    <w:rsid w:val="00A40CCD"/>
    <w:rsid w:val="00A415DF"/>
    <w:rsid w:val="00A4228A"/>
    <w:rsid w:val="00A50DE8"/>
    <w:rsid w:val="00A56F1E"/>
    <w:rsid w:val="00A6396D"/>
    <w:rsid w:val="00A740CB"/>
    <w:rsid w:val="00A7542A"/>
    <w:rsid w:val="00A86489"/>
    <w:rsid w:val="00A91229"/>
    <w:rsid w:val="00A96F15"/>
    <w:rsid w:val="00AA03CF"/>
    <w:rsid w:val="00AA0964"/>
    <w:rsid w:val="00AA3542"/>
    <w:rsid w:val="00AA39B7"/>
    <w:rsid w:val="00AA4585"/>
    <w:rsid w:val="00AB57A5"/>
    <w:rsid w:val="00AB5855"/>
    <w:rsid w:val="00AC128F"/>
    <w:rsid w:val="00AC27E9"/>
    <w:rsid w:val="00AC2EA5"/>
    <w:rsid w:val="00AC660E"/>
    <w:rsid w:val="00AD0653"/>
    <w:rsid w:val="00AD1F54"/>
    <w:rsid w:val="00AD479C"/>
    <w:rsid w:val="00AE101B"/>
    <w:rsid w:val="00AE3514"/>
    <w:rsid w:val="00AE3B9A"/>
    <w:rsid w:val="00AE422F"/>
    <w:rsid w:val="00AE4F0A"/>
    <w:rsid w:val="00AE6845"/>
    <w:rsid w:val="00AF009F"/>
    <w:rsid w:val="00AF2CD1"/>
    <w:rsid w:val="00AF59AC"/>
    <w:rsid w:val="00AF61B2"/>
    <w:rsid w:val="00B025AD"/>
    <w:rsid w:val="00B02970"/>
    <w:rsid w:val="00B03739"/>
    <w:rsid w:val="00B05E91"/>
    <w:rsid w:val="00B06854"/>
    <w:rsid w:val="00B076B7"/>
    <w:rsid w:val="00B1023C"/>
    <w:rsid w:val="00B206CD"/>
    <w:rsid w:val="00B20A7D"/>
    <w:rsid w:val="00B20F46"/>
    <w:rsid w:val="00B339F8"/>
    <w:rsid w:val="00B371F1"/>
    <w:rsid w:val="00B4553A"/>
    <w:rsid w:val="00B473D0"/>
    <w:rsid w:val="00B47C61"/>
    <w:rsid w:val="00B51281"/>
    <w:rsid w:val="00B55FD8"/>
    <w:rsid w:val="00B560F3"/>
    <w:rsid w:val="00B6217E"/>
    <w:rsid w:val="00B633D5"/>
    <w:rsid w:val="00B63B3C"/>
    <w:rsid w:val="00B71CDF"/>
    <w:rsid w:val="00B72CBE"/>
    <w:rsid w:val="00B75736"/>
    <w:rsid w:val="00B76B3F"/>
    <w:rsid w:val="00B7744B"/>
    <w:rsid w:val="00B77A73"/>
    <w:rsid w:val="00B857F4"/>
    <w:rsid w:val="00B94EB7"/>
    <w:rsid w:val="00B97860"/>
    <w:rsid w:val="00BA3976"/>
    <w:rsid w:val="00BA6063"/>
    <w:rsid w:val="00BA64F9"/>
    <w:rsid w:val="00BA7539"/>
    <w:rsid w:val="00BB0759"/>
    <w:rsid w:val="00BC1749"/>
    <w:rsid w:val="00BC4577"/>
    <w:rsid w:val="00BD0858"/>
    <w:rsid w:val="00BD3D32"/>
    <w:rsid w:val="00BD689F"/>
    <w:rsid w:val="00BF0746"/>
    <w:rsid w:val="00BF7325"/>
    <w:rsid w:val="00C10E5E"/>
    <w:rsid w:val="00C25799"/>
    <w:rsid w:val="00C400A5"/>
    <w:rsid w:val="00C40F17"/>
    <w:rsid w:val="00C42928"/>
    <w:rsid w:val="00C44B77"/>
    <w:rsid w:val="00C44F59"/>
    <w:rsid w:val="00C463F1"/>
    <w:rsid w:val="00C475B4"/>
    <w:rsid w:val="00C4787E"/>
    <w:rsid w:val="00C53FB2"/>
    <w:rsid w:val="00C606E8"/>
    <w:rsid w:val="00C6325D"/>
    <w:rsid w:val="00C674A3"/>
    <w:rsid w:val="00C718AD"/>
    <w:rsid w:val="00C7305E"/>
    <w:rsid w:val="00C739EA"/>
    <w:rsid w:val="00C80EDC"/>
    <w:rsid w:val="00C82F7B"/>
    <w:rsid w:val="00C86251"/>
    <w:rsid w:val="00C95088"/>
    <w:rsid w:val="00CA4AE6"/>
    <w:rsid w:val="00CA5728"/>
    <w:rsid w:val="00CA61A6"/>
    <w:rsid w:val="00CB0723"/>
    <w:rsid w:val="00CB119D"/>
    <w:rsid w:val="00CB1DAB"/>
    <w:rsid w:val="00CB4351"/>
    <w:rsid w:val="00CB75B0"/>
    <w:rsid w:val="00CD6D4D"/>
    <w:rsid w:val="00CD7DA3"/>
    <w:rsid w:val="00CE7D54"/>
    <w:rsid w:val="00CF01BA"/>
    <w:rsid w:val="00CF75F5"/>
    <w:rsid w:val="00D01D48"/>
    <w:rsid w:val="00D0521C"/>
    <w:rsid w:val="00D06F69"/>
    <w:rsid w:val="00D109F3"/>
    <w:rsid w:val="00D11DE8"/>
    <w:rsid w:val="00D15C3D"/>
    <w:rsid w:val="00D16B68"/>
    <w:rsid w:val="00D23916"/>
    <w:rsid w:val="00D2519C"/>
    <w:rsid w:val="00D2656A"/>
    <w:rsid w:val="00D36D31"/>
    <w:rsid w:val="00D40B55"/>
    <w:rsid w:val="00D426F1"/>
    <w:rsid w:val="00D42953"/>
    <w:rsid w:val="00D45DBA"/>
    <w:rsid w:val="00D50686"/>
    <w:rsid w:val="00D54039"/>
    <w:rsid w:val="00D553D4"/>
    <w:rsid w:val="00D5769E"/>
    <w:rsid w:val="00D5771E"/>
    <w:rsid w:val="00D607A0"/>
    <w:rsid w:val="00D62349"/>
    <w:rsid w:val="00D639E6"/>
    <w:rsid w:val="00D64394"/>
    <w:rsid w:val="00D6540A"/>
    <w:rsid w:val="00D711EF"/>
    <w:rsid w:val="00D776F5"/>
    <w:rsid w:val="00D801CD"/>
    <w:rsid w:val="00D80A00"/>
    <w:rsid w:val="00D821FB"/>
    <w:rsid w:val="00D941DB"/>
    <w:rsid w:val="00D947D2"/>
    <w:rsid w:val="00D97F58"/>
    <w:rsid w:val="00DA0F21"/>
    <w:rsid w:val="00DA172B"/>
    <w:rsid w:val="00DB0DC6"/>
    <w:rsid w:val="00DB0E95"/>
    <w:rsid w:val="00DD66B0"/>
    <w:rsid w:val="00DD6F34"/>
    <w:rsid w:val="00DD7DD1"/>
    <w:rsid w:val="00DE35F0"/>
    <w:rsid w:val="00DE49DD"/>
    <w:rsid w:val="00DE614A"/>
    <w:rsid w:val="00DF2B1D"/>
    <w:rsid w:val="00DF638C"/>
    <w:rsid w:val="00DF68B5"/>
    <w:rsid w:val="00E04FD0"/>
    <w:rsid w:val="00E052B9"/>
    <w:rsid w:val="00E063CF"/>
    <w:rsid w:val="00E12665"/>
    <w:rsid w:val="00E13981"/>
    <w:rsid w:val="00E16513"/>
    <w:rsid w:val="00E16919"/>
    <w:rsid w:val="00E210B5"/>
    <w:rsid w:val="00E216AC"/>
    <w:rsid w:val="00E2522F"/>
    <w:rsid w:val="00E273BD"/>
    <w:rsid w:val="00E361BB"/>
    <w:rsid w:val="00E3710A"/>
    <w:rsid w:val="00E41CC0"/>
    <w:rsid w:val="00E557E6"/>
    <w:rsid w:val="00E57D54"/>
    <w:rsid w:val="00E64FB4"/>
    <w:rsid w:val="00E65C06"/>
    <w:rsid w:val="00E73CF9"/>
    <w:rsid w:val="00E8247D"/>
    <w:rsid w:val="00E85E93"/>
    <w:rsid w:val="00E91362"/>
    <w:rsid w:val="00E91803"/>
    <w:rsid w:val="00E92449"/>
    <w:rsid w:val="00E95CF1"/>
    <w:rsid w:val="00E962FA"/>
    <w:rsid w:val="00EA20F5"/>
    <w:rsid w:val="00EA4E46"/>
    <w:rsid w:val="00EB1E05"/>
    <w:rsid w:val="00EC1096"/>
    <w:rsid w:val="00ED4DC6"/>
    <w:rsid w:val="00ED784E"/>
    <w:rsid w:val="00EE2A22"/>
    <w:rsid w:val="00EE5547"/>
    <w:rsid w:val="00EE5DBF"/>
    <w:rsid w:val="00EF1086"/>
    <w:rsid w:val="00F03C64"/>
    <w:rsid w:val="00F06932"/>
    <w:rsid w:val="00F06FD6"/>
    <w:rsid w:val="00F10B85"/>
    <w:rsid w:val="00F11643"/>
    <w:rsid w:val="00F13E36"/>
    <w:rsid w:val="00F16E91"/>
    <w:rsid w:val="00F17F1B"/>
    <w:rsid w:val="00F205BE"/>
    <w:rsid w:val="00F20670"/>
    <w:rsid w:val="00F22CBB"/>
    <w:rsid w:val="00F24E7D"/>
    <w:rsid w:val="00F264E6"/>
    <w:rsid w:val="00F304D2"/>
    <w:rsid w:val="00F47570"/>
    <w:rsid w:val="00F52534"/>
    <w:rsid w:val="00F53591"/>
    <w:rsid w:val="00F57B09"/>
    <w:rsid w:val="00F7225E"/>
    <w:rsid w:val="00F73302"/>
    <w:rsid w:val="00F77FDF"/>
    <w:rsid w:val="00F81BE9"/>
    <w:rsid w:val="00F83387"/>
    <w:rsid w:val="00F85272"/>
    <w:rsid w:val="00F86B13"/>
    <w:rsid w:val="00F95FC1"/>
    <w:rsid w:val="00FA16FE"/>
    <w:rsid w:val="00FB4769"/>
    <w:rsid w:val="00FB6217"/>
    <w:rsid w:val="00FB677C"/>
    <w:rsid w:val="00FC3B8E"/>
    <w:rsid w:val="00FC6ACA"/>
    <w:rsid w:val="00FD0344"/>
    <w:rsid w:val="00FD750E"/>
    <w:rsid w:val="00FE1230"/>
    <w:rsid w:val="00FE271A"/>
    <w:rsid w:val="00FE5211"/>
    <w:rsid w:val="00FE5B6C"/>
    <w:rsid w:val="00FF1EBA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19FFB87-F55E-40AD-994C-9F7D2CDD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2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360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4D360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4D360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4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28A"/>
  </w:style>
  <w:style w:type="paragraph" w:styleId="Textodebalo">
    <w:name w:val="Balloon Text"/>
    <w:basedOn w:val="Normal"/>
    <w:link w:val="TextodebaloChar"/>
    <w:uiPriority w:val="99"/>
    <w:semiHidden/>
    <w:unhideWhenUsed/>
    <w:rsid w:val="0037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D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57B0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notaderodap">
    <w:name w:val="footnote text"/>
    <w:aliases w:val="fn,ALTS FOOTNOTE, Char,Char,Stinking Styles12,Nota de rodapé,Texto de nota de rodapé Char Char Char Char,footnote text char,Footnote Text Char Char,Footnote ak,footnote text"/>
    <w:basedOn w:val="Normal"/>
    <w:link w:val="TextodenotaderodapChar"/>
    <w:uiPriority w:val="99"/>
    <w:unhideWhenUsed/>
    <w:qFormat/>
    <w:rsid w:val="0074138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aliases w:val="fn Char,ALTS FOOTNOTE Char, Char Char,Char Char,Stinking Styles12 Char,Nota de rodapé Char,Texto de nota de rodapé Char Char Char Char Char,footnote text char Char,Footnote Text Char Char Char,Footnote ak Char"/>
    <w:basedOn w:val="Fontepargpadro"/>
    <w:link w:val="Textodenotaderodap"/>
    <w:uiPriority w:val="99"/>
    <w:rsid w:val="00741382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aliases w:val="Stinking Styles13,sobrescrito,Appel note de bas de p.,fr,Ref,de nota al pie,(NECG) Footnote Reference,o,-E Fußnotenzeichen,FR,Style 3,Style 4,Appel note de bas de p,Style 17,Style 12,Style 124,Style 13,callout,Style 6,Style 20"/>
    <w:basedOn w:val="Fontepargpadro"/>
    <w:uiPriority w:val="99"/>
    <w:unhideWhenUsed/>
    <w:qFormat/>
    <w:rsid w:val="00741382"/>
    <w:rPr>
      <w:vertAlign w:val="superscript"/>
    </w:rPr>
  </w:style>
  <w:style w:type="paragraph" w:customStyle="1" w:styleId="Contrato-Clausula-Nvel1">
    <w:name w:val="Contrato - Clausula - Nível 1"/>
    <w:basedOn w:val="Contrato-Clausula-Nvel2"/>
    <w:next w:val="Normal"/>
    <w:qFormat/>
    <w:rsid w:val="00DE35F0"/>
    <w:pPr>
      <w:keepNext/>
      <w:numPr>
        <w:ilvl w:val="0"/>
      </w:numPr>
      <w:spacing w:after="600"/>
      <w:ind w:left="142" w:hanging="142"/>
      <w:jc w:val="center"/>
    </w:pPr>
    <w:rPr>
      <w:b/>
      <w:caps/>
    </w:rPr>
  </w:style>
  <w:style w:type="paragraph" w:customStyle="1" w:styleId="Contrato-Clausula-Nvel2">
    <w:name w:val="Contrato - Clausula - Nível 2"/>
    <w:basedOn w:val="Normal"/>
    <w:qFormat/>
    <w:rsid w:val="00DE35F0"/>
    <w:pPr>
      <w:numPr>
        <w:ilvl w:val="1"/>
        <w:numId w:val="14"/>
      </w:numPr>
      <w:spacing w:before="200" w:after="200" w:line="240" w:lineRule="auto"/>
      <w:ind w:left="426" w:hanging="426"/>
      <w:jc w:val="both"/>
    </w:pPr>
    <w:rPr>
      <w:rFonts w:ascii="Arial" w:eastAsia="Times New Roman" w:hAnsi="Arial" w:cs="Times New Roman"/>
      <w:szCs w:val="20"/>
      <w:lang w:eastAsia="pt-BR"/>
    </w:rPr>
  </w:style>
  <w:style w:type="paragraph" w:customStyle="1" w:styleId="Contrato-Clausula-Nvel3">
    <w:name w:val="Contrato - Clausula - Nível 3"/>
    <w:basedOn w:val="Contrato-Clausula-Nvel2"/>
    <w:qFormat/>
    <w:rsid w:val="00DE35F0"/>
    <w:pPr>
      <w:numPr>
        <w:ilvl w:val="2"/>
      </w:numPr>
      <w:ind w:left="1134" w:hanging="708"/>
    </w:pPr>
  </w:style>
  <w:style w:type="paragraph" w:customStyle="1" w:styleId="Contrato-Clausula-Nvel4">
    <w:name w:val="Contrato - Clausula - Nível 4"/>
    <w:basedOn w:val="Contrato-Clausula-Nvel3"/>
    <w:qFormat/>
    <w:rsid w:val="00DE35F0"/>
    <w:pPr>
      <w:numPr>
        <w:ilvl w:val="3"/>
      </w:numPr>
      <w:ind w:left="2127" w:hanging="851"/>
    </w:pPr>
  </w:style>
  <w:style w:type="paragraph" w:customStyle="1" w:styleId="Contrato-Clausula-Nvel2-1dezena">
    <w:name w:val="Contrato - Clausula - Nível 2 - 1 dezena"/>
    <w:basedOn w:val="Contrato-Clausula-Nvel2"/>
    <w:qFormat/>
    <w:rsid w:val="00DE35F0"/>
    <w:pPr>
      <w:ind w:left="567" w:hanging="567"/>
    </w:pPr>
  </w:style>
  <w:style w:type="paragraph" w:customStyle="1" w:styleId="Contrato-Clausula-Nvel3-1dezena">
    <w:name w:val="Contrato - Clausula - Nível 3 - 1 dezena"/>
    <w:basedOn w:val="Contrato-Clausula-Nvel3"/>
    <w:qFormat/>
    <w:rsid w:val="00DE35F0"/>
    <w:pPr>
      <w:ind w:left="1304" w:hanging="737"/>
    </w:pPr>
  </w:style>
  <w:style w:type="character" w:styleId="Refdecomentrio">
    <w:name w:val="annotation reference"/>
    <w:basedOn w:val="Fontepargpadro"/>
    <w:uiPriority w:val="99"/>
    <w:semiHidden/>
    <w:unhideWhenUsed/>
    <w:rsid w:val="003140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140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140A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140A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14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3199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20434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Fornasar</dc:creator>
  <cp:lastModifiedBy>SIMONE DA CUNHA ESTEVES</cp:lastModifiedBy>
  <cp:revision>2</cp:revision>
  <cp:lastPrinted>2018-12-24T11:41:00Z</cp:lastPrinted>
  <dcterms:created xsi:type="dcterms:W3CDTF">2018-12-24T11:42:00Z</dcterms:created>
  <dcterms:modified xsi:type="dcterms:W3CDTF">2018-12-24T11:42:00Z</dcterms:modified>
</cp:coreProperties>
</file>