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C49" w:rsidRDefault="00EE1C49" w:rsidP="008159F0">
      <w:pPr>
        <w:spacing w:before="240"/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ED2960" w:rsidRPr="00C33929" w:rsidRDefault="00ED2960" w:rsidP="008159F0">
      <w:pPr>
        <w:spacing w:before="240"/>
        <w:jc w:val="both"/>
        <w:rPr>
          <w:rFonts w:ascii="Times New Roman" w:hAnsi="Times New Roman"/>
          <w:szCs w:val="24"/>
        </w:rPr>
      </w:pPr>
      <w:r w:rsidRPr="00C33929">
        <w:rPr>
          <w:rFonts w:ascii="Times New Roman" w:hAnsi="Times New Roman"/>
          <w:b/>
          <w:szCs w:val="24"/>
        </w:rPr>
        <w:t xml:space="preserve">Nota </w:t>
      </w:r>
      <w:r w:rsidRPr="003A5516">
        <w:rPr>
          <w:rFonts w:ascii="Times New Roman" w:hAnsi="Times New Roman"/>
          <w:b/>
          <w:szCs w:val="24"/>
        </w:rPr>
        <w:t>Técnica n</w:t>
      </w:r>
      <w:r w:rsidRPr="003A5516">
        <w:rPr>
          <w:rFonts w:ascii="Times New Roman" w:hAnsi="Times New Roman"/>
          <w:b/>
          <w:szCs w:val="24"/>
          <w:u w:val="single"/>
          <w:vertAlign w:val="superscript"/>
        </w:rPr>
        <w:t>o:</w:t>
      </w:r>
      <w:r w:rsidRPr="003A5516">
        <w:rPr>
          <w:rFonts w:ascii="Times New Roman" w:hAnsi="Times New Roman"/>
          <w:szCs w:val="24"/>
        </w:rPr>
        <w:t xml:space="preserve"> </w:t>
      </w:r>
      <w:r w:rsidR="003A5516" w:rsidRPr="003A5516">
        <w:rPr>
          <w:rFonts w:ascii="Times New Roman" w:hAnsi="Times New Roman"/>
          <w:szCs w:val="24"/>
        </w:rPr>
        <w:t>32</w:t>
      </w:r>
      <w:r w:rsidRPr="003A5516">
        <w:rPr>
          <w:rFonts w:ascii="Times New Roman" w:hAnsi="Times New Roman"/>
          <w:szCs w:val="24"/>
        </w:rPr>
        <w:t>/2018/SBQ/</w:t>
      </w:r>
      <w:r w:rsidR="008160B1">
        <w:rPr>
          <w:rFonts w:ascii="Times New Roman" w:hAnsi="Times New Roman"/>
          <w:szCs w:val="24"/>
        </w:rPr>
        <w:t>CPT-DF</w:t>
      </w:r>
    </w:p>
    <w:p w:rsidR="00ED2960" w:rsidRDefault="00ED2960" w:rsidP="008159F0">
      <w:pPr>
        <w:pStyle w:val="Cabealho"/>
        <w:tabs>
          <w:tab w:val="clear" w:pos="4419"/>
          <w:tab w:val="clear" w:pos="8838"/>
        </w:tabs>
        <w:spacing w:before="240" w:after="120"/>
        <w:jc w:val="both"/>
        <w:rPr>
          <w:rFonts w:ascii="Times New Roman" w:hAnsi="Times New Roman"/>
          <w:szCs w:val="24"/>
        </w:rPr>
      </w:pPr>
      <w:r w:rsidRPr="00C33929">
        <w:rPr>
          <w:rFonts w:ascii="Times New Roman" w:hAnsi="Times New Roman"/>
          <w:b/>
          <w:szCs w:val="24"/>
        </w:rPr>
        <w:t>Assunto:</w:t>
      </w:r>
      <w:r w:rsidRPr="00C3392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Revisão das</w:t>
      </w:r>
      <w:r w:rsidRPr="00461CA6">
        <w:rPr>
          <w:rFonts w:cs="Arial"/>
          <w:color w:val="000000"/>
          <w:szCs w:val="24"/>
        </w:rPr>
        <w:t xml:space="preserve"> </w:t>
      </w:r>
      <w:r w:rsidRPr="00461CA6">
        <w:rPr>
          <w:rFonts w:ascii="Times New Roman" w:hAnsi="Times New Roman"/>
          <w:szCs w:val="24"/>
        </w:rPr>
        <w:t>Resoluções ANP nº 63/2014</w:t>
      </w:r>
      <w:r>
        <w:rPr>
          <w:rFonts w:ascii="Times New Roman" w:hAnsi="Times New Roman"/>
          <w:szCs w:val="24"/>
        </w:rPr>
        <w:t xml:space="preserve"> e 37/2009</w:t>
      </w:r>
      <w:r w:rsidR="00BF15D0">
        <w:rPr>
          <w:rFonts w:ascii="Times New Roman" w:hAnsi="Times New Roman"/>
          <w:szCs w:val="24"/>
        </w:rPr>
        <w:t xml:space="preserve"> e dá outras providências</w:t>
      </w:r>
      <w:r>
        <w:rPr>
          <w:rFonts w:ascii="Times New Roman" w:hAnsi="Times New Roman"/>
          <w:szCs w:val="24"/>
        </w:rPr>
        <w:t>.</w:t>
      </w:r>
    </w:p>
    <w:p w:rsidR="00ED2960" w:rsidRDefault="00ED2960" w:rsidP="009A7BE7">
      <w:pPr>
        <w:tabs>
          <w:tab w:val="left" w:pos="1134"/>
        </w:tabs>
        <w:spacing w:before="240"/>
        <w:ind w:left="1560" w:hanging="15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Referências: </w:t>
      </w:r>
      <w:r w:rsidRPr="001426CC">
        <w:rPr>
          <w:rFonts w:ascii="Times New Roman" w:hAnsi="Times New Roman"/>
          <w:szCs w:val="24"/>
        </w:rPr>
        <w:t>Processo</w:t>
      </w:r>
      <w:r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b/>
          <w:szCs w:val="24"/>
        </w:rPr>
        <w:t xml:space="preserve"> </w:t>
      </w:r>
      <w:r w:rsidRPr="001426CC">
        <w:rPr>
          <w:rFonts w:ascii="Times New Roman" w:hAnsi="Times New Roman"/>
        </w:rPr>
        <w:t>nº</w:t>
      </w:r>
      <w:r>
        <w:rPr>
          <w:rFonts w:ascii="Times New Roman" w:hAnsi="Times New Roman"/>
          <w:b/>
        </w:rPr>
        <w:t xml:space="preserve"> </w:t>
      </w:r>
      <w:r w:rsidRPr="00095383">
        <w:rPr>
          <w:rFonts w:ascii="Times New Roman" w:hAnsi="Times New Roman"/>
          <w:szCs w:val="24"/>
        </w:rPr>
        <w:t>48610.003050/2013-10</w:t>
      </w:r>
      <w:r>
        <w:rPr>
          <w:rFonts w:ascii="Times New Roman" w:hAnsi="Times New Roman"/>
          <w:szCs w:val="24"/>
        </w:rPr>
        <w:t xml:space="preserve"> (Resolução</w:t>
      </w:r>
      <w:r w:rsidRPr="00461CA6">
        <w:rPr>
          <w:rFonts w:ascii="Times New Roman" w:hAnsi="Times New Roman"/>
          <w:szCs w:val="24"/>
        </w:rPr>
        <w:t xml:space="preserve"> ANP nº 63/2014</w:t>
      </w:r>
      <w:r>
        <w:rPr>
          <w:rFonts w:ascii="Times New Roman" w:hAnsi="Times New Roman"/>
          <w:szCs w:val="24"/>
        </w:rPr>
        <w:t>) e                                      nº 48610.003589/2000-54 (</w:t>
      </w:r>
      <w:r w:rsidRPr="00461CA6">
        <w:rPr>
          <w:rFonts w:ascii="Times New Roman" w:hAnsi="Times New Roman"/>
          <w:szCs w:val="24"/>
        </w:rPr>
        <w:t>Resoluç</w:t>
      </w:r>
      <w:r>
        <w:rPr>
          <w:rFonts w:ascii="Times New Roman" w:hAnsi="Times New Roman"/>
          <w:szCs w:val="24"/>
        </w:rPr>
        <w:t>ão</w:t>
      </w:r>
      <w:r w:rsidRPr="00461CA6">
        <w:rPr>
          <w:rFonts w:ascii="Times New Roman" w:hAnsi="Times New Roman"/>
          <w:szCs w:val="24"/>
        </w:rPr>
        <w:t xml:space="preserve"> ANP nº </w:t>
      </w:r>
      <w:r>
        <w:rPr>
          <w:rFonts w:ascii="Times New Roman" w:hAnsi="Times New Roman"/>
          <w:szCs w:val="24"/>
        </w:rPr>
        <w:t>37</w:t>
      </w:r>
      <w:r w:rsidRPr="00461CA6">
        <w:rPr>
          <w:rFonts w:ascii="Times New Roman" w:hAnsi="Times New Roman"/>
          <w:szCs w:val="24"/>
        </w:rPr>
        <w:t>/20</w:t>
      </w:r>
      <w:r>
        <w:rPr>
          <w:rFonts w:ascii="Times New Roman" w:hAnsi="Times New Roman"/>
          <w:szCs w:val="24"/>
        </w:rPr>
        <w:t>09)</w:t>
      </w:r>
    </w:p>
    <w:p w:rsidR="00ED2960" w:rsidRDefault="00ED2960" w:rsidP="008159F0">
      <w:pPr>
        <w:tabs>
          <w:tab w:val="left" w:pos="1134"/>
        </w:tabs>
        <w:spacing w:before="240"/>
        <w:jc w:val="both"/>
        <w:rPr>
          <w:rFonts w:ascii="Times New Roman" w:hAnsi="Times New Roman"/>
          <w:szCs w:val="24"/>
        </w:rPr>
      </w:pPr>
    </w:p>
    <w:p w:rsidR="00ED2960" w:rsidRPr="00C33929" w:rsidRDefault="00ED2960" w:rsidP="008159F0">
      <w:pPr>
        <w:spacing w:before="240" w:after="120"/>
        <w:jc w:val="right"/>
        <w:rPr>
          <w:rFonts w:ascii="Times New Roman" w:hAnsi="Times New Roman"/>
          <w:szCs w:val="24"/>
        </w:rPr>
      </w:pPr>
      <w:r w:rsidRPr="003A5516">
        <w:rPr>
          <w:rFonts w:ascii="Times New Roman" w:hAnsi="Times New Roman"/>
          <w:szCs w:val="24"/>
        </w:rPr>
        <w:t xml:space="preserve">Brasília, </w:t>
      </w:r>
      <w:r w:rsidR="00D45842" w:rsidRPr="003A5516">
        <w:rPr>
          <w:rFonts w:ascii="Times New Roman" w:hAnsi="Times New Roman"/>
          <w:szCs w:val="24"/>
        </w:rPr>
        <w:t>06</w:t>
      </w:r>
      <w:r w:rsidRPr="003A5516">
        <w:rPr>
          <w:rFonts w:ascii="Times New Roman" w:hAnsi="Times New Roman"/>
          <w:szCs w:val="24"/>
        </w:rPr>
        <w:t xml:space="preserve"> de ju</w:t>
      </w:r>
      <w:r w:rsidR="00D45842" w:rsidRPr="003A5516">
        <w:rPr>
          <w:rFonts w:ascii="Times New Roman" w:hAnsi="Times New Roman"/>
          <w:szCs w:val="24"/>
        </w:rPr>
        <w:t>lho</w:t>
      </w:r>
      <w:r w:rsidRPr="003A5516">
        <w:rPr>
          <w:rFonts w:ascii="Times New Roman" w:hAnsi="Times New Roman"/>
          <w:szCs w:val="24"/>
        </w:rPr>
        <w:t xml:space="preserve"> de 2018.</w:t>
      </w:r>
    </w:p>
    <w:p w:rsidR="00ED2960" w:rsidRPr="00C33929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szCs w:val="24"/>
        </w:rPr>
      </w:pPr>
    </w:p>
    <w:p w:rsidR="00ED2960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1. </w:t>
      </w:r>
      <w:r w:rsidRPr="00C33929">
        <w:rPr>
          <w:rFonts w:ascii="Times New Roman" w:hAnsi="Times New Roman"/>
          <w:b/>
          <w:szCs w:val="24"/>
        </w:rPr>
        <w:t>OBJETIVO</w:t>
      </w:r>
    </w:p>
    <w:p w:rsidR="004B3341" w:rsidRDefault="00ED2960" w:rsidP="004B3341">
      <w:pPr>
        <w:spacing w:after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 w:rsidRPr="00DF2FF7">
        <w:rPr>
          <w:rFonts w:ascii="Times New Roman" w:hAnsi="Times New Roman"/>
          <w:color w:val="000000"/>
          <w:szCs w:val="24"/>
        </w:rPr>
        <w:t xml:space="preserve">A presente Nota Técnica tem por objetivo justificar </w:t>
      </w:r>
      <w:r w:rsidR="0098129F">
        <w:rPr>
          <w:rFonts w:ascii="Times New Roman" w:hAnsi="Times New Roman"/>
          <w:color w:val="000000"/>
          <w:szCs w:val="24"/>
        </w:rPr>
        <w:t>a revisão das</w:t>
      </w:r>
      <w:r w:rsidRPr="00DF2FF7">
        <w:rPr>
          <w:rFonts w:ascii="Times New Roman" w:hAnsi="Times New Roman"/>
          <w:color w:val="000000"/>
          <w:szCs w:val="24"/>
        </w:rPr>
        <w:t xml:space="preserve"> Resoluç</w:t>
      </w:r>
      <w:r w:rsidR="0098129F">
        <w:rPr>
          <w:rFonts w:ascii="Times New Roman" w:hAnsi="Times New Roman"/>
          <w:color w:val="000000"/>
          <w:szCs w:val="24"/>
        </w:rPr>
        <w:t>ões</w:t>
      </w:r>
      <w:r w:rsidRPr="00DF2FF7">
        <w:rPr>
          <w:rFonts w:ascii="Times New Roman" w:hAnsi="Times New Roman"/>
          <w:color w:val="000000"/>
          <w:szCs w:val="24"/>
        </w:rPr>
        <w:t xml:space="preserve"> ANP </w:t>
      </w:r>
      <w:r w:rsidR="00C91152">
        <w:rPr>
          <w:rFonts w:ascii="Times New Roman" w:hAnsi="Times New Roman"/>
          <w:color w:val="000000"/>
          <w:szCs w:val="24"/>
        </w:rPr>
        <w:t xml:space="preserve">                        </w:t>
      </w:r>
      <w:r w:rsidRPr="00DF2FF7">
        <w:rPr>
          <w:rFonts w:ascii="Times New Roman" w:hAnsi="Times New Roman"/>
          <w:color w:val="000000"/>
          <w:szCs w:val="24"/>
        </w:rPr>
        <w:t xml:space="preserve">nº 63/2014, que trata das especificações e regras de controle da qualidade dos </w:t>
      </w:r>
      <w:r w:rsidR="00435F91">
        <w:rPr>
          <w:rFonts w:ascii="Times New Roman" w:hAnsi="Times New Roman"/>
          <w:color w:val="000000"/>
          <w:szCs w:val="24"/>
        </w:rPr>
        <w:t>q</w:t>
      </w:r>
      <w:r w:rsidRPr="00DF2FF7">
        <w:rPr>
          <w:rFonts w:ascii="Times New Roman" w:hAnsi="Times New Roman"/>
          <w:color w:val="000000"/>
          <w:szCs w:val="24"/>
        </w:rPr>
        <w:t xml:space="preserve">uerosenes de </w:t>
      </w:r>
      <w:r w:rsidR="00435F91">
        <w:rPr>
          <w:rFonts w:ascii="Times New Roman" w:hAnsi="Times New Roman"/>
          <w:color w:val="000000"/>
          <w:szCs w:val="24"/>
        </w:rPr>
        <w:t>a</w:t>
      </w:r>
      <w:r w:rsidRPr="00DF2FF7">
        <w:rPr>
          <w:rFonts w:ascii="Times New Roman" w:hAnsi="Times New Roman"/>
          <w:color w:val="000000"/>
          <w:szCs w:val="24"/>
        </w:rPr>
        <w:t xml:space="preserve">viação </w:t>
      </w:r>
      <w:r w:rsidR="00435F91">
        <w:rPr>
          <w:rFonts w:ascii="Times New Roman" w:hAnsi="Times New Roman"/>
          <w:color w:val="000000"/>
          <w:szCs w:val="24"/>
        </w:rPr>
        <w:t>a</w:t>
      </w:r>
      <w:r w:rsidRPr="00DF2FF7">
        <w:rPr>
          <w:rFonts w:ascii="Times New Roman" w:hAnsi="Times New Roman"/>
          <w:color w:val="000000"/>
          <w:szCs w:val="24"/>
        </w:rPr>
        <w:t>lternativos e suas misturas (QAV-</w:t>
      </w:r>
      <w:r w:rsidR="0098129F">
        <w:rPr>
          <w:rFonts w:ascii="Times New Roman" w:hAnsi="Times New Roman"/>
          <w:color w:val="000000"/>
          <w:szCs w:val="24"/>
        </w:rPr>
        <w:t>B</w:t>
      </w:r>
      <w:r w:rsidRPr="00DF2FF7">
        <w:rPr>
          <w:rFonts w:ascii="Times New Roman" w:hAnsi="Times New Roman"/>
          <w:color w:val="000000"/>
          <w:szCs w:val="24"/>
        </w:rPr>
        <w:t>)</w:t>
      </w:r>
      <w:r w:rsidR="0098129F">
        <w:rPr>
          <w:rFonts w:ascii="Times New Roman" w:hAnsi="Times New Roman"/>
          <w:color w:val="000000"/>
          <w:szCs w:val="24"/>
        </w:rPr>
        <w:t xml:space="preserve"> e </w:t>
      </w:r>
      <w:r w:rsidRPr="00DF2FF7">
        <w:rPr>
          <w:rFonts w:ascii="Times New Roman" w:hAnsi="Times New Roman"/>
          <w:color w:val="000000"/>
          <w:szCs w:val="24"/>
        </w:rPr>
        <w:t>Resolução ANP nº 37/2009, que trata da especificação e regras de controle de qualidade do QAV-1.</w:t>
      </w:r>
      <w:r w:rsidR="00BF15D0">
        <w:rPr>
          <w:rFonts w:ascii="Times New Roman" w:hAnsi="Times New Roman"/>
          <w:color w:val="000000"/>
          <w:szCs w:val="24"/>
        </w:rPr>
        <w:t xml:space="preserve"> </w:t>
      </w:r>
    </w:p>
    <w:p w:rsidR="00ED2960" w:rsidRPr="00DF2FF7" w:rsidRDefault="00BF15D0" w:rsidP="004B3341">
      <w:pPr>
        <w:spacing w:after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  <w:t xml:space="preserve">Além disso, a Nota Técnica justifica as alterações nas Resoluções ANP nº 17/2006 e </w:t>
      </w:r>
      <w:r w:rsidR="00C91152">
        <w:rPr>
          <w:rFonts w:ascii="Times New Roman" w:hAnsi="Times New Roman"/>
          <w:color w:val="000000"/>
          <w:szCs w:val="24"/>
        </w:rPr>
        <w:t xml:space="preserve">            nº </w:t>
      </w:r>
      <w:r>
        <w:rPr>
          <w:rFonts w:ascii="Times New Roman" w:hAnsi="Times New Roman"/>
          <w:color w:val="000000"/>
          <w:szCs w:val="24"/>
        </w:rPr>
        <w:t xml:space="preserve">18/2006, que tratam respectivamente da distribuição e da revenda de combustíveis de aviação, </w:t>
      </w:r>
      <w:r w:rsidR="00CA4342">
        <w:rPr>
          <w:rFonts w:ascii="Times New Roman" w:hAnsi="Times New Roman"/>
          <w:color w:val="000000"/>
          <w:szCs w:val="24"/>
        </w:rPr>
        <w:t xml:space="preserve">que são </w:t>
      </w:r>
      <w:r>
        <w:rPr>
          <w:rFonts w:ascii="Times New Roman" w:hAnsi="Times New Roman"/>
          <w:color w:val="000000"/>
          <w:szCs w:val="24"/>
        </w:rPr>
        <w:t>necessárias para adequação à revisão proposta.</w:t>
      </w:r>
    </w:p>
    <w:p w:rsidR="00ED2960" w:rsidRPr="00C33929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 xml:space="preserve"> </w:t>
      </w:r>
    </w:p>
    <w:p w:rsidR="00ED2960" w:rsidRPr="00DF2FF7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2. </w:t>
      </w:r>
      <w:r w:rsidRPr="00DF2FF7">
        <w:rPr>
          <w:rFonts w:ascii="Times New Roman" w:hAnsi="Times New Roman"/>
          <w:b/>
          <w:szCs w:val="24"/>
        </w:rPr>
        <w:t>DOS FATOS E DA MOTIVAÇÃO PARA ALTERAÇÃO</w:t>
      </w:r>
    </w:p>
    <w:p w:rsidR="00ED2960" w:rsidRDefault="00ED2960" w:rsidP="008159F0">
      <w:pPr>
        <w:spacing w:before="24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 w:rsidRPr="00DF2FF7">
        <w:rPr>
          <w:rFonts w:ascii="Times New Roman" w:hAnsi="Times New Roman"/>
          <w:color w:val="000000"/>
          <w:szCs w:val="24"/>
        </w:rPr>
        <w:t>Desde 2008, a ANP, representada pela Superintendência de Biocombustíveis e Qualidade de Produtos (SBQ), participa ativamente das reuniões do Comitê de Produtos de Petróleo e Lubrificantes da ASTM (D02). O conteúdo das reuniões é essencial para as atividades des</w:t>
      </w:r>
      <w:r>
        <w:rPr>
          <w:rFonts w:ascii="Times New Roman" w:hAnsi="Times New Roman"/>
          <w:color w:val="000000"/>
          <w:szCs w:val="24"/>
        </w:rPr>
        <w:t>t</w:t>
      </w:r>
      <w:r w:rsidRPr="00DF2FF7">
        <w:rPr>
          <w:rFonts w:ascii="Times New Roman" w:hAnsi="Times New Roman"/>
          <w:color w:val="000000"/>
          <w:szCs w:val="24"/>
        </w:rPr>
        <w:t>a Superintendência com foco na especificação de produtos e normas técnicas. O Comitê D02 da ASTM abrange diversos subcomitês que trabalham no desenvolvimento das normas técnicas para especificação e ensaios de petróleo</w:t>
      </w:r>
      <w:r>
        <w:rPr>
          <w:rFonts w:ascii="Times New Roman" w:hAnsi="Times New Roman"/>
          <w:color w:val="000000"/>
          <w:szCs w:val="24"/>
        </w:rPr>
        <w:t xml:space="preserve">, derivados e biocombustíveis, </w:t>
      </w:r>
      <w:r w:rsidRPr="00DF2FF7">
        <w:rPr>
          <w:rFonts w:ascii="Times New Roman" w:hAnsi="Times New Roman"/>
          <w:color w:val="000000"/>
          <w:szCs w:val="24"/>
        </w:rPr>
        <w:t>entre eles o querosene de aviação alternativo. A aprovação de novos querosenes de aviação alternativos para uso em misturas com querosene de aviação faz parte dessas discussões.</w:t>
      </w:r>
    </w:p>
    <w:p w:rsidR="00ED2960" w:rsidRDefault="00ED2960" w:rsidP="008159F0">
      <w:pPr>
        <w:spacing w:before="24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 w:rsidRPr="00DF2FF7">
        <w:rPr>
          <w:rFonts w:ascii="Times New Roman" w:hAnsi="Times New Roman"/>
          <w:color w:val="000000"/>
          <w:szCs w:val="24"/>
        </w:rPr>
        <w:t>Para aprovação de um novo querosene de aviação alternativo, é preciso aprovação pela ASTM de acordo com os testes exigidos na ASTM D4054</w:t>
      </w:r>
      <w:r w:rsidRPr="00C01760">
        <w:rPr>
          <w:rFonts w:ascii="Times New Roman" w:hAnsi="Times New Roman"/>
          <w:color w:val="000000"/>
          <w:szCs w:val="24"/>
          <w:vertAlign w:val="superscript"/>
        </w:rPr>
        <w:footnoteReference w:id="1"/>
      </w:r>
      <w:r>
        <w:rPr>
          <w:rFonts w:ascii="Times New Roman" w:hAnsi="Times New Roman"/>
          <w:color w:val="000000"/>
          <w:szCs w:val="24"/>
        </w:rPr>
        <w:t xml:space="preserve">. </w:t>
      </w:r>
      <w:r w:rsidRPr="00DF2FF7">
        <w:rPr>
          <w:rFonts w:ascii="Times New Roman" w:hAnsi="Times New Roman"/>
          <w:color w:val="000000"/>
          <w:szCs w:val="24"/>
        </w:rPr>
        <w:t>Uma vez aprovado, a especificação é incluída na ASTM D7566</w:t>
      </w:r>
      <w:r w:rsidRPr="00C01760">
        <w:rPr>
          <w:rFonts w:ascii="Times New Roman" w:hAnsi="Times New Roman"/>
          <w:color w:val="000000"/>
          <w:szCs w:val="24"/>
          <w:vertAlign w:val="superscript"/>
        </w:rPr>
        <w:footnoteReference w:id="2"/>
      </w:r>
      <w:r w:rsidRPr="00DF2FF7">
        <w:rPr>
          <w:rFonts w:ascii="Times New Roman" w:hAnsi="Times New Roman"/>
          <w:color w:val="000000"/>
          <w:szCs w:val="24"/>
        </w:rPr>
        <w:t xml:space="preserve">, que traz a especificação dos querosenes de aviação alternativos puros e em mistura com </w:t>
      </w:r>
      <w:r>
        <w:rPr>
          <w:rFonts w:ascii="Times New Roman" w:hAnsi="Times New Roman"/>
          <w:color w:val="000000"/>
          <w:szCs w:val="24"/>
        </w:rPr>
        <w:t xml:space="preserve">o </w:t>
      </w:r>
      <w:r w:rsidRPr="00DF2FF7">
        <w:rPr>
          <w:rFonts w:ascii="Times New Roman" w:hAnsi="Times New Roman"/>
          <w:color w:val="000000"/>
          <w:szCs w:val="24"/>
        </w:rPr>
        <w:t>QAV-1. Até 2014, os únicos querosenes de Aviação Alternativos aprovados eram: o querosene parafínico sintetizado por Fischer-</w:t>
      </w:r>
      <w:proofErr w:type="spellStart"/>
      <w:r w:rsidRPr="00DF2FF7">
        <w:rPr>
          <w:rFonts w:ascii="Times New Roman" w:hAnsi="Times New Roman"/>
          <w:color w:val="000000"/>
          <w:szCs w:val="24"/>
        </w:rPr>
        <w:t>Tropsch</w:t>
      </w:r>
      <w:proofErr w:type="spellEnd"/>
      <w:r w:rsidRPr="00DF2FF7">
        <w:rPr>
          <w:rFonts w:ascii="Times New Roman" w:hAnsi="Times New Roman"/>
          <w:color w:val="000000"/>
          <w:szCs w:val="24"/>
        </w:rPr>
        <w:t xml:space="preserve"> (SPK-FT), o querosene parafínico sintetizado por ácidos graxos e ésteres hidroprocessados (SPK-HEFA) e as </w:t>
      </w:r>
      <w:proofErr w:type="spellStart"/>
      <w:r w:rsidRPr="00DF2FF7">
        <w:rPr>
          <w:rFonts w:ascii="Times New Roman" w:hAnsi="Times New Roman"/>
          <w:color w:val="000000"/>
          <w:szCs w:val="24"/>
        </w:rPr>
        <w:t>iso</w:t>
      </w:r>
      <w:proofErr w:type="spellEnd"/>
      <w:r w:rsidRPr="00DF2FF7">
        <w:rPr>
          <w:rFonts w:ascii="Times New Roman" w:hAnsi="Times New Roman"/>
          <w:color w:val="000000"/>
          <w:szCs w:val="24"/>
        </w:rPr>
        <w:t xml:space="preserve">-parafinas sintetizadas (SIP). </w:t>
      </w:r>
    </w:p>
    <w:p w:rsidR="00ED2960" w:rsidRDefault="00ED2960" w:rsidP="008159F0">
      <w:pPr>
        <w:spacing w:before="24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ab/>
      </w:r>
      <w:r w:rsidRPr="00DF2FF7">
        <w:rPr>
          <w:rFonts w:ascii="Times New Roman" w:hAnsi="Times New Roman"/>
          <w:color w:val="000000"/>
          <w:szCs w:val="24"/>
        </w:rPr>
        <w:t>Em novembro de 2015, o querosene parafínico sintetizado com aromáticos (SPK/A)</w:t>
      </w:r>
      <w:r w:rsidRPr="00C01760">
        <w:rPr>
          <w:rFonts w:ascii="Times New Roman" w:hAnsi="Times New Roman"/>
          <w:color w:val="000000"/>
          <w:szCs w:val="24"/>
          <w:vertAlign w:val="superscript"/>
        </w:rPr>
        <w:footnoteReference w:id="3"/>
      </w:r>
      <w:r w:rsidRPr="00DF2FF7">
        <w:rPr>
          <w:rFonts w:ascii="Times New Roman" w:hAnsi="Times New Roman"/>
          <w:color w:val="000000"/>
          <w:szCs w:val="24"/>
        </w:rPr>
        <w:t xml:space="preserve"> foi aprovado e incluído no rol de querosenes de aviação alternativos possíveis de serem adicionados ao querosene de aviação fóssil em proporç</w:t>
      </w:r>
      <w:r>
        <w:rPr>
          <w:rFonts w:ascii="Times New Roman" w:hAnsi="Times New Roman"/>
          <w:color w:val="000000"/>
          <w:szCs w:val="24"/>
        </w:rPr>
        <w:t>ão máxima</w:t>
      </w:r>
      <w:r w:rsidRPr="00DF2FF7">
        <w:rPr>
          <w:rFonts w:ascii="Times New Roman" w:hAnsi="Times New Roman"/>
          <w:color w:val="000000"/>
          <w:szCs w:val="24"/>
        </w:rPr>
        <w:t xml:space="preserve"> definida. Em abril de 2016, o querosene parafínico sintetizado por álcool (SPK-ATJ)</w:t>
      </w:r>
      <w:r w:rsidRPr="00C01760">
        <w:rPr>
          <w:rFonts w:ascii="Times New Roman" w:hAnsi="Times New Roman"/>
          <w:color w:val="000000"/>
          <w:szCs w:val="24"/>
          <w:vertAlign w:val="superscript"/>
        </w:rPr>
        <w:footnoteReference w:id="4"/>
      </w:r>
      <w:r w:rsidRPr="00DF2FF7">
        <w:rPr>
          <w:rFonts w:ascii="Times New Roman" w:hAnsi="Times New Roman"/>
          <w:color w:val="000000"/>
          <w:szCs w:val="24"/>
        </w:rPr>
        <w:t xml:space="preserve"> também foi aprovado. </w:t>
      </w:r>
    </w:p>
    <w:p w:rsidR="008159F0" w:rsidRDefault="00ED2960" w:rsidP="008159F0">
      <w:pPr>
        <w:spacing w:before="240"/>
        <w:jc w:val="both"/>
        <w:rPr>
          <w:rFonts w:ascii="Times New Roman" w:hAnsi="Times New Roman"/>
          <w:color w:val="000000"/>
          <w:szCs w:val="24"/>
        </w:rPr>
      </w:pPr>
      <w:r w:rsidRPr="00C01760">
        <w:rPr>
          <w:rFonts w:ascii="Times New Roman" w:hAnsi="Times New Roman"/>
          <w:color w:val="000000"/>
          <w:szCs w:val="24"/>
        </w:rPr>
        <w:tab/>
      </w:r>
      <w:r w:rsidRPr="001831B1">
        <w:rPr>
          <w:rFonts w:ascii="Times New Roman" w:hAnsi="Times New Roman"/>
          <w:color w:val="000000"/>
          <w:szCs w:val="24"/>
        </w:rPr>
        <w:t>A regulamentação da ANP voltada para qualidade desses produtos é baseada no processo de aprovação da ASTM. Assim, com as recentes revisões da ASTM D7566, torna-se necessário atualizar as especificações do SPK-FT, SPK-HEFA, SIP e suas misturas com o QAV-1, além de incluir a especificação do</w:t>
      </w:r>
      <w:r w:rsidR="0098129F">
        <w:rPr>
          <w:rFonts w:ascii="Times New Roman" w:hAnsi="Times New Roman"/>
          <w:color w:val="000000"/>
          <w:szCs w:val="24"/>
        </w:rPr>
        <w:t>s querosenes de aviação alternativos</w:t>
      </w:r>
      <w:r w:rsidRPr="001831B1">
        <w:rPr>
          <w:rFonts w:ascii="Times New Roman" w:hAnsi="Times New Roman"/>
          <w:color w:val="000000"/>
          <w:szCs w:val="24"/>
        </w:rPr>
        <w:t xml:space="preserve"> SPK/A e SPK-ATJ no regulamento ANP.</w:t>
      </w:r>
    </w:p>
    <w:p w:rsidR="00ED2960" w:rsidRPr="008159F0" w:rsidRDefault="008159F0" w:rsidP="008159F0">
      <w:pPr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 w:rsidR="00ED2960" w:rsidRPr="001831B1">
        <w:rPr>
          <w:rFonts w:ascii="Times New Roman" w:hAnsi="Times New Roman"/>
          <w:color w:val="000000"/>
          <w:szCs w:val="24"/>
        </w:rPr>
        <w:t>Em relação ao Querosene de Aviação (QAV-1), sabe-se que embora existam no mundo diferentes especif</w:t>
      </w:r>
      <w:r w:rsidR="00ED2960">
        <w:rPr>
          <w:rFonts w:ascii="Times New Roman" w:hAnsi="Times New Roman"/>
          <w:color w:val="000000"/>
          <w:szCs w:val="24"/>
        </w:rPr>
        <w:t>icações para ess</w:t>
      </w:r>
      <w:r w:rsidR="00ED2960" w:rsidRPr="001831B1">
        <w:rPr>
          <w:rFonts w:ascii="Times New Roman" w:hAnsi="Times New Roman"/>
          <w:color w:val="000000"/>
          <w:szCs w:val="24"/>
        </w:rPr>
        <w:t>e combustível, a maioria dos países alinha</w:t>
      </w:r>
      <w:r w:rsidR="00435F91">
        <w:rPr>
          <w:rFonts w:ascii="Times New Roman" w:hAnsi="Times New Roman"/>
          <w:color w:val="000000"/>
          <w:szCs w:val="24"/>
        </w:rPr>
        <w:t>m</w:t>
      </w:r>
      <w:r w:rsidR="00ED2960" w:rsidRPr="001831B1">
        <w:rPr>
          <w:rFonts w:ascii="Times New Roman" w:hAnsi="Times New Roman"/>
          <w:color w:val="000000"/>
          <w:szCs w:val="24"/>
        </w:rPr>
        <w:t>-se às seguintes normas internacionais:</w:t>
      </w:r>
    </w:p>
    <w:p w:rsidR="00ED2960" w:rsidRPr="00231F10" w:rsidRDefault="00ED2960" w:rsidP="009A7BE7">
      <w:pPr>
        <w:spacing w:before="240"/>
        <w:ind w:left="568" w:hanging="28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a)</w:t>
      </w:r>
      <w:r>
        <w:rPr>
          <w:rFonts w:ascii="Times New Roman" w:hAnsi="Times New Roman"/>
          <w:color w:val="000000"/>
          <w:szCs w:val="24"/>
        </w:rPr>
        <w:tab/>
      </w:r>
      <w:proofErr w:type="spellStart"/>
      <w:r w:rsidRPr="00C01760">
        <w:rPr>
          <w:rFonts w:ascii="Times New Roman" w:hAnsi="Times New Roman"/>
          <w:color w:val="000000"/>
          <w:szCs w:val="24"/>
        </w:rPr>
        <w:t>Defence</w:t>
      </w:r>
      <w:proofErr w:type="spellEnd"/>
      <w:r w:rsidRPr="00C01760">
        <w:rPr>
          <w:rFonts w:ascii="Times New Roman" w:hAnsi="Times New Roman"/>
          <w:color w:val="000000"/>
          <w:szCs w:val="24"/>
        </w:rPr>
        <w:t xml:space="preserve"> Standard 91-91 – "</w:t>
      </w:r>
      <w:r w:rsidRPr="00B94D39">
        <w:rPr>
          <w:rFonts w:ascii="Times New Roman" w:hAnsi="Times New Roman"/>
          <w:i/>
          <w:color w:val="000000"/>
          <w:szCs w:val="24"/>
        </w:rPr>
        <w:t xml:space="preserve">Turbine </w:t>
      </w:r>
      <w:proofErr w:type="spellStart"/>
      <w:r w:rsidRPr="00B94D39">
        <w:rPr>
          <w:rFonts w:ascii="Times New Roman" w:hAnsi="Times New Roman"/>
          <w:i/>
          <w:color w:val="000000"/>
          <w:szCs w:val="24"/>
        </w:rPr>
        <w:t>Fuel</w:t>
      </w:r>
      <w:proofErr w:type="spellEnd"/>
      <w:r w:rsidRPr="00B94D39"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 w:rsidRPr="00B94D39">
        <w:rPr>
          <w:rFonts w:ascii="Times New Roman" w:hAnsi="Times New Roman"/>
          <w:i/>
          <w:color w:val="000000"/>
          <w:szCs w:val="24"/>
        </w:rPr>
        <w:t>Aviation</w:t>
      </w:r>
      <w:proofErr w:type="spellEnd"/>
      <w:r w:rsidRPr="00B94D39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B94D39">
        <w:rPr>
          <w:rFonts w:ascii="Times New Roman" w:hAnsi="Times New Roman"/>
          <w:i/>
          <w:color w:val="000000"/>
          <w:szCs w:val="24"/>
        </w:rPr>
        <w:t>Kerosine</w:t>
      </w:r>
      <w:proofErr w:type="spellEnd"/>
      <w:r w:rsidRPr="00B94D39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B94D39">
        <w:rPr>
          <w:rFonts w:ascii="Times New Roman" w:hAnsi="Times New Roman"/>
          <w:i/>
          <w:color w:val="000000"/>
          <w:szCs w:val="24"/>
        </w:rPr>
        <w:t>Type</w:t>
      </w:r>
      <w:proofErr w:type="spellEnd"/>
      <w:r w:rsidRPr="00B94D39">
        <w:rPr>
          <w:rFonts w:ascii="Times New Roman" w:hAnsi="Times New Roman"/>
          <w:i/>
          <w:color w:val="000000"/>
          <w:szCs w:val="24"/>
        </w:rPr>
        <w:t xml:space="preserve">, Jet A-1, NATO </w:t>
      </w:r>
      <w:proofErr w:type="spellStart"/>
      <w:r w:rsidRPr="00B94D39">
        <w:rPr>
          <w:rFonts w:ascii="Times New Roman" w:hAnsi="Times New Roman"/>
          <w:i/>
          <w:color w:val="000000"/>
          <w:szCs w:val="24"/>
        </w:rPr>
        <w:t>code</w:t>
      </w:r>
      <w:proofErr w:type="spellEnd"/>
      <w:r w:rsidRPr="00B94D39">
        <w:rPr>
          <w:rFonts w:ascii="Times New Roman" w:hAnsi="Times New Roman"/>
          <w:i/>
          <w:color w:val="000000"/>
          <w:szCs w:val="24"/>
        </w:rPr>
        <w:t xml:space="preserve"> F-35, Joint Service AVTUR</w:t>
      </w:r>
      <w:r>
        <w:rPr>
          <w:rFonts w:ascii="Times New Roman" w:hAnsi="Times New Roman"/>
          <w:color w:val="000000"/>
          <w:szCs w:val="24"/>
        </w:rPr>
        <w:t>",</w:t>
      </w:r>
      <w:r w:rsidRPr="00231F10">
        <w:rPr>
          <w:rFonts w:ascii="Times New Roman" w:hAnsi="Times New Roman"/>
          <w:color w:val="000000"/>
          <w:szCs w:val="24"/>
        </w:rPr>
        <w:t xml:space="preserve"> do Ministério da Defesa da Grã-Bretanha, usada na maior parte do mundo;</w:t>
      </w:r>
    </w:p>
    <w:p w:rsidR="00ED2960" w:rsidRDefault="00ED2960" w:rsidP="009A7BE7">
      <w:pPr>
        <w:spacing w:before="240"/>
        <w:ind w:left="568" w:hanging="28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b)</w:t>
      </w:r>
      <w:r>
        <w:rPr>
          <w:rFonts w:ascii="Times New Roman" w:hAnsi="Times New Roman"/>
          <w:color w:val="000000"/>
          <w:szCs w:val="24"/>
        </w:rPr>
        <w:tab/>
        <w:t>A</w:t>
      </w:r>
      <w:r w:rsidRPr="00231F10">
        <w:rPr>
          <w:rFonts w:ascii="Times New Roman" w:hAnsi="Times New Roman"/>
          <w:color w:val="000000"/>
          <w:szCs w:val="24"/>
        </w:rPr>
        <w:t xml:space="preserve">STM D1655 – </w:t>
      </w:r>
      <w:r w:rsidRPr="001831B1">
        <w:rPr>
          <w:rFonts w:ascii="Times New Roman" w:hAnsi="Times New Roman"/>
          <w:color w:val="000000"/>
          <w:szCs w:val="24"/>
        </w:rPr>
        <w:t>"</w:t>
      </w:r>
      <w:r w:rsidRPr="00B94D39">
        <w:rPr>
          <w:rFonts w:ascii="Times New Roman" w:hAnsi="Times New Roman"/>
          <w:i/>
          <w:color w:val="000000"/>
          <w:szCs w:val="24"/>
        </w:rPr>
        <w:t xml:space="preserve">Standard </w:t>
      </w:r>
      <w:proofErr w:type="spellStart"/>
      <w:r w:rsidRPr="00B94D39">
        <w:rPr>
          <w:rFonts w:ascii="Times New Roman" w:hAnsi="Times New Roman"/>
          <w:i/>
          <w:color w:val="000000"/>
          <w:szCs w:val="24"/>
        </w:rPr>
        <w:t>Specification</w:t>
      </w:r>
      <w:proofErr w:type="spellEnd"/>
      <w:r w:rsidRPr="00B94D39">
        <w:rPr>
          <w:rFonts w:ascii="Times New Roman" w:hAnsi="Times New Roman"/>
          <w:i/>
          <w:color w:val="000000"/>
          <w:szCs w:val="24"/>
        </w:rPr>
        <w:t xml:space="preserve"> for </w:t>
      </w:r>
      <w:proofErr w:type="spellStart"/>
      <w:r w:rsidRPr="00B94D39">
        <w:rPr>
          <w:rFonts w:ascii="Times New Roman" w:hAnsi="Times New Roman"/>
          <w:i/>
          <w:color w:val="000000"/>
          <w:szCs w:val="24"/>
        </w:rPr>
        <w:t>Aviation</w:t>
      </w:r>
      <w:proofErr w:type="spellEnd"/>
      <w:r w:rsidRPr="00B94D39">
        <w:rPr>
          <w:rFonts w:ascii="Times New Roman" w:hAnsi="Times New Roman"/>
          <w:i/>
          <w:color w:val="000000"/>
          <w:szCs w:val="24"/>
        </w:rPr>
        <w:t xml:space="preserve"> Turbine </w:t>
      </w:r>
      <w:proofErr w:type="spellStart"/>
      <w:r w:rsidRPr="00B94D39">
        <w:rPr>
          <w:rFonts w:ascii="Times New Roman" w:hAnsi="Times New Roman"/>
          <w:i/>
          <w:color w:val="000000"/>
          <w:szCs w:val="24"/>
        </w:rPr>
        <w:t>Fuels</w:t>
      </w:r>
      <w:proofErr w:type="spellEnd"/>
      <w:r w:rsidRPr="001831B1">
        <w:rPr>
          <w:rFonts w:ascii="Times New Roman" w:hAnsi="Times New Roman"/>
          <w:color w:val="000000"/>
          <w:szCs w:val="24"/>
        </w:rPr>
        <w:t>"</w:t>
      </w:r>
      <w:r w:rsidRPr="00231F10">
        <w:rPr>
          <w:rFonts w:ascii="Times New Roman" w:hAnsi="Times New Roman"/>
          <w:color w:val="000000"/>
          <w:szCs w:val="24"/>
        </w:rPr>
        <w:t>, utilizada nos Estados Unidos e por outros países, inclusive países da América do Norte, Central e do Sul.</w:t>
      </w:r>
    </w:p>
    <w:p w:rsidR="008159F0" w:rsidRDefault="00ED2960" w:rsidP="008159F0">
      <w:pPr>
        <w:spacing w:before="240"/>
        <w:jc w:val="both"/>
        <w:rPr>
          <w:rFonts w:ascii="Times New Roman" w:hAnsi="Times New Roman"/>
          <w:color w:val="000000"/>
          <w:szCs w:val="24"/>
        </w:rPr>
      </w:pPr>
      <w:r w:rsidRPr="00231F10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 w:rsidRPr="00DF2FF7">
        <w:rPr>
          <w:rFonts w:ascii="Times New Roman" w:hAnsi="Times New Roman"/>
          <w:color w:val="000000"/>
          <w:szCs w:val="24"/>
        </w:rPr>
        <w:t xml:space="preserve">A especificação brasileira, estabelecida pela ANP, incorpora requisitos das especificações ASTM D1655 e DEF STAN 91-91, </w:t>
      </w:r>
      <w:r w:rsidR="002000F5">
        <w:rPr>
          <w:rFonts w:ascii="Times New Roman" w:hAnsi="Times New Roman"/>
          <w:color w:val="000000"/>
          <w:szCs w:val="24"/>
        </w:rPr>
        <w:t>de acordo com</w:t>
      </w:r>
      <w:r w:rsidRPr="00DF2FF7">
        <w:rPr>
          <w:rFonts w:ascii="Times New Roman" w:hAnsi="Times New Roman"/>
          <w:color w:val="000000"/>
          <w:szCs w:val="24"/>
        </w:rPr>
        <w:t xml:space="preserve"> a realidade </w:t>
      </w:r>
      <w:r>
        <w:rPr>
          <w:rFonts w:ascii="Times New Roman" w:hAnsi="Times New Roman"/>
          <w:color w:val="000000"/>
          <w:szCs w:val="24"/>
        </w:rPr>
        <w:t>do país</w:t>
      </w:r>
      <w:r w:rsidRPr="00DF2FF7">
        <w:rPr>
          <w:rFonts w:ascii="Times New Roman" w:hAnsi="Times New Roman"/>
          <w:color w:val="000000"/>
          <w:szCs w:val="24"/>
        </w:rPr>
        <w:t xml:space="preserve"> para os parâmetros em que há algum tipo de divergência entre os regulamentos. C</w:t>
      </w:r>
      <w:r>
        <w:rPr>
          <w:rFonts w:ascii="Times New Roman" w:hAnsi="Times New Roman"/>
          <w:color w:val="000000"/>
          <w:szCs w:val="24"/>
        </w:rPr>
        <w:t xml:space="preserve">onsiderando recentes revisões da ASTM D1655 e DEF STAN 91-91, torna-se </w:t>
      </w:r>
      <w:r w:rsidR="00435F91">
        <w:rPr>
          <w:rFonts w:ascii="Times New Roman" w:hAnsi="Times New Roman"/>
          <w:color w:val="000000"/>
          <w:szCs w:val="24"/>
        </w:rPr>
        <w:t xml:space="preserve">também </w:t>
      </w:r>
      <w:r>
        <w:rPr>
          <w:rFonts w:ascii="Times New Roman" w:hAnsi="Times New Roman"/>
          <w:color w:val="000000"/>
          <w:szCs w:val="24"/>
        </w:rPr>
        <w:t xml:space="preserve">necessário atualizar a Resolução ANP nº 37/2009, alinhando a especificação brasileira àquela praticada internacionalmente. Ademais, há a necessidade </w:t>
      </w:r>
      <w:r w:rsidRPr="00BF209A">
        <w:rPr>
          <w:rFonts w:ascii="Times New Roman" w:hAnsi="Times New Roman"/>
          <w:color w:val="000000"/>
          <w:szCs w:val="24"/>
        </w:rPr>
        <w:t>de tornar mais claras as regras de controle de qualidade e rastreamento do QAV-1 às amostras</w:t>
      </w:r>
      <w:r>
        <w:rPr>
          <w:rFonts w:ascii="Times New Roman" w:hAnsi="Times New Roman"/>
          <w:color w:val="000000"/>
          <w:szCs w:val="24"/>
        </w:rPr>
        <w:t>-</w:t>
      </w:r>
      <w:r w:rsidRPr="00BF209A">
        <w:rPr>
          <w:rFonts w:ascii="Times New Roman" w:hAnsi="Times New Roman"/>
          <w:color w:val="000000"/>
          <w:szCs w:val="24"/>
        </w:rPr>
        <w:t xml:space="preserve">testemunha, documentos da qualidade e notas fiscais.  </w:t>
      </w:r>
    </w:p>
    <w:p w:rsidR="00702D0D" w:rsidRDefault="00702D0D" w:rsidP="008159F0">
      <w:pPr>
        <w:spacing w:before="24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ab/>
      </w:r>
      <w:r w:rsidR="002000F5">
        <w:rPr>
          <w:rFonts w:ascii="Times New Roman" w:hAnsi="Times New Roman"/>
          <w:szCs w:val="24"/>
        </w:rPr>
        <w:t>Dessa forma, o</w:t>
      </w:r>
      <w:r>
        <w:rPr>
          <w:rFonts w:ascii="Times New Roman" w:hAnsi="Times New Roman"/>
          <w:szCs w:val="24"/>
        </w:rPr>
        <w:t xml:space="preserve"> novo regulamento proposto visa </w:t>
      </w:r>
      <w:r w:rsidR="002000F5">
        <w:rPr>
          <w:rFonts w:ascii="Times New Roman" w:hAnsi="Times New Roman"/>
          <w:szCs w:val="24"/>
        </w:rPr>
        <w:t>apresentar</w:t>
      </w:r>
      <w:r>
        <w:rPr>
          <w:rFonts w:ascii="Times New Roman" w:hAnsi="Times New Roman"/>
          <w:szCs w:val="24"/>
        </w:rPr>
        <w:t xml:space="preserve">, em uma única Resolução, as regras de controle da qualidade e especificações do QAV-1, </w:t>
      </w:r>
      <w:r w:rsidR="00B96815">
        <w:rPr>
          <w:rFonts w:ascii="Times New Roman" w:hAnsi="Times New Roman"/>
          <w:szCs w:val="24"/>
        </w:rPr>
        <w:t>QAV</w:t>
      </w:r>
      <w:r>
        <w:rPr>
          <w:rFonts w:ascii="Times New Roman" w:hAnsi="Times New Roman"/>
          <w:szCs w:val="24"/>
        </w:rPr>
        <w:t xml:space="preserve"> alternativos e suas misturas (QAV-B), aprimorando a</w:t>
      </w:r>
      <w:r w:rsidRPr="00FE524F">
        <w:rPr>
          <w:rFonts w:ascii="Times New Roman" w:hAnsi="Times New Roman"/>
          <w:szCs w:val="24"/>
        </w:rPr>
        <w:t xml:space="preserve"> qualidade</w:t>
      </w:r>
      <w:r>
        <w:rPr>
          <w:rFonts w:ascii="Times New Roman" w:hAnsi="Times New Roman"/>
          <w:szCs w:val="24"/>
        </w:rPr>
        <w:t xml:space="preserve"> destes combustíveis e alinhando tais especificações </w:t>
      </w:r>
      <w:r w:rsidRPr="00FE524F">
        <w:rPr>
          <w:rFonts w:ascii="Times New Roman" w:hAnsi="Times New Roman"/>
          <w:szCs w:val="24"/>
        </w:rPr>
        <w:t>às internacionais</w:t>
      </w:r>
      <w:r>
        <w:rPr>
          <w:rFonts w:ascii="Times New Roman" w:hAnsi="Times New Roman"/>
          <w:szCs w:val="24"/>
        </w:rPr>
        <w:t xml:space="preserve">. A harmonização das especificações dos combustíveis de aviação é uma tendência mundial, </w:t>
      </w:r>
      <w:r w:rsidR="002000F5">
        <w:rPr>
          <w:rFonts w:ascii="Times New Roman" w:hAnsi="Times New Roman"/>
          <w:szCs w:val="24"/>
        </w:rPr>
        <w:t>já que uma</w:t>
      </w:r>
      <w:r>
        <w:rPr>
          <w:rFonts w:ascii="Times New Roman" w:hAnsi="Times New Roman"/>
          <w:szCs w:val="24"/>
        </w:rPr>
        <w:t xml:space="preserve"> </w:t>
      </w:r>
      <w:r w:rsidRPr="00FA0E45">
        <w:rPr>
          <w:rFonts w:ascii="Times New Roman" w:hAnsi="Times New Roman"/>
          <w:szCs w:val="24"/>
        </w:rPr>
        <w:t>aeronave abastecida no Brasil pode ser abastecida em qualquer região do mundo, o que traz a necessidade de disponibilidade do combustível com um padrão mínimo de qualidade em qualquer localidade.</w:t>
      </w:r>
    </w:p>
    <w:p w:rsidR="00702D0D" w:rsidRDefault="00702D0D" w:rsidP="008159F0">
      <w:pPr>
        <w:spacing w:before="24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ab/>
      </w:r>
      <w:r w:rsidR="002000F5">
        <w:rPr>
          <w:rFonts w:ascii="Times New Roman" w:hAnsi="Times New Roman"/>
          <w:szCs w:val="24"/>
        </w:rPr>
        <w:t>Ademais, a</w:t>
      </w:r>
      <w:r>
        <w:rPr>
          <w:rFonts w:ascii="Times New Roman" w:hAnsi="Times New Roman"/>
          <w:szCs w:val="24"/>
        </w:rPr>
        <w:t xml:space="preserve"> inclusão de novos querosenes de aviação alternativos no regulamento brasileiro, como os biocombustíveis de aviação, vai de encontro a</w:t>
      </w:r>
      <w:r w:rsidRPr="00FE524F">
        <w:rPr>
          <w:rFonts w:ascii="Times New Roman" w:hAnsi="Times New Roman"/>
          <w:szCs w:val="24"/>
        </w:rPr>
        <w:t xml:space="preserve">o movimento mundial de </w:t>
      </w:r>
      <w:r>
        <w:rPr>
          <w:rFonts w:ascii="Times New Roman" w:hAnsi="Times New Roman"/>
          <w:szCs w:val="24"/>
        </w:rPr>
        <w:t xml:space="preserve">redução das </w:t>
      </w:r>
      <w:r w:rsidRPr="00FE524F">
        <w:rPr>
          <w:rFonts w:ascii="Times New Roman" w:hAnsi="Times New Roman"/>
          <w:szCs w:val="24"/>
        </w:rPr>
        <w:t>emissões</w:t>
      </w:r>
      <w:r>
        <w:rPr>
          <w:rFonts w:ascii="Times New Roman" w:hAnsi="Times New Roman"/>
          <w:szCs w:val="24"/>
        </w:rPr>
        <w:t xml:space="preserve"> de gases de efeito estufa (GEE) no </w:t>
      </w:r>
      <w:r w:rsidRPr="00314903">
        <w:rPr>
          <w:rFonts w:ascii="Times New Roman" w:hAnsi="Times New Roman"/>
          <w:szCs w:val="24"/>
        </w:rPr>
        <w:t>transporte aéreo</w:t>
      </w:r>
      <w:r>
        <w:rPr>
          <w:rFonts w:ascii="Times New Roman" w:hAnsi="Times New Roman"/>
          <w:szCs w:val="24"/>
        </w:rPr>
        <w:t>, que</w:t>
      </w:r>
      <w:r w:rsidRPr="003149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hoje </w:t>
      </w:r>
      <w:r w:rsidRPr="00314903">
        <w:rPr>
          <w:rFonts w:ascii="Times New Roman" w:hAnsi="Times New Roman"/>
          <w:szCs w:val="24"/>
        </w:rPr>
        <w:t>é responsável por aproximadamente 2% das emissões globais</w:t>
      </w:r>
      <w:r>
        <w:rPr>
          <w:rFonts w:ascii="Times New Roman" w:hAnsi="Times New Roman"/>
          <w:szCs w:val="24"/>
        </w:rPr>
        <w:t xml:space="preserve">. </w:t>
      </w:r>
      <w:r w:rsidRPr="00314903">
        <w:rPr>
          <w:rFonts w:ascii="Times New Roman" w:hAnsi="Times New Roman"/>
          <w:szCs w:val="24"/>
        </w:rPr>
        <w:t>Para reduzir essa parcela, em 2009, a Organização Internacional de Aviação Civil (ICAO) estabeleceu a meta de limitar as emissões líquidas por meio do crescimento neutro de carbono a partir de 2020 e reduzir as emissões pela metade a</w:t>
      </w:r>
      <w:r>
        <w:rPr>
          <w:rFonts w:ascii="Times New Roman" w:hAnsi="Times New Roman"/>
          <w:szCs w:val="24"/>
        </w:rPr>
        <w:t>té 2050, em comparação com 2005</w:t>
      </w:r>
      <w:r w:rsidRPr="00314903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No mesmo sentido</w:t>
      </w:r>
      <w:r w:rsidRPr="00314903">
        <w:rPr>
          <w:rFonts w:ascii="Times New Roman" w:hAnsi="Times New Roman"/>
          <w:szCs w:val="24"/>
        </w:rPr>
        <w:t xml:space="preserve">, a ICAO, com a participação de quase 200 </w:t>
      </w:r>
      <w:r>
        <w:rPr>
          <w:rFonts w:ascii="Times New Roman" w:hAnsi="Times New Roman"/>
          <w:szCs w:val="24"/>
        </w:rPr>
        <w:t>país</w:t>
      </w:r>
      <w:r w:rsidRPr="00314903">
        <w:rPr>
          <w:rFonts w:ascii="Times New Roman" w:hAnsi="Times New Roman"/>
          <w:szCs w:val="24"/>
        </w:rPr>
        <w:t>es, aprovou o Plano de Compensação e Redução de Carbono para a Aviação Internacional</w:t>
      </w:r>
      <w:r>
        <w:rPr>
          <w:rFonts w:ascii="Times New Roman" w:hAnsi="Times New Roman"/>
          <w:szCs w:val="24"/>
        </w:rPr>
        <w:t xml:space="preserve">, em inglês </w:t>
      </w:r>
      <w:proofErr w:type="spellStart"/>
      <w:r w:rsidRPr="00B222DA">
        <w:rPr>
          <w:rFonts w:ascii="Times New Roman" w:hAnsi="Times New Roman"/>
          <w:i/>
          <w:szCs w:val="24"/>
        </w:rPr>
        <w:t>the</w:t>
      </w:r>
      <w:proofErr w:type="spellEnd"/>
      <w:r w:rsidRPr="00B222DA">
        <w:rPr>
          <w:rFonts w:ascii="Times New Roman" w:hAnsi="Times New Roman"/>
          <w:i/>
          <w:szCs w:val="24"/>
        </w:rPr>
        <w:t xml:space="preserve"> </w:t>
      </w:r>
      <w:proofErr w:type="spellStart"/>
      <w:r w:rsidRPr="00B222DA">
        <w:rPr>
          <w:rFonts w:ascii="Times New Roman" w:hAnsi="Times New Roman"/>
          <w:i/>
          <w:szCs w:val="24"/>
        </w:rPr>
        <w:t>Carbon</w:t>
      </w:r>
      <w:proofErr w:type="spellEnd"/>
      <w:r w:rsidRPr="00B222DA">
        <w:rPr>
          <w:rFonts w:ascii="Times New Roman" w:hAnsi="Times New Roman"/>
          <w:i/>
          <w:szCs w:val="24"/>
        </w:rPr>
        <w:t xml:space="preserve"> </w:t>
      </w:r>
      <w:proofErr w:type="spellStart"/>
      <w:r w:rsidRPr="00B222DA">
        <w:rPr>
          <w:rFonts w:ascii="Times New Roman" w:hAnsi="Times New Roman"/>
          <w:i/>
          <w:szCs w:val="24"/>
        </w:rPr>
        <w:t>Offsetting</w:t>
      </w:r>
      <w:proofErr w:type="spellEnd"/>
      <w:r w:rsidRPr="00B222DA">
        <w:rPr>
          <w:rFonts w:ascii="Times New Roman" w:hAnsi="Times New Roman"/>
          <w:i/>
          <w:szCs w:val="24"/>
        </w:rPr>
        <w:t xml:space="preserve"> </w:t>
      </w:r>
      <w:proofErr w:type="spellStart"/>
      <w:r w:rsidRPr="00B222DA">
        <w:rPr>
          <w:rFonts w:ascii="Times New Roman" w:hAnsi="Times New Roman"/>
          <w:i/>
          <w:szCs w:val="24"/>
        </w:rPr>
        <w:t>and</w:t>
      </w:r>
      <w:proofErr w:type="spellEnd"/>
      <w:r w:rsidRPr="00B222DA">
        <w:rPr>
          <w:rFonts w:ascii="Times New Roman" w:hAnsi="Times New Roman"/>
          <w:i/>
          <w:szCs w:val="24"/>
        </w:rPr>
        <w:t xml:space="preserve"> </w:t>
      </w:r>
      <w:proofErr w:type="spellStart"/>
      <w:r w:rsidRPr="00B222DA">
        <w:rPr>
          <w:rFonts w:ascii="Times New Roman" w:hAnsi="Times New Roman"/>
          <w:i/>
          <w:szCs w:val="24"/>
        </w:rPr>
        <w:t>Reduction</w:t>
      </w:r>
      <w:proofErr w:type="spellEnd"/>
      <w:r w:rsidRPr="00B222DA">
        <w:rPr>
          <w:rFonts w:ascii="Times New Roman" w:hAnsi="Times New Roman"/>
          <w:i/>
          <w:szCs w:val="24"/>
        </w:rPr>
        <w:t xml:space="preserve"> </w:t>
      </w:r>
      <w:proofErr w:type="spellStart"/>
      <w:r w:rsidRPr="00B222DA">
        <w:rPr>
          <w:rFonts w:ascii="Times New Roman" w:hAnsi="Times New Roman"/>
          <w:i/>
          <w:szCs w:val="24"/>
        </w:rPr>
        <w:t>Scheme</w:t>
      </w:r>
      <w:proofErr w:type="spellEnd"/>
      <w:r w:rsidRPr="00B222DA">
        <w:rPr>
          <w:rFonts w:ascii="Times New Roman" w:hAnsi="Times New Roman"/>
          <w:i/>
          <w:szCs w:val="24"/>
        </w:rPr>
        <w:t xml:space="preserve"> for </w:t>
      </w:r>
      <w:proofErr w:type="spellStart"/>
      <w:r w:rsidRPr="00B222DA">
        <w:rPr>
          <w:rFonts w:ascii="Times New Roman" w:hAnsi="Times New Roman"/>
          <w:i/>
          <w:szCs w:val="24"/>
        </w:rPr>
        <w:t>International</w:t>
      </w:r>
      <w:proofErr w:type="spellEnd"/>
      <w:r w:rsidRPr="00B222DA">
        <w:rPr>
          <w:rFonts w:ascii="Times New Roman" w:hAnsi="Times New Roman"/>
          <w:i/>
          <w:szCs w:val="24"/>
        </w:rPr>
        <w:t xml:space="preserve"> </w:t>
      </w:r>
      <w:proofErr w:type="spellStart"/>
      <w:r w:rsidRPr="00B222DA">
        <w:rPr>
          <w:rFonts w:ascii="Times New Roman" w:hAnsi="Times New Roman"/>
          <w:i/>
          <w:szCs w:val="24"/>
        </w:rPr>
        <w:t>Aviation</w:t>
      </w:r>
      <w:proofErr w:type="spellEnd"/>
      <w:r>
        <w:rPr>
          <w:rFonts w:ascii="Times New Roman" w:hAnsi="Times New Roman"/>
          <w:szCs w:val="24"/>
        </w:rPr>
        <w:t xml:space="preserve"> (CORSIA), que p</w:t>
      </w:r>
      <w:r w:rsidRPr="00314903">
        <w:rPr>
          <w:rFonts w:ascii="Times New Roman" w:hAnsi="Times New Roman"/>
          <w:szCs w:val="24"/>
        </w:rPr>
        <w:t xml:space="preserve">revê a limitação e a compensação de qualquer aumento anual das emissões totais de carbono da aviação civil internacional acima dos níveis de 2020. </w:t>
      </w:r>
      <w:r>
        <w:rPr>
          <w:rFonts w:ascii="Times New Roman" w:hAnsi="Times New Roman"/>
          <w:szCs w:val="24"/>
        </w:rPr>
        <w:t>Nacionalmente, o</w:t>
      </w:r>
      <w:r w:rsidRPr="00314903">
        <w:rPr>
          <w:rFonts w:ascii="Times New Roman" w:hAnsi="Times New Roman"/>
          <w:szCs w:val="24"/>
        </w:rPr>
        <w:t>s compromissos de redução de emissões foram assumidos por meio da Contribuição Definida Nacionalmente (</w:t>
      </w:r>
      <w:r>
        <w:rPr>
          <w:rFonts w:ascii="Times New Roman" w:hAnsi="Times New Roman"/>
          <w:szCs w:val="24"/>
        </w:rPr>
        <w:t>NDC</w:t>
      </w:r>
      <w:r w:rsidRPr="00314903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,</w:t>
      </w:r>
      <w:r w:rsidRPr="00314903">
        <w:rPr>
          <w:rFonts w:ascii="Times New Roman" w:hAnsi="Times New Roman"/>
          <w:szCs w:val="24"/>
        </w:rPr>
        <w:t xml:space="preserve"> no âmbito do Acordo de Paris assinado na 21ª Conferência sobre Mudança do Clima (COP 21). O compromisso assumido pelo Brasil é </w:t>
      </w:r>
      <w:r>
        <w:rPr>
          <w:rFonts w:ascii="Times New Roman" w:hAnsi="Times New Roman"/>
          <w:szCs w:val="24"/>
        </w:rPr>
        <w:t xml:space="preserve">de </w:t>
      </w:r>
      <w:r w:rsidRPr="00314903">
        <w:rPr>
          <w:rFonts w:ascii="Times New Roman" w:hAnsi="Times New Roman"/>
          <w:szCs w:val="24"/>
        </w:rPr>
        <w:t>reduzir suas emissões em 37% até 2030 e 43% até 2030, com base nas emissões de 2005.</w:t>
      </w:r>
      <w:r w:rsidR="005B1358">
        <w:rPr>
          <w:rFonts w:ascii="Times New Roman" w:hAnsi="Times New Roman"/>
          <w:szCs w:val="24"/>
        </w:rPr>
        <w:t xml:space="preserve"> Além disso, a ANP está participando efetivamente da </w:t>
      </w:r>
      <w:r w:rsidR="005B1358" w:rsidRPr="00314903">
        <w:rPr>
          <w:rFonts w:ascii="Times New Roman" w:hAnsi="Times New Roman"/>
          <w:szCs w:val="24"/>
        </w:rPr>
        <w:t>Política Nacional de Biocombustíveis (</w:t>
      </w:r>
      <w:proofErr w:type="spellStart"/>
      <w:r w:rsidR="005B1358" w:rsidRPr="00314903">
        <w:rPr>
          <w:rFonts w:ascii="Times New Roman" w:hAnsi="Times New Roman"/>
          <w:szCs w:val="24"/>
        </w:rPr>
        <w:t>RenovaBio</w:t>
      </w:r>
      <w:proofErr w:type="spellEnd"/>
      <w:r w:rsidR="005B1358" w:rsidRPr="00314903">
        <w:rPr>
          <w:rFonts w:ascii="Times New Roman" w:hAnsi="Times New Roman"/>
          <w:szCs w:val="24"/>
        </w:rPr>
        <w:t>)</w:t>
      </w:r>
      <w:r w:rsidR="005B1358">
        <w:rPr>
          <w:rFonts w:ascii="Times New Roman" w:hAnsi="Times New Roman"/>
          <w:szCs w:val="24"/>
        </w:rPr>
        <w:t xml:space="preserve">, instaurada pela </w:t>
      </w:r>
      <w:r w:rsidR="005B1358" w:rsidRPr="00314903">
        <w:rPr>
          <w:rFonts w:ascii="Times New Roman" w:hAnsi="Times New Roman"/>
          <w:szCs w:val="24"/>
        </w:rPr>
        <w:t>Lei nº 13.576, de 26 de dezembro de 2017</w:t>
      </w:r>
      <w:r w:rsidR="005B1358">
        <w:rPr>
          <w:rFonts w:ascii="Times New Roman" w:hAnsi="Times New Roman"/>
          <w:szCs w:val="24"/>
        </w:rPr>
        <w:t>, que</w:t>
      </w:r>
      <w:r w:rsidR="00CE5792">
        <w:rPr>
          <w:rFonts w:ascii="Times New Roman" w:hAnsi="Times New Roman"/>
          <w:szCs w:val="24"/>
        </w:rPr>
        <w:t xml:space="preserve"> consiste em</w:t>
      </w:r>
      <w:r w:rsidR="005B1358" w:rsidRPr="00536EC0">
        <w:rPr>
          <w:rFonts w:ascii="Times New Roman" w:hAnsi="Times New Roman"/>
          <w:szCs w:val="24"/>
        </w:rPr>
        <w:t xml:space="preserve"> política </w:t>
      </w:r>
      <w:r w:rsidR="00CE5792">
        <w:rPr>
          <w:rFonts w:ascii="Times New Roman" w:hAnsi="Times New Roman"/>
          <w:szCs w:val="24"/>
        </w:rPr>
        <w:t>governamental</w:t>
      </w:r>
      <w:r w:rsidR="005B1358">
        <w:rPr>
          <w:rFonts w:ascii="Times New Roman" w:hAnsi="Times New Roman"/>
          <w:szCs w:val="24"/>
        </w:rPr>
        <w:t xml:space="preserve"> voltada </w:t>
      </w:r>
      <w:r w:rsidR="005B1358" w:rsidRPr="00536EC0">
        <w:rPr>
          <w:rFonts w:ascii="Times New Roman" w:hAnsi="Times New Roman"/>
          <w:szCs w:val="24"/>
        </w:rPr>
        <w:t>para </w:t>
      </w:r>
      <w:r w:rsidR="005B1358">
        <w:rPr>
          <w:rFonts w:ascii="Times New Roman" w:hAnsi="Times New Roman"/>
          <w:szCs w:val="24"/>
        </w:rPr>
        <w:t xml:space="preserve">expansão do uso </w:t>
      </w:r>
      <w:r w:rsidR="005B1358" w:rsidRPr="00F63346">
        <w:rPr>
          <w:rFonts w:ascii="Times New Roman" w:hAnsi="Times New Roman"/>
          <w:szCs w:val="24"/>
        </w:rPr>
        <w:t>de biocombustíveis na matriz energética brasileira</w:t>
      </w:r>
      <w:r w:rsidR="005B1358" w:rsidRPr="00536EC0">
        <w:rPr>
          <w:rFonts w:ascii="Times New Roman" w:hAnsi="Times New Roman"/>
          <w:szCs w:val="24"/>
        </w:rPr>
        <w:t>,</w:t>
      </w:r>
      <w:r w:rsidR="005B1358">
        <w:rPr>
          <w:rFonts w:ascii="Times New Roman" w:hAnsi="Times New Roman"/>
          <w:szCs w:val="24"/>
        </w:rPr>
        <w:t xml:space="preserve"> como o bioquerosene de aviação, com vistas para </w:t>
      </w:r>
      <w:r w:rsidR="005B1358" w:rsidRPr="00536EC0">
        <w:rPr>
          <w:rFonts w:ascii="Times New Roman" w:hAnsi="Times New Roman"/>
          <w:szCs w:val="24"/>
        </w:rPr>
        <w:t>segurança energética</w:t>
      </w:r>
      <w:r w:rsidR="005B1358">
        <w:rPr>
          <w:rFonts w:ascii="Times New Roman" w:hAnsi="Times New Roman"/>
          <w:szCs w:val="24"/>
        </w:rPr>
        <w:t xml:space="preserve">, </w:t>
      </w:r>
      <w:r w:rsidR="005B1358" w:rsidRPr="00536EC0">
        <w:rPr>
          <w:rFonts w:ascii="Times New Roman" w:hAnsi="Times New Roman"/>
          <w:szCs w:val="24"/>
        </w:rPr>
        <w:t xml:space="preserve">mitigação </w:t>
      </w:r>
      <w:r w:rsidR="005B1358">
        <w:rPr>
          <w:rFonts w:ascii="Times New Roman" w:hAnsi="Times New Roman"/>
          <w:szCs w:val="24"/>
        </w:rPr>
        <w:t xml:space="preserve">das </w:t>
      </w:r>
      <w:r w:rsidR="005B1358" w:rsidRPr="00536EC0">
        <w:rPr>
          <w:rFonts w:ascii="Times New Roman" w:hAnsi="Times New Roman"/>
          <w:szCs w:val="24"/>
        </w:rPr>
        <w:t xml:space="preserve">emissões de </w:t>
      </w:r>
      <w:r w:rsidR="005B1358">
        <w:rPr>
          <w:rFonts w:ascii="Times New Roman" w:hAnsi="Times New Roman"/>
          <w:szCs w:val="24"/>
        </w:rPr>
        <w:t>GEE e</w:t>
      </w:r>
      <w:r w:rsidR="005B1358" w:rsidRPr="00730988">
        <w:rPr>
          <w:rFonts w:ascii="Times New Roman" w:hAnsi="Times New Roman"/>
          <w:szCs w:val="24"/>
        </w:rPr>
        <w:t xml:space="preserve"> previsibilidade para a participação competitiva dos diversos biocombustíveis no mercado nacional de combustíveis</w:t>
      </w:r>
      <w:r w:rsidR="005B1358">
        <w:rPr>
          <w:rFonts w:ascii="Times New Roman" w:hAnsi="Times New Roman"/>
          <w:szCs w:val="24"/>
        </w:rPr>
        <w:t>.</w:t>
      </w:r>
    </w:p>
    <w:p w:rsidR="00ED2960" w:rsidRDefault="00ED2960" w:rsidP="008159F0">
      <w:pPr>
        <w:spacing w:before="24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  <w:t>As alterações propostas nos regulamentos serão apresentadas a seguir</w:t>
      </w:r>
      <w:r w:rsidR="004B3341">
        <w:rPr>
          <w:rFonts w:ascii="Times New Roman" w:hAnsi="Times New Roman"/>
          <w:color w:val="000000"/>
          <w:szCs w:val="24"/>
        </w:rPr>
        <w:t>.</w:t>
      </w:r>
    </w:p>
    <w:p w:rsidR="00ED2960" w:rsidRDefault="00ED2960" w:rsidP="008159F0">
      <w:pPr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</w:p>
    <w:p w:rsidR="00ED2960" w:rsidRPr="00DF2FF7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3. </w:t>
      </w:r>
      <w:r w:rsidRPr="00DF2FF7">
        <w:rPr>
          <w:rFonts w:ascii="Times New Roman" w:hAnsi="Times New Roman"/>
          <w:b/>
          <w:szCs w:val="24"/>
        </w:rPr>
        <w:t xml:space="preserve">UNIFICAÇÃO DAS RESOLUÇÕES ANP Nº 63/2014 E </w:t>
      </w:r>
      <w:r w:rsidR="00CE5792">
        <w:rPr>
          <w:rFonts w:ascii="Times New Roman" w:hAnsi="Times New Roman"/>
          <w:b/>
          <w:szCs w:val="24"/>
        </w:rPr>
        <w:t xml:space="preserve">Nº </w:t>
      </w:r>
      <w:r w:rsidRPr="00DF2FF7">
        <w:rPr>
          <w:rFonts w:ascii="Times New Roman" w:hAnsi="Times New Roman"/>
          <w:b/>
          <w:szCs w:val="24"/>
        </w:rPr>
        <w:t>37/2009</w:t>
      </w:r>
    </w:p>
    <w:p w:rsidR="00055D9B" w:rsidRDefault="00ED2960" w:rsidP="008159F0">
      <w:pPr>
        <w:spacing w:before="24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 w:rsidR="00055D9B">
        <w:rPr>
          <w:rFonts w:ascii="Times New Roman" w:hAnsi="Times New Roman"/>
          <w:color w:val="000000"/>
          <w:szCs w:val="24"/>
        </w:rPr>
        <w:t>As duas resoluções supracitadas foram unificadas em uma única minuta com o intuito de facilitar o entendimento dos regulamentos. Ambas as resoluções trazem definições e algumas regras de controle da qualidade comuns. Ademais, a Resolução ANP nº 63/2014 correlaciona-se diretamente à Resolução ANP nº 37/2009, já que a mistura de querosene de aviação alternativo com o QAV-1 precisa atender à especificação do querosene de aviação de origem fóssil (QAV-1), além de requisitos adicionais.</w:t>
      </w:r>
    </w:p>
    <w:p w:rsidR="00ED2960" w:rsidRPr="006113A9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Pr="006113A9">
        <w:rPr>
          <w:rFonts w:ascii="Times New Roman" w:hAnsi="Times New Roman"/>
          <w:b/>
          <w:bCs/>
          <w:szCs w:val="24"/>
        </w:rPr>
        <w:t>.1. Disposições preliminares</w:t>
      </w:r>
    </w:p>
    <w:p w:rsidR="00ED2960" w:rsidRPr="00C01760" w:rsidRDefault="00ED2960" w:rsidP="008159F0">
      <w:pPr>
        <w:spacing w:before="24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 w:rsidRPr="00C01760">
        <w:rPr>
          <w:rFonts w:ascii="Times New Roman" w:hAnsi="Times New Roman"/>
          <w:color w:val="000000"/>
          <w:szCs w:val="24"/>
        </w:rPr>
        <w:t>Para simplificação da nomenclatura, sugere-se a alteração do termo Querosene de Aviação B-X (</w:t>
      </w:r>
      <w:r w:rsidR="00435F91">
        <w:rPr>
          <w:rFonts w:ascii="Times New Roman" w:hAnsi="Times New Roman"/>
          <w:color w:val="000000"/>
          <w:szCs w:val="24"/>
        </w:rPr>
        <w:t>QAV</w:t>
      </w:r>
      <w:r w:rsidR="002000F5">
        <w:rPr>
          <w:rFonts w:ascii="Times New Roman" w:hAnsi="Times New Roman"/>
          <w:color w:val="000000"/>
          <w:szCs w:val="24"/>
        </w:rPr>
        <w:t xml:space="preserve"> </w:t>
      </w:r>
      <w:r w:rsidR="00435F91">
        <w:rPr>
          <w:rFonts w:ascii="Times New Roman" w:hAnsi="Times New Roman"/>
          <w:color w:val="000000"/>
          <w:szCs w:val="24"/>
        </w:rPr>
        <w:t>B</w:t>
      </w:r>
      <w:r w:rsidRPr="00C01760">
        <w:rPr>
          <w:rFonts w:ascii="Times New Roman" w:hAnsi="Times New Roman"/>
          <w:color w:val="000000"/>
          <w:szCs w:val="24"/>
        </w:rPr>
        <w:t>-X) para Querosene de Aviação B (</w:t>
      </w:r>
      <w:r w:rsidR="00435F91">
        <w:rPr>
          <w:rFonts w:ascii="Times New Roman" w:hAnsi="Times New Roman"/>
          <w:color w:val="000000"/>
          <w:szCs w:val="24"/>
        </w:rPr>
        <w:t>QAV-B</w:t>
      </w:r>
      <w:r w:rsidRPr="00C01760">
        <w:rPr>
          <w:rFonts w:ascii="Times New Roman" w:hAnsi="Times New Roman"/>
          <w:color w:val="000000"/>
          <w:szCs w:val="24"/>
        </w:rPr>
        <w:t xml:space="preserve">), com a seguinte definição: combustível destinado exclusivamente ao consumo em turbinas de aeronaves, composto de um único tipo de </w:t>
      </w:r>
      <w:r>
        <w:rPr>
          <w:rFonts w:ascii="Times New Roman" w:hAnsi="Times New Roman"/>
          <w:color w:val="000000"/>
          <w:szCs w:val="24"/>
        </w:rPr>
        <w:t>q</w:t>
      </w:r>
      <w:r w:rsidRPr="00C01760">
        <w:rPr>
          <w:rFonts w:ascii="Times New Roman" w:hAnsi="Times New Roman"/>
          <w:color w:val="000000"/>
          <w:szCs w:val="24"/>
        </w:rPr>
        <w:t xml:space="preserve">uerosene de </w:t>
      </w:r>
      <w:r>
        <w:rPr>
          <w:rFonts w:ascii="Times New Roman" w:hAnsi="Times New Roman"/>
          <w:color w:val="000000"/>
          <w:szCs w:val="24"/>
        </w:rPr>
        <w:t>a</w:t>
      </w:r>
      <w:r w:rsidRPr="00C01760">
        <w:rPr>
          <w:rFonts w:ascii="Times New Roman" w:hAnsi="Times New Roman"/>
          <w:color w:val="000000"/>
          <w:szCs w:val="24"/>
        </w:rPr>
        <w:t xml:space="preserve">viação </w:t>
      </w:r>
      <w:r>
        <w:rPr>
          <w:rFonts w:ascii="Times New Roman" w:hAnsi="Times New Roman"/>
          <w:color w:val="000000"/>
          <w:szCs w:val="24"/>
        </w:rPr>
        <w:t>a</w:t>
      </w:r>
      <w:r w:rsidRPr="00C01760">
        <w:rPr>
          <w:rFonts w:ascii="Times New Roman" w:hAnsi="Times New Roman"/>
          <w:color w:val="000000"/>
          <w:szCs w:val="24"/>
        </w:rPr>
        <w:t>lternativo misturado ao QAV-1 nas proporções máximas definidas.</w:t>
      </w:r>
    </w:p>
    <w:p w:rsidR="00ED2960" w:rsidRDefault="00ED2960" w:rsidP="008159F0">
      <w:pPr>
        <w:spacing w:before="24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 w:rsidRPr="00C01760">
        <w:rPr>
          <w:rFonts w:ascii="Times New Roman" w:hAnsi="Times New Roman"/>
          <w:color w:val="000000"/>
          <w:szCs w:val="24"/>
        </w:rPr>
        <w:t>Sugere-se ainda a inclusão do querosene parafínico sintetizado com aromáticos (SPK/A) e querosene parafínico sintetizado por</w:t>
      </w:r>
      <w:r>
        <w:rPr>
          <w:rFonts w:ascii="Times New Roman" w:hAnsi="Times New Roman"/>
          <w:color w:val="000000"/>
          <w:szCs w:val="24"/>
        </w:rPr>
        <w:t xml:space="preserve"> álcool (SPK-ATJ) no escopo da r</w:t>
      </w:r>
      <w:r w:rsidRPr="00C01760">
        <w:rPr>
          <w:rFonts w:ascii="Times New Roman" w:hAnsi="Times New Roman"/>
          <w:color w:val="000000"/>
          <w:szCs w:val="24"/>
        </w:rPr>
        <w:t>esolução, considerando a aprovação recente desses novos combustíveis alternativos de aviação na ASTM. Propõe-se como percentuais máx</w:t>
      </w:r>
      <w:r>
        <w:rPr>
          <w:rFonts w:ascii="Times New Roman" w:hAnsi="Times New Roman"/>
          <w:color w:val="000000"/>
          <w:szCs w:val="24"/>
        </w:rPr>
        <w:t>imos permitidos para adição dess</w:t>
      </w:r>
      <w:r w:rsidRPr="00C01760">
        <w:rPr>
          <w:rFonts w:ascii="Times New Roman" w:hAnsi="Times New Roman"/>
          <w:color w:val="000000"/>
          <w:szCs w:val="24"/>
        </w:rPr>
        <w:t xml:space="preserve">es combustíveis ao </w:t>
      </w:r>
      <w:r>
        <w:rPr>
          <w:rFonts w:ascii="Times New Roman" w:hAnsi="Times New Roman"/>
          <w:color w:val="000000"/>
          <w:szCs w:val="24"/>
        </w:rPr>
        <w:t>QAV-1</w:t>
      </w:r>
      <w:r w:rsidRPr="00C01760">
        <w:rPr>
          <w:rFonts w:ascii="Times New Roman" w:hAnsi="Times New Roman"/>
          <w:color w:val="000000"/>
          <w:szCs w:val="24"/>
        </w:rPr>
        <w:t>: 50%</w:t>
      </w:r>
      <w:r>
        <w:rPr>
          <w:rFonts w:ascii="Times New Roman" w:hAnsi="Times New Roman"/>
          <w:color w:val="000000"/>
          <w:szCs w:val="24"/>
        </w:rPr>
        <w:t>,</w:t>
      </w:r>
      <w:r w:rsidRPr="00C01760">
        <w:rPr>
          <w:rFonts w:ascii="Times New Roman" w:hAnsi="Times New Roman"/>
          <w:color w:val="000000"/>
          <w:szCs w:val="24"/>
        </w:rPr>
        <w:t xml:space="preserve"> no caso do SPK/A</w:t>
      </w:r>
      <w:r>
        <w:rPr>
          <w:rFonts w:ascii="Times New Roman" w:hAnsi="Times New Roman"/>
          <w:color w:val="000000"/>
          <w:szCs w:val="24"/>
        </w:rPr>
        <w:t>,</w:t>
      </w:r>
      <w:r w:rsidRPr="00C01760">
        <w:rPr>
          <w:rFonts w:ascii="Times New Roman" w:hAnsi="Times New Roman"/>
          <w:color w:val="000000"/>
          <w:szCs w:val="24"/>
        </w:rPr>
        <w:t xml:space="preserve"> e 30%</w:t>
      </w:r>
      <w:r>
        <w:rPr>
          <w:rFonts w:ascii="Times New Roman" w:hAnsi="Times New Roman"/>
          <w:color w:val="000000"/>
          <w:szCs w:val="24"/>
        </w:rPr>
        <w:t>,</w:t>
      </w:r>
      <w:r w:rsidRPr="00C01760">
        <w:rPr>
          <w:rFonts w:ascii="Times New Roman" w:hAnsi="Times New Roman"/>
          <w:color w:val="000000"/>
          <w:szCs w:val="24"/>
        </w:rPr>
        <w:t xml:space="preserve"> no caso do SPK-ATJ</w:t>
      </w:r>
      <w:r>
        <w:rPr>
          <w:rFonts w:ascii="Times New Roman" w:hAnsi="Times New Roman"/>
          <w:color w:val="000000"/>
          <w:szCs w:val="24"/>
        </w:rPr>
        <w:t>, em alinhamento com os limites estabelecidos na ASTM D7566</w:t>
      </w:r>
      <w:r w:rsidRPr="00C01760">
        <w:rPr>
          <w:rFonts w:ascii="Times New Roman" w:hAnsi="Times New Roman"/>
          <w:color w:val="000000"/>
          <w:szCs w:val="24"/>
        </w:rPr>
        <w:t>.</w:t>
      </w:r>
    </w:p>
    <w:p w:rsidR="00ED2960" w:rsidRPr="00C01760" w:rsidRDefault="00ED2960" w:rsidP="008159F0">
      <w:pPr>
        <w:spacing w:before="24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 w:rsidRPr="00C01760">
        <w:rPr>
          <w:rFonts w:ascii="Times New Roman" w:hAnsi="Times New Roman"/>
          <w:color w:val="000000"/>
          <w:szCs w:val="24"/>
        </w:rPr>
        <w:t xml:space="preserve">De forma a salientar que o </w:t>
      </w:r>
      <w:r w:rsidR="00435F91">
        <w:rPr>
          <w:rFonts w:ascii="Times New Roman" w:hAnsi="Times New Roman"/>
          <w:color w:val="000000"/>
          <w:szCs w:val="24"/>
        </w:rPr>
        <w:t>QAV-B</w:t>
      </w:r>
      <w:r w:rsidRPr="00C01760">
        <w:rPr>
          <w:rFonts w:ascii="Times New Roman" w:hAnsi="Times New Roman"/>
          <w:color w:val="000000"/>
          <w:szCs w:val="24"/>
        </w:rPr>
        <w:t xml:space="preserve"> pode ser utilizado diretamente em turbinas de aeronaves ou misturado ao Querosene de Aviação (QAV-1), sugere-se</w:t>
      </w:r>
      <w:r>
        <w:rPr>
          <w:rFonts w:ascii="Times New Roman" w:hAnsi="Times New Roman"/>
          <w:color w:val="000000"/>
          <w:szCs w:val="24"/>
        </w:rPr>
        <w:t xml:space="preserve"> também</w:t>
      </w:r>
      <w:r w:rsidRPr="00C01760">
        <w:rPr>
          <w:rFonts w:ascii="Times New Roman" w:hAnsi="Times New Roman"/>
          <w:color w:val="000000"/>
          <w:szCs w:val="24"/>
        </w:rPr>
        <w:t xml:space="preserve"> a inclu</w:t>
      </w:r>
      <w:r>
        <w:rPr>
          <w:rFonts w:ascii="Times New Roman" w:hAnsi="Times New Roman"/>
          <w:color w:val="000000"/>
          <w:szCs w:val="24"/>
        </w:rPr>
        <w:t>são de dispositivo indicando ess</w:t>
      </w:r>
      <w:r w:rsidRPr="00C01760">
        <w:rPr>
          <w:rFonts w:ascii="Times New Roman" w:hAnsi="Times New Roman"/>
          <w:color w:val="000000"/>
          <w:szCs w:val="24"/>
        </w:rPr>
        <w:t xml:space="preserve">a possibilidade desde que tal mistura atenda </w:t>
      </w:r>
      <w:r>
        <w:rPr>
          <w:rFonts w:ascii="Times New Roman" w:hAnsi="Times New Roman"/>
          <w:color w:val="000000"/>
          <w:szCs w:val="24"/>
        </w:rPr>
        <w:t>aos requisitos de qualidade da r</w:t>
      </w:r>
      <w:r w:rsidRPr="00C01760">
        <w:rPr>
          <w:rFonts w:ascii="Times New Roman" w:hAnsi="Times New Roman"/>
          <w:color w:val="000000"/>
          <w:szCs w:val="24"/>
        </w:rPr>
        <w:t>esolução e seja formulada</w:t>
      </w:r>
      <w:r>
        <w:rPr>
          <w:rFonts w:ascii="Times New Roman" w:hAnsi="Times New Roman"/>
          <w:color w:val="000000"/>
          <w:szCs w:val="24"/>
        </w:rPr>
        <w:t xml:space="preserve"> a partir de um único tipo de q</w:t>
      </w:r>
      <w:r w:rsidRPr="00C01760">
        <w:rPr>
          <w:rFonts w:ascii="Times New Roman" w:hAnsi="Times New Roman"/>
          <w:color w:val="000000"/>
          <w:szCs w:val="24"/>
        </w:rPr>
        <w:t xml:space="preserve">uerosene de </w:t>
      </w:r>
      <w:r>
        <w:rPr>
          <w:rFonts w:ascii="Times New Roman" w:hAnsi="Times New Roman"/>
          <w:color w:val="000000"/>
          <w:szCs w:val="24"/>
        </w:rPr>
        <w:t>a</w:t>
      </w:r>
      <w:r w:rsidRPr="00C01760">
        <w:rPr>
          <w:rFonts w:ascii="Times New Roman" w:hAnsi="Times New Roman"/>
          <w:color w:val="000000"/>
          <w:szCs w:val="24"/>
        </w:rPr>
        <w:t xml:space="preserve">viação </w:t>
      </w:r>
      <w:r>
        <w:rPr>
          <w:rFonts w:ascii="Times New Roman" w:hAnsi="Times New Roman"/>
          <w:color w:val="000000"/>
          <w:szCs w:val="24"/>
        </w:rPr>
        <w:t>a</w:t>
      </w:r>
      <w:r w:rsidRPr="00C01760">
        <w:rPr>
          <w:rFonts w:ascii="Times New Roman" w:hAnsi="Times New Roman"/>
          <w:color w:val="000000"/>
          <w:szCs w:val="24"/>
        </w:rPr>
        <w:t xml:space="preserve">lternativo na proporção máxima permitida. </w:t>
      </w:r>
    </w:p>
    <w:p w:rsidR="00ED2960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</w:p>
    <w:p w:rsidR="00ED2960" w:rsidRPr="006113A9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Pr="006113A9">
        <w:rPr>
          <w:rFonts w:ascii="Times New Roman" w:hAnsi="Times New Roman"/>
          <w:b/>
          <w:bCs/>
          <w:szCs w:val="24"/>
        </w:rPr>
        <w:t>.2. Definições</w:t>
      </w:r>
    </w:p>
    <w:p w:rsidR="00055D9B" w:rsidRDefault="00055D9B" w:rsidP="008159F0">
      <w:pPr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01760">
        <w:rPr>
          <w:rFonts w:ascii="Times New Roman" w:hAnsi="Times New Roman"/>
          <w:szCs w:val="24"/>
        </w:rPr>
        <w:t>Na Resolução ANP nº 37/2009</w:t>
      </w:r>
      <w:r>
        <w:rPr>
          <w:rFonts w:ascii="Times New Roman" w:hAnsi="Times New Roman"/>
          <w:szCs w:val="24"/>
        </w:rPr>
        <w:t>,</w:t>
      </w:r>
      <w:r w:rsidRPr="00C01760">
        <w:rPr>
          <w:rFonts w:ascii="Times New Roman" w:hAnsi="Times New Roman"/>
          <w:szCs w:val="24"/>
        </w:rPr>
        <w:t xml:space="preserve"> não havia o termo "</w:t>
      </w:r>
      <w:r>
        <w:rPr>
          <w:rFonts w:ascii="Times New Roman" w:hAnsi="Times New Roman"/>
          <w:szCs w:val="24"/>
        </w:rPr>
        <w:t>b</w:t>
      </w:r>
      <w:r w:rsidRPr="00C01760">
        <w:rPr>
          <w:rFonts w:ascii="Times New Roman" w:hAnsi="Times New Roman"/>
          <w:szCs w:val="24"/>
        </w:rPr>
        <w:t xml:space="preserve">oletim de </w:t>
      </w:r>
      <w:r>
        <w:rPr>
          <w:rFonts w:ascii="Times New Roman" w:hAnsi="Times New Roman"/>
          <w:szCs w:val="24"/>
        </w:rPr>
        <w:t>a</w:t>
      </w:r>
      <w:r w:rsidRPr="00C01760">
        <w:rPr>
          <w:rFonts w:ascii="Times New Roman" w:hAnsi="Times New Roman"/>
          <w:szCs w:val="24"/>
        </w:rPr>
        <w:t xml:space="preserve">nálise", documento emitido pelo laboratório que efetivamente realizou o ensaio físico-químico. Assim, nas definições da minuta </w:t>
      </w:r>
      <w:r>
        <w:rPr>
          <w:rFonts w:ascii="Times New Roman" w:hAnsi="Times New Roman"/>
          <w:szCs w:val="24"/>
        </w:rPr>
        <w:t>ora proposta</w:t>
      </w:r>
      <w:r w:rsidRPr="00C01760">
        <w:rPr>
          <w:rFonts w:ascii="Times New Roman" w:hAnsi="Times New Roman"/>
          <w:szCs w:val="24"/>
        </w:rPr>
        <w:t>, o termo foi incluído para tod</w:t>
      </w:r>
      <w:r>
        <w:rPr>
          <w:rFonts w:ascii="Times New Roman" w:hAnsi="Times New Roman"/>
          <w:szCs w:val="24"/>
        </w:rPr>
        <w:t>os os combustíveis tratados na r</w:t>
      </w:r>
      <w:r w:rsidRPr="00C01760">
        <w:rPr>
          <w:rFonts w:ascii="Times New Roman" w:hAnsi="Times New Roman"/>
          <w:szCs w:val="24"/>
        </w:rPr>
        <w:t>esolução.</w:t>
      </w:r>
      <w:r w:rsidR="00ED2960">
        <w:rPr>
          <w:rFonts w:ascii="Times New Roman" w:hAnsi="Times New Roman"/>
          <w:szCs w:val="24"/>
        </w:rPr>
        <w:tab/>
      </w:r>
    </w:p>
    <w:p w:rsidR="00ED2960" w:rsidRDefault="00055D9B" w:rsidP="008159F0">
      <w:pPr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ED2960" w:rsidRPr="00C01760">
        <w:rPr>
          <w:rFonts w:ascii="Times New Roman" w:hAnsi="Times New Roman"/>
          <w:szCs w:val="24"/>
        </w:rPr>
        <w:t xml:space="preserve">É proposto ainda incluir a definição de cada querosene de aviação alternativo aprovado, destacando que o </w:t>
      </w:r>
      <w:r w:rsidR="00ED2960" w:rsidRPr="00C01760">
        <w:rPr>
          <w:rFonts w:ascii="Times New Roman" w:hAnsi="Times New Roman"/>
        </w:rPr>
        <w:t xml:space="preserve">SPK-ATJ é produzido a partir de </w:t>
      </w:r>
      <w:r w:rsidR="00ED2960" w:rsidRPr="00C01760">
        <w:rPr>
          <w:rFonts w:ascii="Times New Roman" w:hAnsi="Times New Roman"/>
          <w:szCs w:val="24"/>
        </w:rPr>
        <w:t>um</w:t>
      </w:r>
      <w:r w:rsidR="00ED2960">
        <w:rPr>
          <w:rFonts w:ascii="Times New Roman" w:hAnsi="Times New Roman"/>
          <w:szCs w:val="24"/>
        </w:rPr>
        <w:t xml:space="preserve"> único álcool, o</w:t>
      </w:r>
      <w:r w:rsidR="00ED2960">
        <w:rPr>
          <w:rFonts w:ascii="Times New Roman" w:hAnsi="Times New Roman"/>
        </w:rPr>
        <w:t xml:space="preserve"> isobutanol</w:t>
      </w:r>
      <w:r w:rsidR="00ED2960">
        <w:rPr>
          <w:rFonts w:ascii="Times New Roman" w:hAnsi="Times New Roman"/>
          <w:szCs w:val="24"/>
        </w:rPr>
        <w:t>. Ess</w:t>
      </w:r>
      <w:r w:rsidR="00ED2960" w:rsidRPr="00C01760">
        <w:rPr>
          <w:rFonts w:ascii="Times New Roman" w:hAnsi="Times New Roman"/>
          <w:szCs w:val="24"/>
        </w:rPr>
        <w:t>a é uma limitação atual trazida pela ASTM D7566.</w:t>
      </w:r>
    </w:p>
    <w:p w:rsidR="00ED2960" w:rsidRPr="00EE0F22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3.3</w:t>
      </w:r>
      <w:r w:rsidRPr="00EE0F22">
        <w:rPr>
          <w:rFonts w:ascii="Times New Roman" w:hAnsi="Times New Roman"/>
          <w:b/>
          <w:bCs/>
          <w:szCs w:val="24"/>
        </w:rPr>
        <w:t xml:space="preserve">. Obrigações </w:t>
      </w:r>
      <w:r>
        <w:rPr>
          <w:rFonts w:ascii="Times New Roman" w:hAnsi="Times New Roman"/>
          <w:b/>
          <w:bCs/>
          <w:szCs w:val="24"/>
        </w:rPr>
        <w:t>Gerais</w:t>
      </w:r>
    </w:p>
    <w:p w:rsidR="00ED2960" w:rsidRDefault="00ED2960" w:rsidP="008159F0">
      <w:pPr>
        <w:spacing w:before="24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ab/>
      </w:r>
      <w:r w:rsidRPr="00C01760">
        <w:rPr>
          <w:rFonts w:ascii="Times New Roman" w:hAnsi="Times New Roman"/>
          <w:szCs w:val="24"/>
        </w:rPr>
        <w:t xml:space="preserve">As </w:t>
      </w:r>
      <w:r w:rsidRPr="00055D9B">
        <w:rPr>
          <w:rFonts w:ascii="Times New Roman" w:hAnsi="Times New Roman"/>
          <w:color w:val="000000"/>
          <w:szCs w:val="24"/>
        </w:rPr>
        <w:t xml:space="preserve">Resoluções ANP n° 63/2014 e nº 37/2009 já trazem a seguinte sistemática de emissão de documentos da qualidade do querosene de aviação: </w:t>
      </w:r>
    </w:p>
    <w:p w:rsidR="00055D9B" w:rsidRPr="00055D9B" w:rsidRDefault="00055D9B" w:rsidP="00055D9B">
      <w:pPr>
        <w:spacing w:before="24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 w:rsidRPr="00055D9B">
        <w:rPr>
          <w:rFonts w:ascii="Times New Roman" w:hAnsi="Times New Roman"/>
          <w:color w:val="000000"/>
          <w:szCs w:val="24"/>
        </w:rPr>
        <w:t xml:space="preserve">1) o produtor de querosene de aviação (QAV-1) ou de querosene de aviação alternativo emite o certificado da qualidade do produto; </w:t>
      </w:r>
    </w:p>
    <w:p w:rsidR="00055D9B" w:rsidRPr="00055D9B" w:rsidRDefault="00055D9B" w:rsidP="00055D9B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 w:rsidRPr="00055D9B">
        <w:rPr>
          <w:rFonts w:ascii="Times New Roman" w:hAnsi="Times New Roman"/>
          <w:color w:val="000000"/>
          <w:szCs w:val="24"/>
        </w:rPr>
        <w:t xml:space="preserve">2) o distribuidor de combustíveis </w:t>
      </w:r>
      <w:r w:rsidR="0036174D">
        <w:rPr>
          <w:rFonts w:ascii="Times New Roman" w:hAnsi="Times New Roman"/>
          <w:color w:val="000000"/>
          <w:szCs w:val="24"/>
        </w:rPr>
        <w:t>de aviação emite o boletim de c</w:t>
      </w:r>
      <w:r w:rsidRPr="00055D9B">
        <w:rPr>
          <w:rFonts w:ascii="Times New Roman" w:hAnsi="Times New Roman"/>
          <w:color w:val="000000"/>
          <w:szCs w:val="24"/>
        </w:rPr>
        <w:t>onformidade, no caso de operação em sistemas não dedicados, ou o registro de análise da qualidade, no caso de operação em sistemas dedicados; e</w:t>
      </w:r>
    </w:p>
    <w:p w:rsidR="00055D9B" w:rsidRPr="00055D9B" w:rsidRDefault="00055D9B" w:rsidP="00CE5792">
      <w:pPr>
        <w:spacing w:after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 w:rsidRPr="00055D9B">
        <w:rPr>
          <w:rFonts w:ascii="Times New Roman" w:hAnsi="Times New Roman"/>
          <w:color w:val="000000"/>
          <w:szCs w:val="24"/>
        </w:rPr>
        <w:t>3) o revendedor de combustíveis de aviação emite o registro de análise da qualidade do QAV-1 ou QAV-B.</w:t>
      </w:r>
    </w:p>
    <w:p w:rsidR="00055D9B" w:rsidRDefault="00055D9B" w:rsidP="00CE5792">
      <w:pPr>
        <w:spacing w:after="120"/>
        <w:jc w:val="both"/>
        <w:rPr>
          <w:rFonts w:ascii="Times New Roman" w:hAnsi="Times New Roman"/>
          <w:szCs w:val="24"/>
        </w:rPr>
      </w:pPr>
      <w:r w:rsidRPr="00055D9B">
        <w:rPr>
          <w:rFonts w:ascii="Times New Roman" w:hAnsi="Times New Roman"/>
          <w:color w:val="000000"/>
          <w:szCs w:val="24"/>
        </w:rPr>
        <w:tab/>
        <w:t xml:space="preserve">Apesar de tal sistemática já estar presente nas Resoluções, sugere-se deixar claro que esses documentos devem ser únicos, no caso dos ensaios serem realizados por mais de um </w:t>
      </w:r>
      <w:proofErr w:type="gramStart"/>
      <w:r w:rsidRPr="00055D9B">
        <w:rPr>
          <w:rFonts w:ascii="Times New Roman" w:hAnsi="Times New Roman"/>
          <w:color w:val="000000"/>
          <w:szCs w:val="24"/>
        </w:rPr>
        <w:t>laboratório,  agrupando</w:t>
      </w:r>
      <w:proofErr w:type="gramEnd"/>
      <w:r w:rsidRPr="00055D9B">
        <w:rPr>
          <w:rFonts w:ascii="Times New Roman" w:hAnsi="Times New Roman"/>
          <w:color w:val="000000"/>
          <w:szCs w:val="24"/>
        </w:rPr>
        <w:t xml:space="preserve"> todos os resultados</w:t>
      </w:r>
      <w:r w:rsidRPr="00C01760">
        <w:rPr>
          <w:rFonts w:ascii="Times New Roman" w:hAnsi="Times New Roman"/>
          <w:szCs w:val="24"/>
        </w:rPr>
        <w:t xml:space="preserve"> constantes dos </w:t>
      </w:r>
      <w:r>
        <w:rPr>
          <w:rFonts w:ascii="Times New Roman" w:hAnsi="Times New Roman"/>
          <w:szCs w:val="24"/>
        </w:rPr>
        <w:t>b</w:t>
      </w:r>
      <w:r w:rsidRPr="00C01760">
        <w:rPr>
          <w:rFonts w:ascii="Times New Roman" w:hAnsi="Times New Roman"/>
          <w:szCs w:val="24"/>
        </w:rPr>
        <w:t xml:space="preserve">oletins de </w:t>
      </w:r>
      <w:r>
        <w:rPr>
          <w:rFonts w:ascii="Times New Roman" w:hAnsi="Times New Roman"/>
          <w:szCs w:val="24"/>
        </w:rPr>
        <w:t>a</w:t>
      </w:r>
      <w:r w:rsidRPr="00C01760">
        <w:rPr>
          <w:rFonts w:ascii="Times New Roman" w:hAnsi="Times New Roman"/>
          <w:szCs w:val="24"/>
        </w:rPr>
        <w:t>nálise</w:t>
      </w:r>
      <w:r>
        <w:rPr>
          <w:rFonts w:ascii="Times New Roman" w:hAnsi="Times New Roman"/>
          <w:szCs w:val="24"/>
        </w:rPr>
        <w:t>. Ess</w:t>
      </w:r>
      <w:r w:rsidRPr="00C01760">
        <w:rPr>
          <w:rFonts w:ascii="Times New Roman" w:hAnsi="Times New Roman"/>
          <w:szCs w:val="24"/>
        </w:rPr>
        <w:t>e esclarecimento é importante principalmente para o caso do QAV-1, em que o termo "</w:t>
      </w:r>
      <w:r>
        <w:rPr>
          <w:rFonts w:ascii="Times New Roman" w:hAnsi="Times New Roman"/>
          <w:szCs w:val="24"/>
        </w:rPr>
        <w:t>b</w:t>
      </w:r>
      <w:r w:rsidRPr="00C01760">
        <w:rPr>
          <w:rFonts w:ascii="Times New Roman" w:hAnsi="Times New Roman"/>
          <w:szCs w:val="24"/>
        </w:rPr>
        <w:t xml:space="preserve">oletim de </w:t>
      </w:r>
      <w:r>
        <w:rPr>
          <w:rFonts w:ascii="Times New Roman" w:hAnsi="Times New Roman"/>
          <w:szCs w:val="24"/>
        </w:rPr>
        <w:t>a</w:t>
      </w:r>
      <w:r w:rsidRPr="00C01760">
        <w:rPr>
          <w:rFonts w:ascii="Times New Roman" w:hAnsi="Times New Roman"/>
          <w:szCs w:val="24"/>
        </w:rPr>
        <w:t>nálise" não está presente na Resolução ANP nº 37/2009.</w:t>
      </w:r>
    </w:p>
    <w:p w:rsidR="00055D9B" w:rsidRDefault="00055D9B" w:rsidP="00055D9B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01760">
        <w:rPr>
          <w:rFonts w:ascii="Times New Roman" w:hAnsi="Times New Roman"/>
          <w:szCs w:val="24"/>
        </w:rPr>
        <w:t xml:space="preserve">Dessa forma, fica esclarecido que os </w:t>
      </w:r>
      <w:r>
        <w:rPr>
          <w:rFonts w:ascii="Times New Roman" w:hAnsi="Times New Roman"/>
          <w:szCs w:val="24"/>
        </w:rPr>
        <w:t>b</w:t>
      </w:r>
      <w:r w:rsidRPr="00C01760">
        <w:rPr>
          <w:rFonts w:ascii="Times New Roman" w:hAnsi="Times New Roman"/>
          <w:szCs w:val="24"/>
        </w:rPr>
        <w:t xml:space="preserve">oletins de </w:t>
      </w:r>
      <w:r>
        <w:rPr>
          <w:rFonts w:ascii="Times New Roman" w:hAnsi="Times New Roman"/>
          <w:szCs w:val="24"/>
        </w:rPr>
        <w:t>a</w:t>
      </w:r>
      <w:r w:rsidRPr="00C01760">
        <w:rPr>
          <w:rFonts w:ascii="Times New Roman" w:hAnsi="Times New Roman"/>
          <w:szCs w:val="24"/>
        </w:rPr>
        <w:t xml:space="preserve">nálises, utilizados pelos laboratórios que efetivamente realizaram cada ensaio, tanto para o QAV-1 quanto para suas misturas com o QAV alternativo, devem ser compilados em um único documento para compor o </w:t>
      </w:r>
      <w:r>
        <w:rPr>
          <w:rFonts w:ascii="Times New Roman" w:hAnsi="Times New Roman"/>
          <w:szCs w:val="24"/>
        </w:rPr>
        <w:t>c</w:t>
      </w:r>
      <w:r w:rsidRPr="00C01760">
        <w:rPr>
          <w:rFonts w:ascii="Times New Roman" w:hAnsi="Times New Roman"/>
          <w:szCs w:val="24"/>
        </w:rPr>
        <w:t xml:space="preserve">ertificado da </w:t>
      </w:r>
      <w:r>
        <w:rPr>
          <w:rFonts w:ascii="Times New Roman" w:hAnsi="Times New Roman"/>
          <w:szCs w:val="24"/>
        </w:rPr>
        <w:t>q</w:t>
      </w:r>
      <w:r w:rsidRPr="00C01760">
        <w:rPr>
          <w:rFonts w:ascii="Times New Roman" w:hAnsi="Times New Roman"/>
          <w:szCs w:val="24"/>
        </w:rPr>
        <w:t xml:space="preserve">ualidade, o </w:t>
      </w:r>
      <w:r>
        <w:rPr>
          <w:rFonts w:ascii="Times New Roman" w:hAnsi="Times New Roman"/>
          <w:szCs w:val="24"/>
        </w:rPr>
        <w:t>b</w:t>
      </w:r>
      <w:r w:rsidRPr="00C01760">
        <w:rPr>
          <w:rFonts w:ascii="Times New Roman" w:hAnsi="Times New Roman"/>
          <w:szCs w:val="24"/>
        </w:rPr>
        <w:t xml:space="preserve">oletim de </w:t>
      </w:r>
      <w:r>
        <w:rPr>
          <w:rFonts w:ascii="Times New Roman" w:hAnsi="Times New Roman"/>
          <w:szCs w:val="24"/>
        </w:rPr>
        <w:t>c</w:t>
      </w:r>
      <w:r w:rsidRPr="00C01760">
        <w:rPr>
          <w:rFonts w:ascii="Times New Roman" w:hAnsi="Times New Roman"/>
          <w:szCs w:val="24"/>
        </w:rPr>
        <w:t xml:space="preserve">onformidade ou o </w:t>
      </w:r>
      <w:r>
        <w:rPr>
          <w:rFonts w:ascii="Times New Roman" w:hAnsi="Times New Roman"/>
          <w:szCs w:val="24"/>
        </w:rPr>
        <w:t>r</w:t>
      </w:r>
      <w:r w:rsidRPr="00C01760">
        <w:rPr>
          <w:rFonts w:ascii="Times New Roman" w:hAnsi="Times New Roman"/>
          <w:szCs w:val="24"/>
        </w:rPr>
        <w:t xml:space="preserve">egistro de </w:t>
      </w:r>
      <w:r>
        <w:rPr>
          <w:rFonts w:ascii="Times New Roman" w:hAnsi="Times New Roman"/>
          <w:szCs w:val="24"/>
        </w:rPr>
        <w:t>a</w:t>
      </w:r>
      <w:r w:rsidRPr="00C01760">
        <w:rPr>
          <w:rFonts w:ascii="Times New Roman" w:hAnsi="Times New Roman"/>
          <w:szCs w:val="24"/>
        </w:rPr>
        <w:t xml:space="preserve">nálise dos </w:t>
      </w:r>
      <w:r>
        <w:rPr>
          <w:rFonts w:ascii="Times New Roman" w:hAnsi="Times New Roman"/>
          <w:szCs w:val="24"/>
        </w:rPr>
        <w:t>combustíveis de aviação</w:t>
      </w:r>
      <w:r w:rsidRPr="00C01760">
        <w:rPr>
          <w:rFonts w:ascii="Times New Roman" w:hAnsi="Times New Roman"/>
          <w:szCs w:val="24"/>
        </w:rPr>
        <w:t xml:space="preserve">. </w:t>
      </w:r>
    </w:p>
    <w:p w:rsidR="00055D9B" w:rsidRDefault="00055D9B" w:rsidP="00055D9B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01760">
        <w:rPr>
          <w:rFonts w:ascii="Times New Roman" w:hAnsi="Times New Roman"/>
          <w:szCs w:val="24"/>
        </w:rPr>
        <w:t xml:space="preserve">Além disso, destaca-se que tanto o </w:t>
      </w:r>
      <w:r>
        <w:rPr>
          <w:rFonts w:ascii="Times New Roman" w:hAnsi="Times New Roman"/>
          <w:szCs w:val="24"/>
        </w:rPr>
        <w:t>b</w:t>
      </w:r>
      <w:r w:rsidRPr="00C01760">
        <w:rPr>
          <w:rFonts w:ascii="Times New Roman" w:hAnsi="Times New Roman"/>
          <w:szCs w:val="24"/>
        </w:rPr>
        <w:t xml:space="preserve">oletim de </w:t>
      </w:r>
      <w:r>
        <w:rPr>
          <w:rFonts w:ascii="Times New Roman" w:hAnsi="Times New Roman"/>
          <w:szCs w:val="24"/>
        </w:rPr>
        <w:t>a</w:t>
      </w:r>
      <w:r w:rsidRPr="00C01760">
        <w:rPr>
          <w:rFonts w:ascii="Times New Roman" w:hAnsi="Times New Roman"/>
          <w:szCs w:val="24"/>
        </w:rPr>
        <w:t>nálise, quanto os outros documentos da qualidade devem ser firmados pelo profissional de química responsável pela emissão de cada documento, com indicação legível de seu nome e número de inscrição no Conselho Regional de Química.</w:t>
      </w:r>
    </w:p>
    <w:p w:rsidR="00055D9B" w:rsidRDefault="00055D9B" w:rsidP="00055D9B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01760">
        <w:rPr>
          <w:rFonts w:ascii="Times New Roman" w:hAnsi="Times New Roman"/>
          <w:szCs w:val="24"/>
        </w:rPr>
        <w:t xml:space="preserve">Propõe-se também a inclusão de dispositivo que permita rastreamento do </w:t>
      </w:r>
      <w:r>
        <w:rPr>
          <w:rFonts w:ascii="Times New Roman" w:hAnsi="Times New Roman"/>
          <w:szCs w:val="24"/>
        </w:rPr>
        <w:t>c</w:t>
      </w:r>
      <w:r w:rsidRPr="00C01760">
        <w:rPr>
          <w:rFonts w:ascii="Times New Roman" w:hAnsi="Times New Roman"/>
          <w:szCs w:val="24"/>
        </w:rPr>
        <w:t xml:space="preserve">ertificado da </w:t>
      </w:r>
      <w:r>
        <w:rPr>
          <w:rFonts w:ascii="Times New Roman" w:hAnsi="Times New Roman"/>
          <w:szCs w:val="24"/>
        </w:rPr>
        <w:t>q</w:t>
      </w:r>
      <w:r w:rsidRPr="00C01760">
        <w:rPr>
          <w:rFonts w:ascii="Times New Roman" w:hAnsi="Times New Roman"/>
          <w:szCs w:val="24"/>
        </w:rPr>
        <w:t xml:space="preserve">ualidade e </w:t>
      </w:r>
      <w:r>
        <w:rPr>
          <w:rFonts w:ascii="Times New Roman" w:hAnsi="Times New Roman"/>
          <w:szCs w:val="24"/>
        </w:rPr>
        <w:t>b</w:t>
      </w:r>
      <w:r w:rsidRPr="00C01760">
        <w:rPr>
          <w:rFonts w:ascii="Times New Roman" w:hAnsi="Times New Roman"/>
          <w:szCs w:val="24"/>
        </w:rPr>
        <w:t xml:space="preserve">oletim de </w:t>
      </w:r>
      <w:r>
        <w:rPr>
          <w:rFonts w:ascii="Times New Roman" w:hAnsi="Times New Roman"/>
          <w:szCs w:val="24"/>
        </w:rPr>
        <w:t>a</w:t>
      </w:r>
      <w:r w:rsidRPr="00C01760">
        <w:rPr>
          <w:rFonts w:ascii="Times New Roman" w:hAnsi="Times New Roman"/>
          <w:szCs w:val="24"/>
        </w:rPr>
        <w:t xml:space="preserve">nálise à nota fiscal. </w:t>
      </w:r>
      <w:r>
        <w:rPr>
          <w:rFonts w:ascii="Times New Roman" w:hAnsi="Times New Roman"/>
          <w:szCs w:val="24"/>
        </w:rPr>
        <w:t>Tal regra</w:t>
      </w:r>
      <w:r w:rsidRPr="00C01760">
        <w:rPr>
          <w:rFonts w:ascii="Times New Roman" w:hAnsi="Times New Roman"/>
          <w:szCs w:val="24"/>
        </w:rPr>
        <w:t xml:space="preserve"> está presente apenas na Resolução ANP </w:t>
      </w:r>
      <w:r>
        <w:rPr>
          <w:rFonts w:ascii="Times New Roman" w:hAnsi="Times New Roman"/>
          <w:szCs w:val="24"/>
        </w:rPr>
        <w:t xml:space="preserve">              </w:t>
      </w:r>
      <w:r w:rsidRPr="00C01760">
        <w:rPr>
          <w:rFonts w:ascii="Times New Roman" w:hAnsi="Times New Roman"/>
          <w:szCs w:val="24"/>
        </w:rPr>
        <w:t xml:space="preserve">nº 63/2014. O Documento Auxiliar da Nota Fiscal Eletrônica (DANFE) ou a documentação fiscal referente às operações de comercialização realizadas devem indicar o código e descrição do produto, estabelecidos pela ANP, conforme legislação vigente, além do número do </w:t>
      </w:r>
      <w:r>
        <w:rPr>
          <w:rFonts w:ascii="Times New Roman" w:hAnsi="Times New Roman"/>
          <w:szCs w:val="24"/>
        </w:rPr>
        <w:t>c</w:t>
      </w:r>
      <w:r w:rsidRPr="00C01760">
        <w:rPr>
          <w:rFonts w:ascii="Times New Roman" w:hAnsi="Times New Roman"/>
          <w:szCs w:val="24"/>
        </w:rPr>
        <w:t xml:space="preserve">ertificado da </w:t>
      </w:r>
      <w:r>
        <w:rPr>
          <w:rFonts w:ascii="Times New Roman" w:hAnsi="Times New Roman"/>
          <w:szCs w:val="24"/>
        </w:rPr>
        <w:t>q</w:t>
      </w:r>
      <w:r w:rsidRPr="00C01760">
        <w:rPr>
          <w:rFonts w:ascii="Times New Roman" w:hAnsi="Times New Roman"/>
          <w:szCs w:val="24"/>
        </w:rPr>
        <w:t xml:space="preserve">ualidade ou </w:t>
      </w:r>
      <w:r>
        <w:rPr>
          <w:rFonts w:ascii="Times New Roman" w:hAnsi="Times New Roman"/>
          <w:szCs w:val="24"/>
        </w:rPr>
        <w:t>b</w:t>
      </w:r>
      <w:r w:rsidRPr="00C01760">
        <w:rPr>
          <w:rFonts w:ascii="Times New Roman" w:hAnsi="Times New Roman"/>
          <w:szCs w:val="24"/>
        </w:rPr>
        <w:t xml:space="preserve">oletim de </w:t>
      </w:r>
      <w:r>
        <w:rPr>
          <w:rFonts w:ascii="Times New Roman" w:hAnsi="Times New Roman"/>
          <w:szCs w:val="24"/>
        </w:rPr>
        <w:t>c</w:t>
      </w:r>
      <w:r w:rsidRPr="00C01760">
        <w:rPr>
          <w:rFonts w:ascii="Times New Roman" w:hAnsi="Times New Roman"/>
          <w:szCs w:val="24"/>
        </w:rPr>
        <w:t xml:space="preserve">onformidade correspondente ao </w:t>
      </w:r>
      <w:r>
        <w:rPr>
          <w:rFonts w:ascii="Times New Roman" w:hAnsi="Times New Roman"/>
          <w:szCs w:val="24"/>
        </w:rPr>
        <w:t>combustível de aviação</w:t>
      </w:r>
      <w:r w:rsidRPr="00C01760">
        <w:rPr>
          <w:rFonts w:ascii="Times New Roman" w:hAnsi="Times New Roman"/>
          <w:szCs w:val="24"/>
        </w:rPr>
        <w:t>.</w:t>
      </w:r>
    </w:p>
    <w:p w:rsidR="00CE5792" w:rsidRDefault="00CE5792" w:rsidP="00055D9B">
      <w:pPr>
        <w:spacing w:after="120"/>
        <w:jc w:val="both"/>
        <w:rPr>
          <w:rFonts w:ascii="Times New Roman" w:hAnsi="Times New Roman"/>
          <w:szCs w:val="24"/>
        </w:rPr>
      </w:pPr>
    </w:p>
    <w:p w:rsidR="00CE5792" w:rsidRDefault="00CE5792" w:rsidP="00055D9B">
      <w:pPr>
        <w:spacing w:after="120"/>
        <w:jc w:val="both"/>
        <w:rPr>
          <w:rFonts w:ascii="Times New Roman" w:hAnsi="Times New Roman"/>
          <w:szCs w:val="24"/>
        </w:rPr>
      </w:pPr>
    </w:p>
    <w:p w:rsidR="00CE5792" w:rsidRDefault="00CE5792" w:rsidP="00055D9B">
      <w:pPr>
        <w:spacing w:after="120"/>
        <w:jc w:val="both"/>
        <w:rPr>
          <w:rFonts w:ascii="Times New Roman" w:hAnsi="Times New Roman"/>
          <w:szCs w:val="24"/>
        </w:rPr>
      </w:pPr>
    </w:p>
    <w:p w:rsidR="00CE5792" w:rsidRDefault="00CE5792" w:rsidP="00055D9B">
      <w:pPr>
        <w:spacing w:after="120"/>
        <w:jc w:val="both"/>
        <w:rPr>
          <w:rFonts w:ascii="Times New Roman" w:hAnsi="Times New Roman"/>
          <w:szCs w:val="24"/>
        </w:rPr>
      </w:pPr>
    </w:p>
    <w:p w:rsidR="00055D9B" w:rsidRPr="00C01760" w:rsidRDefault="00055D9B" w:rsidP="00055D9B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01760">
        <w:rPr>
          <w:rFonts w:ascii="Times New Roman" w:hAnsi="Times New Roman"/>
          <w:szCs w:val="24"/>
        </w:rPr>
        <w:t>Para permitir melhor rastreabilidade do documento da qualidade</w:t>
      </w:r>
      <w:r w:rsidRPr="00C01760">
        <w:rPr>
          <w:rFonts w:ascii="Times New Roman" w:hAnsi="Times New Roman"/>
          <w:szCs w:val="24"/>
          <w:vertAlign w:val="superscript"/>
        </w:rPr>
        <w:footnoteReference w:id="5"/>
      </w:r>
      <w:r w:rsidRPr="00C01760">
        <w:rPr>
          <w:rFonts w:ascii="Times New Roman" w:hAnsi="Times New Roman"/>
          <w:szCs w:val="24"/>
        </w:rPr>
        <w:t xml:space="preserve"> à amostra, sugere-se acrescentar itens obrigatórios em cada documento da qualidade, como o número dos lacres das amostras-testemunha, tanque de origem do produto, nome do laboratório que realizou as análises e número dos </w:t>
      </w:r>
      <w:r>
        <w:rPr>
          <w:rFonts w:ascii="Times New Roman" w:hAnsi="Times New Roman"/>
          <w:szCs w:val="24"/>
        </w:rPr>
        <w:t>b</w:t>
      </w:r>
      <w:r w:rsidRPr="00C01760">
        <w:rPr>
          <w:rFonts w:ascii="Times New Roman" w:hAnsi="Times New Roman"/>
          <w:szCs w:val="24"/>
        </w:rPr>
        <w:t xml:space="preserve">oletins de </w:t>
      </w:r>
      <w:r>
        <w:rPr>
          <w:rFonts w:ascii="Times New Roman" w:hAnsi="Times New Roman"/>
          <w:szCs w:val="24"/>
        </w:rPr>
        <w:t>a</w:t>
      </w:r>
      <w:r w:rsidRPr="00C01760">
        <w:rPr>
          <w:rFonts w:ascii="Times New Roman" w:hAnsi="Times New Roman"/>
          <w:szCs w:val="24"/>
        </w:rPr>
        <w:t>nálises, além do tipo e concentração de aditivos utilizados.</w:t>
      </w:r>
    </w:p>
    <w:p w:rsidR="00055D9B" w:rsidRPr="00C01760" w:rsidRDefault="00055D9B" w:rsidP="00055D9B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ab/>
        <w:t>Propõe-se inserir a análise de consistência dos resultados do boletim de conformidade e certificado da qualidade, previstas na ABNT NBR 15216</w:t>
      </w:r>
      <w:r>
        <w:rPr>
          <w:rStyle w:val="Refdenotaderodap"/>
          <w:rFonts w:ascii="Times New Roman" w:hAnsi="Times New Roman"/>
          <w:color w:val="000000"/>
          <w:szCs w:val="24"/>
        </w:rPr>
        <w:footnoteReference w:id="6"/>
      </w:r>
      <w:r>
        <w:rPr>
          <w:rFonts w:ascii="Times New Roman" w:hAnsi="Times New Roman"/>
          <w:color w:val="000000"/>
          <w:szCs w:val="24"/>
        </w:rPr>
        <w:t xml:space="preserve">, também para o QAV-1. Atualmente, esse dispositivo está presente apenas na Resolução ANP nº 63/2014. A análise de consistência, </w:t>
      </w:r>
      <w:r w:rsidRPr="00C01760">
        <w:rPr>
          <w:rFonts w:ascii="Times New Roman" w:hAnsi="Times New Roman"/>
          <w:szCs w:val="24"/>
        </w:rPr>
        <w:t xml:space="preserve">fundamentada em diferenças máximas admissíveis para produtos de uma mesma batelada, é importante requisito adicional de controle da qualidade dos combustíveis de aviação. </w:t>
      </w:r>
    </w:p>
    <w:p w:rsidR="00055D9B" w:rsidRPr="00F43AC3" w:rsidRDefault="00055D9B" w:rsidP="00055D9B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E5792">
        <w:rPr>
          <w:rFonts w:ascii="Times New Roman" w:hAnsi="Times New Roman"/>
          <w:szCs w:val="24"/>
        </w:rPr>
        <w:t>Ainda alinhando às r</w:t>
      </w:r>
      <w:r w:rsidRPr="00C01760">
        <w:rPr>
          <w:rFonts w:ascii="Times New Roman" w:hAnsi="Times New Roman"/>
          <w:szCs w:val="24"/>
        </w:rPr>
        <w:t xml:space="preserve">esoluções ANP à </w:t>
      </w:r>
      <w:r>
        <w:rPr>
          <w:rFonts w:ascii="Times New Roman" w:hAnsi="Times New Roman"/>
          <w:szCs w:val="24"/>
        </w:rPr>
        <w:t xml:space="preserve">norma </w:t>
      </w:r>
      <w:r w:rsidRPr="00C01760">
        <w:rPr>
          <w:rFonts w:ascii="Times New Roman" w:hAnsi="Times New Roman"/>
          <w:szCs w:val="24"/>
        </w:rPr>
        <w:t>ABNT NBR 152</w:t>
      </w:r>
      <w:r>
        <w:rPr>
          <w:rFonts w:ascii="Times New Roman" w:hAnsi="Times New Roman"/>
          <w:szCs w:val="24"/>
        </w:rPr>
        <w:t>1</w:t>
      </w:r>
      <w:r w:rsidRPr="00C01760">
        <w:rPr>
          <w:rFonts w:ascii="Times New Roman" w:hAnsi="Times New Roman"/>
          <w:szCs w:val="24"/>
        </w:rPr>
        <w:t>6, sugere-se alterar o volume das amostras-testemunha de 1</w:t>
      </w:r>
      <w:r>
        <w:rPr>
          <w:rFonts w:ascii="Times New Roman" w:hAnsi="Times New Roman"/>
          <w:szCs w:val="24"/>
        </w:rPr>
        <w:t xml:space="preserve"> litro</w:t>
      </w:r>
      <w:r w:rsidRPr="00C01760">
        <w:rPr>
          <w:rFonts w:ascii="Times New Roman" w:hAnsi="Times New Roman"/>
          <w:szCs w:val="24"/>
        </w:rPr>
        <w:t xml:space="preserve"> para</w:t>
      </w:r>
      <w:r>
        <w:rPr>
          <w:rFonts w:ascii="Times New Roman" w:hAnsi="Times New Roman"/>
          <w:szCs w:val="24"/>
        </w:rPr>
        <w:t>, pelo menos,</w:t>
      </w:r>
      <w:r w:rsidRPr="00C01760">
        <w:rPr>
          <w:rFonts w:ascii="Times New Roman" w:hAnsi="Times New Roman"/>
          <w:szCs w:val="24"/>
        </w:rPr>
        <w:t xml:space="preserve"> 2</w:t>
      </w:r>
      <w:r>
        <w:rPr>
          <w:rFonts w:ascii="Times New Roman" w:hAnsi="Times New Roman"/>
          <w:szCs w:val="24"/>
        </w:rPr>
        <w:t xml:space="preserve"> litros</w:t>
      </w:r>
      <w:r w:rsidRPr="00C01760">
        <w:rPr>
          <w:rFonts w:ascii="Times New Roman" w:hAnsi="Times New Roman"/>
          <w:szCs w:val="24"/>
        </w:rPr>
        <w:t>, em virtude do número e complexidade d</w:t>
      </w:r>
      <w:r>
        <w:rPr>
          <w:rFonts w:ascii="Times New Roman" w:hAnsi="Times New Roman"/>
          <w:szCs w:val="24"/>
        </w:rPr>
        <w:t>os ensaios envolvidos. Propõe-se, a mais disso, em consonância com a ASTM D4306, exigir a</w:t>
      </w:r>
      <w:r w:rsidRPr="00F43AC3">
        <w:rPr>
          <w:rFonts w:ascii="Times New Roman" w:hAnsi="Times New Roman"/>
          <w:szCs w:val="24"/>
        </w:rPr>
        <w:t xml:space="preserve"> utilização de frascos de vidro ou recipientes revestidos de epóxi</w:t>
      </w:r>
      <w:r w:rsidRPr="00C0176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como </w:t>
      </w:r>
      <w:r w:rsidRPr="00C01760">
        <w:rPr>
          <w:rFonts w:ascii="Times New Roman" w:hAnsi="Times New Roman"/>
          <w:szCs w:val="24"/>
        </w:rPr>
        <w:t>frascos para armazenamento das amostras-testemu</w:t>
      </w:r>
      <w:r>
        <w:rPr>
          <w:rFonts w:ascii="Times New Roman" w:hAnsi="Times New Roman"/>
          <w:szCs w:val="24"/>
        </w:rPr>
        <w:t>nha de combustíveis de aviação</w:t>
      </w:r>
      <w:r w:rsidRPr="00F43AC3">
        <w:rPr>
          <w:rFonts w:ascii="Times New Roman" w:hAnsi="Times New Roman"/>
          <w:szCs w:val="24"/>
        </w:rPr>
        <w:t>.</w:t>
      </w:r>
      <w:r w:rsidRPr="00C01760">
        <w:rPr>
          <w:rFonts w:ascii="Times New Roman" w:hAnsi="Times New Roman"/>
          <w:szCs w:val="24"/>
        </w:rPr>
        <w:t xml:space="preserve"> </w:t>
      </w:r>
      <w:r w:rsidRPr="00F43AC3">
        <w:rPr>
          <w:rFonts w:ascii="Times New Roman" w:hAnsi="Times New Roman"/>
          <w:szCs w:val="24"/>
        </w:rPr>
        <w:t xml:space="preserve">A ASTM D4306 </w:t>
      </w:r>
      <w:r>
        <w:rPr>
          <w:rFonts w:ascii="Times New Roman" w:hAnsi="Times New Roman"/>
          <w:szCs w:val="24"/>
        </w:rPr>
        <w:t>indica</w:t>
      </w:r>
      <w:r w:rsidRPr="00F43AC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 material do</w:t>
      </w:r>
      <w:r w:rsidRPr="00F43AC3">
        <w:rPr>
          <w:rFonts w:ascii="Times New Roman" w:hAnsi="Times New Roman"/>
          <w:szCs w:val="24"/>
        </w:rPr>
        <w:t xml:space="preserve"> frasco apenas para os ensaios de estabilidade térmica, MSEP, condutividade elétrica, lubricidade, metais, </w:t>
      </w:r>
      <w:proofErr w:type="spellStart"/>
      <w:r w:rsidRPr="00F43AC3">
        <w:rPr>
          <w:rFonts w:ascii="Times New Roman" w:hAnsi="Times New Roman"/>
          <w:szCs w:val="24"/>
        </w:rPr>
        <w:t>corrosividade</w:t>
      </w:r>
      <w:proofErr w:type="spellEnd"/>
      <w:r w:rsidRPr="00F43AC3">
        <w:rPr>
          <w:rFonts w:ascii="Times New Roman" w:hAnsi="Times New Roman"/>
          <w:szCs w:val="24"/>
        </w:rPr>
        <w:t xml:space="preserve"> ao cobre e partículas contaminantes. Com exceção do ensaio de metais,</w:t>
      </w:r>
      <w:r>
        <w:rPr>
          <w:rFonts w:ascii="Times New Roman" w:hAnsi="Times New Roman"/>
          <w:szCs w:val="24"/>
        </w:rPr>
        <w:t xml:space="preserve"> cuja recomendação é a utilização de g</w:t>
      </w:r>
      <w:r w:rsidRPr="00F43AC3">
        <w:rPr>
          <w:rFonts w:ascii="Times New Roman" w:hAnsi="Times New Roman"/>
          <w:szCs w:val="24"/>
        </w:rPr>
        <w:t>arrafas de teflon ou de polietileno linear de alta densidade</w:t>
      </w:r>
      <w:r>
        <w:rPr>
          <w:rFonts w:ascii="Times New Roman" w:hAnsi="Times New Roman"/>
          <w:szCs w:val="24"/>
        </w:rPr>
        <w:t>, a recomendação para todos os outros ensaios são os</w:t>
      </w:r>
      <w:r w:rsidRPr="00F43AC3">
        <w:rPr>
          <w:rFonts w:ascii="Times New Roman" w:hAnsi="Times New Roman"/>
          <w:szCs w:val="24"/>
        </w:rPr>
        <w:t xml:space="preserve"> recipientes revestidos com epóxi ou frascos de vidro</w:t>
      </w:r>
      <w:r>
        <w:rPr>
          <w:rFonts w:ascii="Times New Roman" w:hAnsi="Times New Roman"/>
          <w:szCs w:val="24"/>
        </w:rPr>
        <w:t xml:space="preserve">. Assim, considerando que esses recipientes atendem aos ensaios atualmente realizados no Centro de Pesquisas e Análises Tecnológicas (CPT) da ANP, o qual realizará as análises em eventuais necessidades, propõe-se estabelecer tais frascos para guarda de amostras-testemunha.  </w:t>
      </w:r>
    </w:p>
    <w:p w:rsidR="00ED2960" w:rsidRDefault="00055D9B" w:rsidP="00055D9B">
      <w:pPr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01760">
        <w:rPr>
          <w:rFonts w:ascii="Times New Roman" w:hAnsi="Times New Roman"/>
          <w:szCs w:val="24"/>
        </w:rPr>
        <w:t xml:space="preserve">Por fim, propõe-se indicar que as diretrizes da Resolução ANP nº 680, de 05 de junho de 2017, devem ser seguidas para fins de importação do QAV-1 e QAV alternativo no país, ressaltando em regulamento </w:t>
      </w:r>
      <w:r>
        <w:rPr>
          <w:rFonts w:ascii="Times New Roman" w:hAnsi="Times New Roman"/>
          <w:szCs w:val="24"/>
        </w:rPr>
        <w:t>da Agência</w:t>
      </w:r>
      <w:r w:rsidRPr="00C01760">
        <w:rPr>
          <w:rFonts w:ascii="Times New Roman" w:hAnsi="Times New Roman"/>
          <w:szCs w:val="24"/>
        </w:rPr>
        <w:t xml:space="preserve"> a vedação de importação de QAV</w:t>
      </w:r>
      <w:r>
        <w:rPr>
          <w:rFonts w:ascii="Times New Roman" w:hAnsi="Times New Roman"/>
          <w:szCs w:val="24"/>
        </w:rPr>
        <w:t>-</w:t>
      </w:r>
      <w:r w:rsidRPr="00C01760">
        <w:rPr>
          <w:rFonts w:ascii="Times New Roman" w:hAnsi="Times New Roman"/>
          <w:szCs w:val="24"/>
        </w:rPr>
        <w:t>B.</w:t>
      </w:r>
      <w:r w:rsidR="00ED2960" w:rsidRPr="00C01760">
        <w:rPr>
          <w:rFonts w:ascii="Times New Roman" w:hAnsi="Times New Roman"/>
          <w:szCs w:val="24"/>
        </w:rPr>
        <w:t xml:space="preserve"> </w:t>
      </w:r>
    </w:p>
    <w:p w:rsidR="008159F0" w:rsidRDefault="008159F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</w:p>
    <w:p w:rsidR="00ED2960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4. REGRAS DE CERTIFICAÇÃO DO QAV-1 NOS TANQUES DO TERMINAL</w:t>
      </w:r>
    </w:p>
    <w:p w:rsidR="00ED2960" w:rsidRDefault="00ED2960" w:rsidP="008159F0">
      <w:pPr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Em janeiro de 2018, a Petrobras solicitou à ANP inc</w:t>
      </w:r>
      <w:r w:rsidRPr="00E711E6">
        <w:rPr>
          <w:rFonts w:ascii="Times New Roman" w:hAnsi="Times New Roman"/>
          <w:szCs w:val="24"/>
        </w:rPr>
        <w:t xml:space="preserve">lusão do transportador nos procedimentos relativos ao controle da qualidade </w:t>
      </w:r>
      <w:r>
        <w:rPr>
          <w:rFonts w:ascii="Times New Roman" w:hAnsi="Times New Roman"/>
          <w:szCs w:val="24"/>
        </w:rPr>
        <w:t>do QAV-1</w:t>
      </w:r>
      <w:r w:rsidRPr="00E711E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O</w:t>
      </w:r>
      <w:r w:rsidRPr="00E711E6">
        <w:rPr>
          <w:rFonts w:ascii="Times New Roman" w:hAnsi="Times New Roman"/>
          <w:szCs w:val="24"/>
        </w:rPr>
        <w:t xml:space="preserve"> pleito da</w:t>
      </w:r>
      <w:r>
        <w:rPr>
          <w:rFonts w:ascii="Times New Roman" w:hAnsi="Times New Roman"/>
          <w:szCs w:val="24"/>
        </w:rPr>
        <w:t>quela empresa</w:t>
      </w:r>
      <w:r w:rsidRPr="00E711E6">
        <w:rPr>
          <w:rFonts w:ascii="Times New Roman" w:hAnsi="Times New Roman"/>
          <w:szCs w:val="24"/>
        </w:rPr>
        <w:t xml:space="preserve"> decorre dos problemas observados em campo, visto </w:t>
      </w:r>
      <w:r>
        <w:rPr>
          <w:rFonts w:ascii="Times New Roman" w:hAnsi="Times New Roman"/>
          <w:szCs w:val="24"/>
        </w:rPr>
        <w:t xml:space="preserve">que </w:t>
      </w:r>
      <w:r w:rsidRPr="00E711E6">
        <w:rPr>
          <w:rFonts w:ascii="Times New Roman" w:hAnsi="Times New Roman"/>
          <w:szCs w:val="24"/>
        </w:rPr>
        <w:t>a resolução considera apenas entregas diretas</w:t>
      </w:r>
      <w:r>
        <w:rPr>
          <w:rFonts w:ascii="Times New Roman" w:hAnsi="Times New Roman"/>
          <w:szCs w:val="24"/>
        </w:rPr>
        <w:t xml:space="preserve"> do produtor</w:t>
      </w:r>
      <w:r w:rsidRPr="00E711E6">
        <w:rPr>
          <w:rFonts w:ascii="Times New Roman" w:hAnsi="Times New Roman"/>
          <w:szCs w:val="24"/>
        </w:rPr>
        <w:t xml:space="preserve"> ao distribuidor. Quando há transporte por dutos ou cabotag</w:t>
      </w:r>
      <w:r>
        <w:rPr>
          <w:rFonts w:ascii="Times New Roman" w:hAnsi="Times New Roman"/>
          <w:szCs w:val="24"/>
        </w:rPr>
        <w:t>em, ocorre mistura de QAV-1</w:t>
      </w:r>
      <w:r w:rsidRPr="00E711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proveniente de</w:t>
      </w:r>
      <w:r w:rsidRPr="00E711E6">
        <w:rPr>
          <w:rFonts w:ascii="Times New Roman" w:hAnsi="Times New Roman"/>
          <w:szCs w:val="24"/>
        </w:rPr>
        <w:t xml:space="preserve"> mais de uma refinaria, ou até produto importado</w:t>
      </w:r>
      <w:r>
        <w:rPr>
          <w:rFonts w:ascii="Times New Roman" w:hAnsi="Times New Roman"/>
          <w:szCs w:val="24"/>
        </w:rPr>
        <w:t>, nas instalações do terminal</w:t>
      </w:r>
      <w:r w:rsidRPr="00E711E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Hoje, comumente, as distribuidoras têm exigido da Petrobras certificado da qualidade da mistura realizada no terminal do operador logístico. Contudo, considerando que no terminal chegam apenas produtos já certificados, a Petrobras entende ser suficiente a emissão de boletim de conformidade, em vez de uma certificação completa.</w:t>
      </w:r>
    </w:p>
    <w:p w:rsidR="00ED2960" w:rsidRDefault="00ED2960" w:rsidP="008159F0">
      <w:pPr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De forma a entender melhor o atual fluxo logístico do produto no </w:t>
      </w:r>
      <w:proofErr w:type="gramStart"/>
      <w:r>
        <w:rPr>
          <w:rFonts w:ascii="Times New Roman" w:hAnsi="Times New Roman"/>
          <w:szCs w:val="24"/>
        </w:rPr>
        <w:t>país ,</w:t>
      </w:r>
      <w:proofErr w:type="gramEnd"/>
      <w:r>
        <w:rPr>
          <w:rFonts w:ascii="Times New Roman" w:hAnsi="Times New Roman"/>
          <w:szCs w:val="24"/>
        </w:rPr>
        <w:t xml:space="preserve"> a SBQ contatou os transportadores (operadores logísticos dos terminais) e distribuidores de QAV-1, além da Superintendência de Desenvolvimento e Logística (SDL). </w:t>
      </w:r>
    </w:p>
    <w:p w:rsidR="00ED2960" w:rsidRDefault="00ED2960" w:rsidP="008159F0">
      <w:pPr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Após avaliação interna, esta </w:t>
      </w:r>
      <w:proofErr w:type="gramStart"/>
      <w:r>
        <w:rPr>
          <w:rFonts w:ascii="Times New Roman" w:hAnsi="Times New Roman"/>
          <w:szCs w:val="24"/>
        </w:rPr>
        <w:t>Superintendência  entendeu</w:t>
      </w:r>
      <w:proofErr w:type="gramEnd"/>
      <w:r>
        <w:rPr>
          <w:rFonts w:ascii="Times New Roman" w:hAnsi="Times New Roman"/>
          <w:szCs w:val="24"/>
        </w:rPr>
        <w:t xml:space="preserve"> a necessidade de realização de certificação completa do QAV-1 a ser realizada pelo detentor da propriedade do QAV-1 no tanque do terminal. Isso porque o transporte de QAV-1 do produtor ao terminal geralmente se dá por polidutos não dedicados a esse produto. Nesse caso, mesmo com a adoção de boas práticas no transporte, considera-se que o produto é vulnerável à contaminação cruzada com outros combustíveis. Ademais, se fosse exigido apenas o boletim de conformidade da mistura resultante no terminal, não seria possível realizar a análise de consistência dos resultados, já que haveria mais de um certificado da qualidade na entrada do tanque do terminal, não sendo possível comparar diretamente com o boletim de conformidade da mistura. Assim, é nosso entendimento que o certificado da qualidade da mistura, antes da entrega ao distribuidor, resguarda o produto das limitações mencionadas, garantindo a manutenção do alto nível de controle da qualidade requerido pelos combustíveis de aviação.</w:t>
      </w:r>
    </w:p>
    <w:p w:rsidR="00ED2960" w:rsidRDefault="00ED2960" w:rsidP="008159F0">
      <w:pPr>
        <w:spacing w:before="240"/>
        <w:jc w:val="both"/>
        <w:rPr>
          <w:rFonts w:ascii="Times New Roman" w:hAnsi="Times New Roman"/>
          <w:b/>
          <w:szCs w:val="24"/>
        </w:rPr>
      </w:pPr>
    </w:p>
    <w:p w:rsidR="00ED2960" w:rsidRPr="006113A9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5. REGULAMENTO TÉCNICO DA RESOLUÇÃO ANP Nº 63/2014</w:t>
      </w:r>
    </w:p>
    <w:p w:rsidR="00ED2960" w:rsidRDefault="00ED2960" w:rsidP="008159F0">
      <w:pPr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01760">
        <w:rPr>
          <w:rFonts w:ascii="Times New Roman" w:hAnsi="Times New Roman"/>
          <w:szCs w:val="24"/>
        </w:rPr>
        <w:t>O regulamento técnico foi alterado com o objetivo de atualizar as especificações dos querosenes de aviação alternativos SPK-FT, SPK-</w:t>
      </w:r>
      <w:proofErr w:type="gramStart"/>
      <w:r w:rsidRPr="00C01760">
        <w:rPr>
          <w:rFonts w:ascii="Times New Roman" w:hAnsi="Times New Roman"/>
          <w:szCs w:val="24"/>
        </w:rPr>
        <w:t>HEFA ,</w:t>
      </w:r>
      <w:proofErr w:type="gramEnd"/>
      <w:r w:rsidRPr="00C01760">
        <w:rPr>
          <w:rFonts w:ascii="Times New Roman" w:hAnsi="Times New Roman"/>
          <w:szCs w:val="24"/>
        </w:rPr>
        <w:t xml:space="preserve"> SIP e suas misturas com </w:t>
      </w:r>
      <w:r>
        <w:rPr>
          <w:rFonts w:ascii="Times New Roman" w:hAnsi="Times New Roman"/>
          <w:szCs w:val="24"/>
        </w:rPr>
        <w:t xml:space="preserve">o </w:t>
      </w:r>
      <w:r w:rsidRPr="00C01760">
        <w:rPr>
          <w:rFonts w:ascii="Times New Roman" w:hAnsi="Times New Roman"/>
          <w:szCs w:val="24"/>
        </w:rPr>
        <w:t>QAV-1, além de adicionar a especificação do SPK/A e SPK-ATJ, homologados pela ASTM. Os itens descritos abaixo apresentam as modificações necessárias para harmonização do regulamento técnico à ASTM D7566.</w:t>
      </w:r>
    </w:p>
    <w:p w:rsidR="00ED2960" w:rsidRPr="00C01760" w:rsidRDefault="00ED2960" w:rsidP="008159F0">
      <w:pPr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01760">
        <w:rPr>
          <w:rFonts w:ascii="Times New Roman" w:hAnsi="Times New Roman"/>
          <w:szCs w:val="24"/>
        </w:rPr>
        <w:t xml:space="preserve">Os quadros dos métodos de ensaio foram atualizados de acordo com a inclusão de novas metodologias nas especificações dos querosenes de aviação alternativos. Adicionalmente, foi realizada pesquisa de equivalência entre as normas ABNT e as normas internacionais para inclusão no Regulamento Técnico. </w:t>
      </w:r>
    </w:p>
    <w:p w:rsidR="00ED2960" w:rsidRPr="00140656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5.1. </w:t>
      </w:r>
      <w:r w:rsidRPr="00140656">
        <w:rPr>
          <w:rFonts w:ascii="Times New Roman" w:hAnsi="Times New Roman"/>
          <w:b/>
          <w:szCs w:val="24"/>
        </w:rPr>
        <w:t xml:space="preserve"> Alterações nas especificações dos Querosenes de Aviação Alternativos SPK-FT e SPK-HEFA </w:t>
      </w:r>
    </w:p>
    <w:p w:rsidR="00ED2960" w:rsidRDefault="00ED2960" w:rsidP="008159F0">
      <w:pPr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01760">
        <w:rPr>
          <w:rFonts w:ascii="Times New Roman" w:hAnsi="Times New Roman"/>
          <w:szCs w:val="24"/>
        </w:rPr>
        <w:t xml:space="preserve">As tabelas I e II da Resolução ANP nº 63/2014 foram agrupadas em uma única tabela, </w:t>
      </w:r>
      <w:r>
        <w:rPr>
          <w:rFonts w:ascii="Times New Roman" w:hAnsi="Times New Roman"/>
          <w:szCs w:val="24"/>
        </w:rPr>
        <w:t>uma vez</w:t>
      </w:r>
      <w:r w:rsidRPr="00C01760">
        <w:rPr>
          <w:rFonts w:ascii="Times New Roman" w:hAnsi="Times New Roman"/>
          <w:szCs w:val="24"/>
        </w:rPr>
        <w:t xml:space="preserve"> que ambas tratam de análises obrigatórias para o SPK-FT e SPK-HEFA. As seguintes alterações na tabela de especificação </w:t>
      </w:r>
      <w:r>
        <w:rPr>
          <w:rFonts w:ascii="Times New Roman" w:hAnsi="Times New Roman"/>
          <w:szCs w:val="24"/>
        </w:rPr>
        <w:t>são</w:t>
      </w:r>
      <w:r w:rsidRPr="00C01760">
        <w:rPr>
          <w:rFonts w:ascii="Times New Roman" w:hAnsi="Times New Roman"/>
          <w:szCs w:val="24"/>
        </w:rPr>
        <w:t xml:space="preserve"> propostas:</w:t>
      </w:r>
    </w:p>
    <w:p w:rsidR="00ED2960" w:rsidRPr="00C01760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Pr="00DF2FF7">
        <w:rPr>
          <w:rFonts w:ascii="Times New Roman" w:hAnsi="Times New Roman"/>
          <w:b/>
          <w:szCs w:val="24"/>
        </w:rPr>
        <w:t>.1.1 Inclusão do método ASTM D7345 para a característica "</w:t>
      </w:r>
      <w:r w:rsidRPr="00C01760">
        <w:rPr>
          <w:rFonts w:ascii="Times New Roman" w:hAnsi="Times New Roman"/>
          <w:b/>
          <w:bCs/>
          <w:szCs w:val="24"/>
        </w:rPr>
        <w:t>destilação"</w:t>
      </w:r>
    </w:p>
    <w:p w:rsidR="00055D9B" w:rsidRDefault="008159F0" w:rsidP="00055D9B">
      <w:pPr>
        <w:tabs>
          <w:tab w:val="left" w:pos="1134"/>
        </w:tabs>
        <w:spacing w:before="120"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 w:rsidR="00055D9B" w:rsidRPr="00C01760">
        <w:rPr>
          <w:rFonts w:ascii="Times New Roman" w:hAnsi="Times New Roman"/>
          <w:bCs/>
          <w:szCs w:val="24"/>
        </w:rPr>
        <w:t>Em revisão recente da ASTM D7566, o método ASTM D7345 foi incluído</w:t>
      </w:r>
      <w:r w:rsidR="00055D9B" w:rsidRPr="00C01760">
        <w:rPr>
          <w:rFonts w:ascii="Times New Roman" w:hAnsi="Times New Roman"/>
          <w:szCs w:val="24"/>
        </w:rPr>
        <w:t xml:space="preserve"> para o ensaio de destilação física tanto para o SPK - FT quanto para o SPK - HEFA. Destaca-se que a nota a seguir aplica-se apenas </w:t>
      </w:r>
      <w:r w:rsidR="00055D9B">
        <w:rPr>
          <w:rFonts w:ascii="Times New Roman" w:hAnsi="Times New Roman"/>
          <w:szCs w:val="24"/>
        </w:rPr>
        <w:t>à</w:t>
      </w:r>
      <w:r w:rsidR="00055D9B" w:rsidRPr="00C01760">
        <w:rPr>
          <w:rFonts w:ascii="Times New Roman" w:hAnsi="Times New Roman"/>
          <w:szCs w:val="24"/>
        </w:rPr>
        <w:t xml:space="preserve"> ABNT NBR 9619, IP123 e ASTM D86, motivo pelo qual o </w:t>
      </w:r>
      <w:r w:rsidR="00055D9B">
        <w:rPr>
          <w:rFonts w:ascii="Times New Roman" w:hAnsi="Times New Roman"/>
          <w:szCs w:val="24"/>
        </w:rPr>
        <w:t xml:space="preserve">referido </w:t>
      </w:r>
      <w:r w:rsidR="00055D9B" w:rsidRPr="00C01760">
        <w:rPr>
          <w:rFonts w:ascii="Times New Roman" w:hAnsi="Times New Roman"/>
          <w:szCs w:val="24"/>
        </w:rPr>
        <w:t>método incluído não está associado à nota em questão:</w:t>
      </w:r>
    </w:p>
    <w:p w:rsidR="00055D9B" w:rsidRDefault="00055D9B" w:rsidP="00055D9B">
      <w:pPr>
        <w:spacing w:before="240"/>
        <w:ind w:left="2832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</w:t>
      </w:r>
      <w:proofErr w:type="gramStart"/>
      <w:r>
        <w:rPr>
          <w:rFonts w:ascii="Times New Roman" w:hAnsi="Times New Roman"/>
          <w:i/>
          <w:sz w:val="22"/>
          <w:szCs w:val="22"/>
        </w:rPr>
        <w:t>9)</w:t>
      </w:r>
      <w:r w:rsidRPr="00D8163B">
        <w:rPr>
          <w:rFonts w:ascii="Times New Roman" w:hAnsi="Times New Roman"/>
          <w:i/>
          <w:sz w:val="22"/>
          <w:szCs w:val="22"/>
        </w:rPr>
        <w:t>Deve</w:t>
      </w:r>
      <w:proofErr w:type="gramEnd"/>
      <w:r w:rsidRPr="00D8163B">
        <w:rPr>
          <w:rFonts w:ascii="Times New Roman" w:hAnsi="Times New Roman"/>
          <w:i/>
          <w:sz w:val="22"/>
          <w:szCs w:val="22"/>
        </w:rPr>
        <w:t xml:space="preserve"> ser utilizada a temperatura do condensador estabelecida para o grupo 3, embora o combustível esteja classificado como produto do grupo 4 no ensaio de destilação</w:t>
      </w:r>
      <w:r w:rsidRPr="007F4A55">
        <w:rPr>
          <w:rFonts w:ascii="Times New Roman" w:hAnsi="Times New Roman"/>
          <w:i/>
          <w:sz w:val="22"/>
          <w:szCs w:val="22"/>
        </w:rPr>
        <w:t>.</w:t>
      </w:r>
    </w:p>
    <w:p w:rsidR="00ED2960" w:rsidRPr="00A968F1" w:rsidRDefault="00ED2960" w:rsidP="00055D9B">
      <w:pPr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Para o parâmetro "perda", foi incluída n</w:t>
      </w:r>
      <w:r w:rsidRPr="00A968F1">
        <w:rPr>
          <w:rFonts w:ascii="Times New Roman" w:hAnsi="Times New Roman"/>
          <w:szCs w:val="24"/>
        </w:rPr>
        <w:t>ota indicando que</w:t>
      </w:r>
      <w:r>
        <w:rPr>
          <w:rFonts w:ascii="Times New Roman" w:hAnsi="Times New Roman"/>
          <w:szCs w:val="24"/>
        </w:rPr>
        <w:t xml:space="preserve"> os</w:t>
      </w:r>
      <w:r w:rsidRPr="00A968F1">
        <w:rPr>
          <w:rFonts w:ascii="Times New Roman" w:hAnsi="Times New Roman"/>
          <w:szCs w:val="24"/>
        </w:rPr>
        <w:t xml:space="preserve"> resultados de destilação não devem ser considerados válidos para perda superior a 1,5%, devendo o ensaio ser repetido</w:t>
      </w:r>
      <w:r>
        <w:rPr>
          <w:rFonts w:ascii="Times New Roman" w:hAnsi="Times New Roman"/>
          <w:szCs w:val="24"/>
        </w:rPr>
        <w:t>. Dita nota faz-se necessária considerando que</w:t>
      </w:r>
      <w:r w:rsidRPr="00A968F1">
        <w:rPr>
          <w:rFonts w:ascii="Times New Roman" w:hAnsi="Times New Roman"/>
          <w:szCs w:val="24"/>
        </w:rPr>
        <w:t xml:space="preserve"> o val</w:t>
      </w:r>
      <w:r>
        <w:rPr>
          <w:rFonts w:ascii="Times New Roman" w:hAnsi="Times New Roman"/>
          <w:szCs w:val="24"/>
        </w:rPr>
        <w:t xml:space="preserve">or máximo do parâmetro em questão é, de acordo com as normas de destilação, </w:t>
      </w:r>
      <w:r w:rsidRPr="00A968F1">
        <w:rPr>
          <w:rFonts w:ascii="Times New Roman" w:hAnsi="Times New Roman"/>
          <w:szCs w:val="24"/>
        </w:rPr>
        <w:t>critério para aceitação do</w:t>
      </w:r>
      <w:r>
        <w:rPr>
          <w:rFonts w:ascii="Times New Roman" w:hAnsi="Times New Roman"/>
          <w:szCs w:val="24"/>
        </w:rPr>
        <w:t>s</w:t>
      </w:r>
      <w:r w:rsidRPr="00A968F1">
        <w:rPr>
          <w:rFonts w:ascii="Times New Roman" w:hAnsi="Times New Roman"/>
          <w:szCs w:val="24"/>
        </w:rPr>
        <w:t xml:space="preserve"> resultado</w:t>
      </w:r>
      <w:r>
        <w:rPr>
          <w:rFonts w:ascii="Times New Roman" w:hAnsi="Times New Roman"/>
          <w:szCs w:val="24"/>
        </w:rPr>
        <w:t>s</w:t>
      </w:r>
      <w:r w:rsidRPr="00A968F1">
        <w:rPr>
          <w:rFonts w:ascii="Times New Roman" w:hAnsi="Times New Roman"/>
          <w:szCs w:val="24"/>
        </w:rPr>
        <w:t xml:space="preserve"> obtido</w:t>
      </w:r>
      <w:r>
        <w:rPr>
          <w:rFonts w:ascii="Times New Roman" w:hAnsi="Times New Roman"/>
          <w:szCs w:val="24"/>
        </w:rPr>
        <w:t>s, o que não significa que o produto esteja não conforme quando tal parâmetro encontra-se fora do limite especificado</w:t>
      </w:r>
      <w:r w:rsidRPr="00A968F1">
        <w:rPr>
          <w:rFonts w:ascii="Times New Roman" w:hAnsi="Times New Roman"/>
          <w:szCs w:val="24"/>
        </w:rPr>
        <w:t xml:space="preserve">. </w:t>
      </w:r>
    </w:p>
    <w:p w:rsidR="00ED2960" w:rsidRPr="00DF2FF7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Pr="00DF2FF7">
        <w:rPr>
          <w:rFonts w:ascii="Times New Roman" w:hAnsi="Times New Roman"/>
          <w:b/>
          <w:szCs w:val="24"/>
        </w:rPr>
        <w:t xml:space="preserve">.1.2 Ajuste na característica "ponto de fulgor" </w:t>
      </w:r>
    </w:p>
    <w:p w:rsidR="00ED2960" w:rsidRDefault="00ED2960" w:rsidP="008159F0">
      <w:pPr>
        <w:spacing w:before="240"/>
        <w:jc w:val="both"/>
        <w:rPr>
          <w:rFonts w:ascii="Times New Roman" w:hAnsi="Times New Roman"/>
          <w:szCs w:val="24"/>
        </w:rPr>
      </w:pPr>
      <w:r w:rsidRPr="00C01760">
        <w:rPr>
          <w:rFonts w:ascii="Times New Roman" w:hAnsi="Times New Roman"/>
          <w:szCs w:val="24"/>
        </w:rPr>
        <w:tab/>
        <w:t xml:space="preserve">A Resolução ANP nº 63/2014 estabelece em sua nota (4) que o limite mínimo para a característica ponto de fulgor é de </w:t>
      </w:r>
      <w:r>
        <w:rPr>
          <w:rFonts w:ascii="Times New Roman" w:hAnsi="Times New Roman"/>
          <w:szCs w:val="24"/>
        </w:rPr>
        <w:t xml:space="preserve">38 ºC pelo método ASTM D56 e </w:t>
      </w:r>
      <w:r w:rsidRPr="00C01760">
        <w:rPr>
          <w:rFonts w:ascii="Times New Roman" w:hAnsi="Times New Roman"/>
          <w:szCs w:val="24"/>
        </w:rPr>
        <w:t>36</w:t>
      </w:r>
      <w:r>
        <w:rPr>
          <w:rFonts w:ascii="Times New Roman" w:hAnsi="Times New Roman"/>
          <w:szCs w:val="24"/>
        </w:rPr>
        <w:t xml:space="preserve"> °C para os métodos IP 170, IP 523 e ASTM D3828. Contudo, observa-se inconsistência nos limites ora estabelecidos. A ASTM D7566 estabelece o limite de 38 ºC para o ensaio e considera que a utilização dos outros métodos pode apresentar resultado até dois graus abaixo do que seria obtido pela ASTM D56, o que não necessariamente significa que apresentará tal desvio. Assim, um ponto de fulgor de 38 °C obtido pela ASTM D3828, por exemplo, indica a possibilidade de que o produto esteja não conforme, já que 38 °C pela ASTM D3828 poderia representar 36 °C na ASTM D56.</w:t>
      </w:r>
    </w:p>
    <w:p w:rsidR="00ED2960" w:rsidRDefault="00ED2960" w:rsidP="008159F0">
      <w:pPr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Para dar mais clareza a es</w:t>
      </w:r>
      <w:r w:rsidR="003351F0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>a característica, propõe-se manter apenas o limite de 38 °C e indicar, nos casos de disputa, que a ASTM D56 deve ser considerada a norma de referência.</w:t>
      </w:r>
    </w:p>
    <w:p w:rsidR="00ED2960" w:rsidRDefault="00ED2960" w:rsidP="008159F0">
      <w:pPr>
        <w:spacing w:before="24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Cs w:val="24"/>
        </w:rPr>
        <w:tab/>
        <w:t>A seguinte nota foi incluída ao parâmetro:</w:t>
      </w:r>
    </w:p>
    <w:p w:rsidR="00ED2960" w:rsidRPr="007F4A55" w:rsidRDefault="00055D9B" w:rsidP="008159F0">
      <w:pPr>
        <w:pStyle w:val="SemEspaamento"/>
        <w:spacing w:before="240"/>
        <w:ind w:left="2124"/>
        <w:rPr>
          <w:rFonts w:ascii="Times New Roman" w:hAnsi="Times New Roman"/>
          <w:i/>
          <w:sz w:val="22"/>
          <w:szCs w:val="22"/>
        </w:rPr>
      </w:pPr>
      <w:proofErr w:type="gramStart"/>
      <w:r>
        <w:rPr>
          <w:rFonts w:ascii="Times New Roman" w:hAnsi="Times New Roman"/>
          <w:i/>
          <w:sz w:val="22"/>
          <w:szCs w:val="22"/>
        </w:rPr>
        <w:t>(12)</w:t>
      </w:r>
      <w:r w:rsidR="00ED2960" w:rsidRPr="007F4A55">
        <w:rPr>
          <w:rFonts w:ascii="Times New Roman" w:hAnsi="Times New Roman"/>
          <w:i/>
          <w:sz w:val="22"/>
          <w:szCs w:val="22"/>
        </w:rPr>
        <w:t xml:space="preserve"> Em</w:t>
      </w:r>
      <w:proofErr w:type="gramEnd"/>
      <w:r w:rsidR="00ED2960" w:rsidRPr="007F4A55">
        <w:rPr>
          <w:rFonts w:ascii="Times New Roman" w:hAnsi="Times New Roman"/>
          <w:i/>
          <w:sz w:val="22"/>
          <w:szCs w:val="22"/>
        </w:rPr>
        <w:t xml:space="preserve"> caso de disputa, a ASTM D56 deve ser considerada a norma de referência. </w:t>
      </w:r>
    </w:p>
    <w:p w:rsidR="00ED2960" w:rsidRPr="00DF2FF7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Pr="00DF2FF7">
        <w:rPr>
          <w:rFonts w:ascii="Times New Roman" w:hAnsi="Times New Roman"/>
          <w:b/>
          <w:szCs w:val="24"/>
        </w:rPr>
        <w:t>.1.3 Inclusão da característica "depósito no tubo" pelo método metrológico ITR e ETR da ASTM D3241 e exclusão da nota (6) da tabela de especificação</w:t>
      </w:r>
    </w:p>
    <w:p w:rsidR="00ED2960" w:rsidRDefault="00ED2960" w:rsidP="008159F0">
      <w:pPr>
        <w:spacing w:before="240"/>
        <w:jc w:val="both"/>
        <w:rPr>
          <w:rFonts w:ascii="Times New Roman" w:hAnsi="Times New Roman"/>
          <w:szCs w:val="24"/>
        </w:rPr>
      </w:pPr>
      <w:r w:rsidRPr="00C01760">
        <w:rPr>
          <w:rFonts w:ascii="Times New Roman" w:hAnsi="Times New Roman"/>
          <w:szCs w:val="24"/>
        </w:rPr>
        <w:tab/>
        <w:t xml:space="preserve">A Resolução ANP nº 63/2014 estabelece apenas o método visual (VTR) para o parâmetro depósito no tubo. Contudo, em revisão recente da ASTM D7566, ficaram permitidas duas diferentes metodologias constantes da norma ASTM D 3241: o método visual, com limite máximo de 3 unidades de medida ou o método metrológico ITR/ETR, com limite máximo de 85 unidades de medida, considerando o método ETR como de referência. </w:t>
      </w:r>
    </w:p>
    <w:p w:rsidR="00055D9B" w:rsidRDefault="00ED2960" w:rsidP="00055D9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055D9B">
        <w:rPr>
          <w:rFonts w:ascii="Times New Roman" w:hAnsi="Times New Roman"/>
          <w:szCs w:val="24"/>
        </w:rPr>
        <w:t>As seguintes notas explicativas foram adicionadas à tabela de especificação:</w:t>
      </w:r>
    </w:p>
    <w:p w:rsidR="00055D9B" w:rsidRDefault="00055D9B" w:rsidP="00055D9B">
      <w:pPr>
        <w:pStyle w:val="SemEspaamento"/>
        <w:ind w:left="2124"/>
        <w:jc w:val="both"/>
        <w:rPr>
          <w:rFonts w:ascii="Times New Roman" w:hAnsi="Times New Roman"/>
          <w:i/>
          <w:sz w:val="22"/>
          <w:szCs w:val="22"/>
        </w:rPr>
      </w:pPr>
    </w:p>
    <w:p w:rsidR="00055D9B" w:rsidRPr="007F4A55" w:rsidRDefault="00055D9B" w:rsidP="00055D9B">
      <w:pPr>
        <w:pStyle w:val="SemEspaamento"/>
        <w:ind w:left="1416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</w:t>
      </w:r>
      <w:proofErr w:type="gramStart"/>
      <w:r>
        <w:rPr>
          <w:rFonts w:ascii="Times New Roman" w:hAnsi="Times New Roman"/>
          <w:i/>
          <w:sz w:val="22"/>
          <w:szCs w:val="22"/>
        </w:rPr>
        <w:t>16)</w:t>
      </w:r>
      <w:r w:rsidRPr="007F4A55">
        <w:rPr>
          <w:rFonts w:ascii="Times New Roman" w:hAnsi="Times New Roman"/>
          <w:i/>
          <w:sz w:val="22"/>
          <w:szCs w:val="22"/>
        </w:rPr>
        <w:t>É</w:t>
      </w:r>
      <w:proofErr w:type="gramEnd"/>
      <w:r w:rsidRPr="007F4A55">
        <w:rPr>
          <w:rFonts w:ascii="Times New Roman" w:hAnsi="Times New Roman"/>
          <w:i/>
          <w:sz w:val="22"/>
          <w:szCs w:val="22"/>
        </w:rPr>
        <w:t xml:space="preserve"> necessária a realização de apenas um método: visual ou metrológico. Contudo, em caso de divergência entre os métodos, o método ETR (Anexo A3 da ASTM D 3241) </w:t>
      </w:r>
      <w:r>
        <w:rPr>
          <w:rFonts w:ascii="Times New Roman" w:hAnsi="Times New Roman"/>
          <w:i/>
          <w:sz w:val="22"/>
          <w:szCs w:val="22"/>
        </w:rPr>
        <w:t>deve ser considerado</w:t>
      </w:r>
      <w:r w:rsidRPr="007F4A55">
        <w:rPr>
          <w:rFonts w:ascii="Times New Roman" w:hAnsi="Times New Roman"/>
          <w:i/>
          <w:sz w:val="22"/>
          <w:szCs w:val="22"/>
        </w:rPr>
        <w:t xml:space="preserve"> de referência.</w:t>
      </w:r>
    </w:p>
    <w:p w:rsidR="00055D9B" w:rsidRPr="007F4A55" w:rsidRDefault="00055D9B" w:rsidP="00055D9B">
      <w:pPr>
        <w:pStyle w:val="SemEspaamento"/>
        <w:ind w:left="1416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(17)</w:t>
      </w:r>
      <w:r w:rsidRPr="007F4A55">
        <w:rPr>
          <w:rFonts w:ascii="Times New Roman" w:hAnsi="Times New Roman"/>
          <w:i/>
          <w:sz w:val="22"/>
          <w:szCs w:val="22"/>
        </w:rPr>
        <w:t xml:space="preserve"> O método visual deve ser realizado conforme Anexo A1 da norma ASTM D3241. </w:t>
      </w:r>
    </w:p>
    <w:p w:rsidR="00055D9B" w:rsidRPr="005738A9" w:rsidRDefault="00055D9B" w:rsidP="00055D9B">
      <w:pPr>
        <w:pStyle w:val="SemEspaamento"/>
        <w:spacing w:after="120"/>
        <w:ind w:left="1418"/>
        <w:jc w:val="both"/>
        <w:rPr>
          <w:rFonts w:cs="Arial"/>
          <w:sz w:val="20"/>
        </w:rPr>
      </w:pPr>
      <w:r>
        <w:rPr>
          <w:rFonts w:ascii="Times New Roman" w:hAnsi="Times New Roman"/>
          <w:i/>
          <w:sz w:val="22"/>
          <w:szCs w:val="22"/>
        </w:rPr>
        <w:t>(</w:t>
      </w:r>
      <w:proofErr w:type="gramStart"/>
      <w:r>
        <w:rPr>
          <w:rFonts w:ascii="Times New Roman" w:hAnsi="Times New Roman"/>
          <w:i/>
          <w:sz w:val="22"/>
          <w:szCs w:val="22"/>
        </w:rPr>
        <w:t>18)</w:t>
      </w:r>
      <w:r w:rsidRPr="007F4A55">
        <w:rPr>
          <w:rFonts w:ascii="Times New Roman" w:hAnsi="Times New Roman"/>
          <w:i/>
          <w:sz w:val="22"/>
          <w:szCs w:val="22"/>
        </w:rPr>
        <w:t>O</w:t>
      </w:r>
      <w:proofErr w:type="gramEnd"/>
      <w:r w:rsidRPr="007F4A55">
        <w:rPr>
          <w:rFonts w:ascii="Times New Roman" w:hAnsi="Times New Roman"/>
          <w:i/>
          <w:sz w:val="22"/>
          <w:szCs w:val="22"/>
        </w:rPr>
        <w:t xml:space="preserve"> método </w:t>
      </w:r>
      <w:r>
        <w:rPr>
          <w:rFonts w:ascii="Times New Roman" w:hAnsi="Times New Roman"/>
          <w:i/>
          <w:sz w:val="22"/>
          <w:szCs w:val="22"/>
        </w:rPr>
        <w:t>instrumental</w:t>
      </w:r>
      <w:r w:rsidRPr="007F4A55">
        <w:rPr>
          <w:rFonts w:ascii="Times New Roman" w:hAnsi="Times New Roman"/>
          <w:i/>
          <w:sz w:val="22"/>
          <w:szCs w:val="22"/>
        </w:rPr>
        <w:t xml:space="preserve"> deve ser realizado conforme Anexo A2 (Método Interferométrico - ITR) ou Anexo A3 (Método Elipsométrico - ETR) da norma ASTM D3241.</w:t>
      </w:r>
    </w:p>
    <w:p w:rsidR="00055D9B" w:rsidRPr="007F4A55" w:rsidRDefault="00055D9B" w:rsidP="00055D9B">
      <w:p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Cs w:val="24"/>
        </w:rPr>
        <w:tab/>
      </w:r>
      <w:r w:rsidRPr="00105567">
        <w:rPr>
          <w:rFonts w:ascii="Times New Roman" w:hAnsi="Times New Roman"/>
          <w:szCs w:val="24"/>
        </w:rPr>
        <w:t>A nota (6)</w:t>
      </w:r>
      <w:r>
        <w:rPr>
          <w:rFonts w:ascii="Times New Roman" w:hAnsi="Times New Roman"/>
          <w:szCs w:val="24"/>
        </w:rPr>
        <w:t xml:space="preserve"> d</w:t>
      </w:r>
      <w:r w:rsidRPr="00105567">
        <w:rPr>
          <w:rFonts w:ascii="Times New Roman" w:hAnsi="Times New Roman"/>
          <w:szCs w:val="24"/>
        </w:rPr>
        <w:t>a Resolução ANP nº 63/2014 estava em consonância com a</w:t>
      </w:r>
      <w:r>
        <w:rPr>
          <w:rFonts w:ascii="Times New Roman" w:hAnsi="Times New Roman"/>
          <w:szCs w:val="24"/>
        </w:rPr>
        <w:t xml:space="preserve"> versão da</w:t>
      </w:r>
      <w:r w:rsidRPr="00105567">
        <w:rPr>
          <w:rFonts w:ascii="Times New Roman" w:hAnsi="Times New Roman"/>
          <w:szCs w:val="24"/>
        </w:rPr>
        <w:t xml:space="preserve"> ASTM D7566</w:t>
      </w:r>
      <w:r>
        <w:rPr>
          <w:rFonts w:ascii="Times New Roman" w:hAnsi="Times New Roman"/>
          <w:szCs w:val="24"/>
        </w:rPr>
        <w:t xml:space="preserve"> vigente à época de sua publicação. Tal versão permitia que a </w:t>
      </w:r>
      <w:r w:rsidRPr="00105567">
        <w:rPr>
          <w:rFonts w:ascii="Times New Roman" w:hAnsi="Times New Roman"/>
          <w:szCs w:val="24"/>
        </w:rPr>
        <w:t xml:space="preserve">norma IP 323 </w:t>
      </w:r>
      <w:r>
        <w:rPr>
          <w:rFonts w:ascii="Times New Roman" w:hAnsi="Times New Roman"/>
          <w:szCs w:val="24"/>
        </w:rPr>
        <w:t xml:space="preserve">fosse utilizada </w:t>
      </w:r>
      <w:r w:rsidRPr="00105567">
        <w:rPr>
          <w:rFonts w:ascii="Times New Roman" w:hAnsi="Times New Roman"/>
          <w:szCs w:val="24"/>
        </w:rPr>
        <w:t>apenas para o SP</w:t>
      </w:r>
      <w:r>
        <w:rPr>
          <w:rFonts w:ascii="Times New Roman" w:hAnsi="Times New Roman"/>
          <w:szCs w:val="24"/>
        </w:rPr>
        <w:t>K-HEFA. Contudo, em atualização</w:t>
      </w:r>
      <w:r w:rsidRPr="00105567">
        <w:rPr>
          <w:rFonts w:ascii="Times New Roman" w:hAnsi="Times New Roman"/>
          <w:szCs w:val="24"/>
        </w:rPr>
        <w:t xml:space="preserve"> recente da </w:t>
      </w:r>
      <w:r>
        <w:rPr>
          <w:rFonts w:ascii="Times New Roman" w:hAnsi="Times New Roman"/>
          <w:szCs w:val="24"/>
        </w:rPr>
        <w:t>ASTM, ficou permitida</w:t>
      </w:r>
      <w:r w:rsidRPr="00105567">
        <w:rPr>
          <w:rFonts w:ascii="Times New Roman" w:hAnsi="Times New Roman"/>
          <w:szCs w:val="24"/>
        </w:rPr>
        <w:t xml:space="preserve"> a aplicação da IP 323</w:t>
      </w:r>
      <w:r>
        <w:rPr>
          <w:rFonts w:ascii="Times New Roman" w:hAnsi="Times New Roman"/>
          <w:szCs w:val="24"/>
        </w:rPr>
        <w:t xml:space="preserve"> e</w:t>
      </w:r>
      <w:r w:rsidRPr="00105567">
        <w:rPr>
          <w:rFonts w:ascii="Times New Roman" w:hAnsi="Times New Roman"/>
          <w:szCs w:val="24"/>
        </w:rPr>
        <w:t xml:space="preserve"> ASTM D3241 para ambos </w:t>
      </w:r>
      <w:r>
        <w:rPr>
          <w:rFonts w:ascii="Times New Roman" w:hAnsi="Times New Roman"/>
          <w:szCs w:val="24"/>
        </w:rPr>
        <w:t xml:space="preserve">os </w:t>
      </w:r>
      <w:r w:rsidRPr="00105567">
        <w:rPr>
          <w:rFonts w:ascii="Times New Roman" w:hAnsi="Times New Roman"/>
          <w:szCs w:val="24"/>
        </w:rPr>
        <w:t>produtos.</w:t>
      </w:r>
      <w:r>
        <w:rPr>
          <w:rFonts w:ascii="Times New Roman" w:hAnsi="Times New Roman"/>
          <w:szCs w:val="24"/>
        </w:rPr>
        <w:tab/>
      </w:r>
    </w:p>
    <w:p w:rsidR="00ED2960" w:rsidRPr="00DF2FF7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Pr="00DF2FF7">
        <w:rPr>
          <w:rFonts w:ascii="Times New Roman" w:hAnsi="Times New Roman"/>
          <w:b/>
          <w:szCs w:val="24"/>
        </w:rPr>
        <w:t>.1.4 Inclusão da ASTM D7111 para a característica "metais"</w:t>
      </w:r>
    </w:p>
    <w:p w:rsidR="00ED2960" w:rsidRDefault="00ED2960" w:rsidP="008159F0">
      <w:pPr>
        <w:spacing w:before="240"/>
        <w:jc w:val="both"/>
        <w:rPr>
          <w:rFonts w:ascii="Times New Roman" w:hAnsi="Times New Roman"/>
          <w:szCs w:val="24"/>
        </w:rPr>
      </w:pPr>
      <w:r w:rsidRPr="00C01760">
        <w:rPr>
          <w:rFonts w:ascii="Times New Roman" w:hAnsi="Times New Roman"/>
          <w:szCs w:val="24"/>
        </w:rPr>
        <w:tab/>
        <w:t>Em revisão</w:t>
      </w:r>
      <w:r>
        <w:rPr>
          <w:rFonts w:ascii="Times New Roman" w:hAnsi="Times New Roman"/>
          <w:szCs w:val="24"/>
        </w:rPr>
        <w:t xml:space="preserve"> recente da A</w:t>
      </w:r>
      <w:r w:rsidRPr="00105567">
        <w:rPr>
          <w:rFonts w:ascii="Times New Roman" w:hAnsi="Times New Roman"/>
          <w:szCs w:val="24"/>
        </w:rPr>
        <w:t>STM D7566</w:t>
      </w:r>
      <w:r>
        <w:rPr>
          <w:rFonts w:ascii="Times New Roman" w:hAnsi="Times New Roman"/>
          <w:szCs w:val="24"/>
        </w:rPr>
        <w:t xml:space="preserve">, o método ASTM D7345 foi incluído para o ensaio de metais para o </w:t>
      </w:r>
      <w:r w:rsidRPr="000437E0">
        <w:rPr>
          <w:rFonts w:ascii="Times New Roman" w:hAnsi="Times New Roman"/>
          <w:szCs w:val="24"/>
        </w:rPr>
        <w:t>SPK-FT e SPK-HEFA</w:t>
      </w:r>
      <w:r>
        <w:rPr>
          <w:rFonts w:ascii="Times New Roman" w:hAnsi="Times New Roman"/>
          <w:szCs w:val="24"/>
        </w:rPr>
        <w:t xml:space="preserve">. </w:t>
      </w:r>
    </w:p>
    <w:p w:rsidR="00ED2960" w:rsidRPr="00140656" w:rsidRDefault="00ED2960" w:rsidP="008159F0">
      <w:pPr>
        <w:spacing w:before="24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Pr="00140656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>2</w:t>
      </w:r>
      <w:r w:rsidRPr="00140656">
        <w:rPr>
          <w:rFonts w:ascii="Times New Roman" w:hAnsi="Times New Roman"/>
          <w:b/>
          <w:szCs w:val="24"/>
        </w:rPr>
        <w:t xml:space="preserve"> Alterações na especificação do Querosene de Aviação Alternativo SIP </w:t>
      </w:r>
    </w:p>
    <w:p w:rsidR="00ED2960" w:rsidRPr="00DF2FF7" w:rsidRDefault="00ED2960" w:rsidP="004B3341">
      <w:pPr>
        <w:spacing w:before="240"/>
        <w:jc w:val="both"/>
        <w:rPr>
          <w:rFonts w:ascii="Times New Roman" w:hAnsi="Times New Roman"/>
          <w:b/>
          <w:szCs w:val="24"/>
        </w:rPr>
      </w:pPr>
      <w:r>
        <w:rPr>
          <w:rFonts w:cs="Arial"/>
          <w:sz w:val="20"/>
        </w:rPr>
        <w:t xml:space="preserve"> </w:t>
      </w:r>
      <w:r>
        <w:rPr>
          <w:rFonts w:ascii="Times New Roman" w:hAnsi="Times New Roman"/>
          <w:b/>
          <w:szCs w:val="24"/>
        </w:rPr>
        <w:t>5</w:t>
      </w:r>
      <w:r w:rsidRPr="00DF2FF7">
        <w:rPr>
          <w:rFonts w:ascii="Times New Roman" w:hAnsi="Times New Roman"/>
          <w:b/>
          <w:szCs w:val="24"/>
        </w:rPr>
        <w:t>.2.1 Substituição do método X001 pela ASTM D7974 para as características: "hidrocarbonetos saturados", "</w:t>
      </w:r>
      <w:proofErr w:type="spellStart"/>
      <w:r w:rsidRPr="00DF2FF7">
        <w:rPr>
          <w:rFonts w:ascii="Times New Roman" w:hAnsi="Times New Roman"/>
          <w:b/>
          <w:szCs w:val="24"/>
        </w:rPr>
        <w:t>farnesano</w:t>
      </w:r>
      <w:proofErr w:type="spellEnd"/>
      <w:r w:rsidRPr="00DF2FF7">
        <w:rPr>
          <w:rFonts w:ascii="Times New Roman" w:hAnsi="Times New Roman"/>
          <w:b/>
          <w:szCs w:val="24"/>
        </w:rPr>
        <w:t>" e "</w:t>
      </w:r>
      <w:proofErr w:type="spellStart"/>
      <w:r w:rsidRPr="00DF2FF7">
        <w:rPr>
          <w:rFonts w:ascii="Times New Roman" w:hAnsi="Times New Roman"/>
          <w:b/>
          <w:szCs w:val="24"/>
        </w:rPr>
        <w:t>hexahidroxifarnesol</w:t>
      </w:r>
      <w:proofErr w:type="spellEnd"/>
      <w:r w:rsidRPr="00DF2FF7">
        <w:rPr>
          <w:rFonts w:ascii="Times New Roman" w:hAnsi="Times New Roman"/>
          <w:b/>
          <w:szCs w:val="24"/>
        </w:rPr>
        <w:t xml:space="preserve">" </w:t>
      </w:r>
    </w:p>
    <w:p w:rsidR="00ED2960" w:rsidRPr="00C01760" w:rsidRDefault="00ED2960" w:rsidP="008159F0">
      <w:pPr>
        <w:spacing w:before="240"/>
        <w:jc w:val="both"/>
        <w:rPr>
          <w:rFonts w:ascii="Times New Roman" w:hAnsi="Times New Roman"/>
          <w:szCs w:val="24"/>
        </w:rPr>
      </w:pPr>
      <w:r w:rsidRPr="00C01760">
        <w:rPr>
          <w:rFonts w:ascii="Times New Roman" w:hAnsi="Times New Roman"/>
          <w:szCs w:val="24"/>
        </w:rPr>
        <w:tab/>
        <w:t xml:space="preserve">O método ASTM D7974 foi incluído na especificação SIP em substituição ao X001, que estava em processo de homologação pela ASTM à época de publicação da Resolução ANP </w:t>
      </w:r>
      <w:r>
        <w:rPr>
          <w:rFonts w:ascii="Times New Roman" w:hAnsi="Times New Roman"/>
          <w:szCs w:val="24"/>
        </w:rPr>
        <w:t xml:space="preserve">                     </w:t>
      </w:r>
      <w:r w:rsidRPr="00C01760">
        <w:rPr>
          <w:rFonts w:ascii="Times New Roman" w:hAnsi="Times New Roman"/>
          <w:szCs w:val="24"/>
        </w:rPr>
        <w:t xml:space="preserve">nº 63/2014. </w:t>
      </w:r>
    </w:p>
    <w:p w:rsidR="00ED2960" w:rsidRPr="00C01760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Pr="00DF2FF7">
        <w:rPr>
          <w:rFonts w:ascii="Times New Roman" w:hAnsi="Times New Roman"/>
          <w:b/>
          <w:szCs w:val="24"/>
        </w:rPr>
        <w:t>.2.2 Inclusão do método ASTM D5453 como de referência para a característica "enxofre"</w:t>
      </w:r>
    </w:p>
    <w:p w:rsidR="00ED2960" w:rsidRPr="00C01760" w:rsidRDefault="00ED2960" w:rsidP="008159F0">
      <w:pPr>
        <w:spacing w:before="240"/>
        <w:jc w:val="both"/>
        <w:rPr>
          <w:rFonts w:ascii="Times New Roman" w:hAnsi="Times New Roman"/>
          <w:szCs w:val="24"/>
        </w:rPr>
      </w:pPr>
      <w:r w:rsidRPr="00C01760">
        <w:rPr>
          <w:rFonts w:ascii="Times New Roman" w:hAnsi="Times New Roman"/>
          <w:szCs w:val="24"/>
        </w:rPr>
        <w:tab/>
        <w:t>Em</w:t>
      </w:r>
      <w:r>
        <w:rPr>
          <w:rFonts w:ascii="Times New Roman" w:hAnsi="Times New Roman"/>
          <w:szCs w:val="24"/>
        </w:rPr>
        <w:t xml:space="preserve"> revisão recente da A</w:t>
      </w:r>
      <w:r w:rsidRPr="00105567">
        <w:rPr>
          <w:rFonts w:ascii="Times New Roman" w:hAnsi="Times New Roman"/>
          <w:szCs w:val="24"/>
        </w:rPr>
        <w:t>STM D7566</w:t>
      </w:r>
      <w:r>
        <w:rPr>
          <w:rFonts w:ascii="Times New Roman" w:hAnsi="Times New Roman"/>
          <w:szCs w:val="24"/>
        </w:rPr>
        <w:t>, o método ASTM D5453 foi incluído como de referência para o ensaio em questão.</w:t>
      </w:r>
    </w:p>
    <w:p w:rsidR="00ED2960" w:rsidRPr="00DF2FF7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Pr="00DF2FF7">
        <w:rPr>
          <w:rFonts w:ascii="Times New Roman" w:hAnsi="Times New Roman"/>
          <w:b/>
          <w:szCs w:val="24"/>
        </w:rPr>
        <w:t>.2.3 Inclusão do método ASTM D7111 para a característica "metais"</w:t>
      </w:r>
    </w:p>
    <w:p w:rsidR="00ED2960" w:rsidRDefault="00ED2960" w:rsidP="008159F0">
      <w:pPr>
        <w:spacing w:before="240"/>
        <w:jc w:val="both"/>
        <w:rPr>
          <w:rFonts w:ascii="Times New Roman" w:hAnsi="Times New Roman"/>
          <w:szCs w:val="24"/>
        </w:rPr>
      </w:pPr>
      <w:r w:rsidRPr="00C0176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Em revisão recente da A</w:t>
      </w:r>
      <w:r w:rsidRPr="00105567">
        <w:rPr>
          <w:rFonts w:ascii="Times New Roman" w:hAnsi="Times New Roman"/>
          <w:szCs w:val="24"/>
        </w:rPr>
        <w:t>STM D7566</w:t>
      </w:r>
      <w:r>
        <w:rPr>
          <w:rFonts w:ascii="Times New Roman" w:hAnsi="Times New Roman"/>
          <w:szCs w:val="24"/>
        </w:rPr>
        <w:t>, o método ASTM D7111 foi incluído para o ensaio de metais também para o SIP.</w:t>
      </w:r>
    </w:p>
    <w:p w:rsidR="00ED2960" w:rsidRPr="00DF2FF7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Pr="00DF2FF7">
        <w:rPr>
          <w:rFonts w:ascii="Times New Roman" w:hAnsi="Times New Roman"/>
          <w:b/>
          <w:szCs w:val="24"/>
        </w:rPr>
        <w:t xml:space="preserve">.2.4 Exclusão da característica "destilação simulada" </w:t>
      </w:r>
    </w:p>
    <w:p w:rsidR="00ED2960" w:rsidRPr="00C01760" w:rsidRDefault="00ED2960" w:rsidP="008159F0">
      <w:pPr>
        <w:spacing w:before="240"/>
        <w:jc w:val="both"/>
        <w:rPr>
          <w:rFonts w:ascii="Times New Roman" w:hAnsi="Times New Roman"/>
          <w:szCs w:val="24"/>
        </w:rPr>
      </w:pPr>
      <w:r w:rsidRPr="00C01760">
        <w:rPr>
          <w:rFonts w:ascii="Times New Roman" w:hAnsi="Times New Roman"/>
          <w:szCs w:val="24"/>
        </w:rPr>
        <w:tab/>
        <w:t>A ASTM</w:t>
      </w:r>
      <w:r>
        <w:rPr>
          <w:rFonts w:ascii="Times New Roman" w:hAnsi="Times New Roman"/>
          <w:szCs w:val="24"/>
        </w:rPr>
        <w:t xml:space="preserve"> D7566 não prevê o ensaio de destilação simulada para o querosene de aviação alternativo SIP. Dessa forma, propõe-se a retirada de tal parâmetro da especificação.</w:t>
      </w:r>
    </w:p>
    <w:p w:rsidR="00ED2960" w:rsidRPr="00DF2FF7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Pr="00DF2FF7">
        <w:rPr>
          <w:rFonts w:ascii="Times New Roman" w:hAnsi="Times New Roman"/>
          <w:b/>
          <w:szCs w:val="24"/>
        </w:rPr>
        <w:t>.2.5 Inclusão da característica "depósito no tubo" pelo método metrológico ITR e ETR da ASTM D3241 e exclusão da nota (6) da tabela de especificação</w:t>
      </w:r>
    </w:p>
    <w:p w:rsidR="00ED2960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C01760">
        <w:rPr>
          <w:rFonts w:ascii="Times New Roman" w:hAnsi="Times New Roman"/>
          <w:color w:val="000000"/>
          <w:szCs w:val="24"/>
        </w:rPr>
        <w:t xml:space="preserve">Assim como na especificação do SPK-FT e SPK-HEFA, foram permitidas também para o SIP duas diferentes metodologias constantes da norma ASTM D3241: o método visual, com limite máximo de 3 unidades de medida ou o método metrológico ITR/ETR, com limite máximo de 85 unidades de medida, considerando o método ETR como de referência. </w:t>
      </w:r>
    </w:p>
    <w:p w:rsidR="00ED2960" w:rsidRPr="00DF2FF7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Pr="00DF2FF7">
        <w:rPr>
          <w:rFonts w:ascii="Times New Roman" w:hAnsi="Times New Roman"/>
          <w:b/>
          <w:szCs w:val="24"/>
        </w:rPr>
        <w:t>.2.6 Inclusão do método ASTM D4809 como de referência para a característica "entalpia de combustão"</w:t>
      </w:r>
    </w:p>
    <w:p w:rsidR="00ED2960" w:rsidRPr="00C01760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C01760">
        <w:rPr>
          <w:rFonts w:ascii="Times New Roman" w:hAnsi="Times New Roman"/>
          <w:color w:val="000000"/>
          <w:szCs w:val="24"/>
        </w:rPr>
        <w:t>Em revisão recente da ASTM D7566, o método ASTM D4809 foi incluído como de referência para a característica entalpia de combustão.</w:t>
      </w:r>
    </w:p>
    <w:p w:rsidR="00ED2960" w:rsidRPr="00140656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Pr="00140656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>3</w:t>
      </w:r>
      <w:r w:rsidRPr="00140656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Inclusão da</w:t>
      </w:r>
      <w:r w:rsidRPr="00140656">
        <w:rPr>
          <w:rFonts w:ascii="Times New Roman" w:hAnsi="Times New Roman"/>
          <w:b/>
          <w:szCs w:val="24"/>
        </w:rPr>
        <w:t xml:space="preserve"> especificação do Querosene de Aviação Alternativo </w:t>
      </w:r>
      <w:r>
        <w:rPr>
          <w:rFonts w:ascii="Times New Roman" w:hAnsi="Times New Roman"/>
          <w:b/>
          <w:szCs w:val="24"/>
        </w:rPr>
        <w:t>SPK/A</w:t>
      </w:r>
      <w:r w:rsidRPr="00140656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 SPK-ATJ</w:t>
      </w:r>
    </w:p>
    <w:p w:rsidR="00ED2960" w:rsidRPr="00C01760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C01760">
        <w:rPr>
          <w:rFonts w:ascii="Times New Roman" w:hAnsi="Times New Roman"/>
          <w:color w:val="000000"/>
          <w:szCs w:val="24"/>
        </w:rPr>
        <w:t>Foram incluídas no regulamento técnico, as tabelas de especificação dos recentes querosenes de aviação alternativos aprovados pela ASTM.</w:t>
      </w:r>
    </w:p>
    <w:p w:rsidR="00ED2960" w:rsidRPr="00140656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Pr="00140656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>4</w:t>
      </w:r>
      <w:r w:rsidRPr="00140656">
        <w:rPr>
          <w:rFonts w:ascii="Times New Roman" w:hAnsi="Times New Roman"/>
          <w:b/>
          <w:szCs w:val="24"/>
        </w:rPr>
        <w:t xml:space="preserve"> Alterações na especificação</w:t>
      </w:r>
      <w:r>
        <w:rPr>
          <w:rFonts w:ascii="Times New Roman" w:hAnsi="Times New Roman"/>
          <w:b/>
          <w:szCs w:val="24"/>
        </w:rPr>
        <w:t xml:space="preserve"> complementar</w:t>
      </w:r>
      <w:r w:rsidRPr="00140656">
        <w:rPr>
          <w:rFonts w:ascii="Times New Roman" w:hAnsi="Times New Roman"/>
          <w:b/>
          <w:szCs w:val="24"/>
        </w:rPr>
        <w:t xml:space="preserve"> do</w:t>
      </w:r>
      <w:r>
        <w:rPr>
          <w:rFonts w:ascii="Times New Roman" w:hAnsi="Times New Roman"/>
          <w:b/>
          <w:szCs w:val="24"/>
        </w:rPr>
        <w:t xml:space="preserve"> Querosene de A</w:t>
      </w:r>
      <w:r w:rsidRPr="00105567">
        <w:rPr>
          <w:rFonts w:ascii="Times New Roman" w:hAnsi="Times New Roman"/>
          <w:b/>
          <w:szCs w:val="24"/>
        </w:rPr>
        <w:t>viação B (</w:t>
      </w:r>
      <w:r w:rsidR="00435F91">
        <w:rPr>
          <w:rFonts w:ascii="Times New Roman" w:hAnsi="Times New Roman"/>
          <w:b/>
          <w:szCs w:val="24"/>
        </w:rPr>
        <w:t>QAV-B</w:t>
      </w:r>
      <w:r w:rsidRPr="00105567">
        <w:rPr>
          <w:rFonts w:ascii="Times New Roman" w:hAnsi="Times New Roman"/>
          <w:b/>
          <w:szCs w:val="24"/>
        </w:rPr>
        <w:t>)</w:t>
      </w:r>
    </w:p>
    <w:p w:rsidR="00ED2960" w:rsidRPr="00DF2FF7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Pr="00DF2FF7">
        <w:rPr>
          <w:rFonts w:ascii="Times New Roman" w:hAnsi="Times New Roman"/>
          <w:b/>
          <w:szCs w:val="24"/>
        </w:rPr>
        <w:t>.4.1 Inclusão dos métodos IP156 e IP 436 para a característica "aromáticos"</w:t>
      </w:r>
    </w:p>
    <w:p w:rsidR="00ED2960" w:rsidRPr="00C01760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C01760">
        <w:rPr>
          <w:rFonts w:ascii="Times New Roman" w:hAnsi="Times New Roman"/>
          <w:color w:val="000000"/>
          <w:szCs w:val="24"/>
        </w:rPr>
        <w:t xml:space="preserve">Em revisão recente da ASTM D7566, os métodos descritos acima foram incluídos para o ensaio de </w:t>
      </w:r>
      <w:r>
        <w:rPr>
          <w:rFonts w:ascii="Times New Roman" w:hAnsi="Times New Roman"/>
          <w:color w:val="000000"/>
          <w:szCs w:val="24"/>
        </w:rPr>
        <w:t xml:space="preserve">determinação de </w:t>
      </w:r>
      <w:r w:rsidRPr="00C01760">
        <w:rPr>
          <w:rFonts w:ascii="Times New Roman" w:hAnsi="Times New Roman"/>
          <w:color w:val="000000"/>
          <w:szCs w:val="24"/>
        </w:rPr>
        <w:t>aromáticos.</w:t>
      </w:r>
    </w:p>
    <w:p w:rsidR="00ED2960" w:rsidRPr="00DF2FF7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5.</w:t>
      </w:r>
      <w:r w:rsidRPr="00DF2FF7">
        <w:rPr>
          <w:rFonts w:ascii="Times New Roman" w:hAnsi="Times New Roman"/>
          <w:b/>
          <w:szCs w:val="24"/>
        </w:rPr>
        <w:t xml:space="preserve">4.2 Inclusão dos métodos IP123, ASTM D2887 e IP406 para a característica "destilação" </w:t>
      </w:r>
    </w:p>
    <w:p w:rsidR="00055D9B" w:rsidRDefault="00055D9B" w:rsidP="00055D9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C01760">
        <w:rPr>
          <w:rFonts w:ascii="Times New Roman" w:hAnsi="Times New Roman"/>
          <w:color w:val="000000"/>
          <w:szCs w:val="24"/>
        </w:rPr>
        <w:t xml:space="preserve">Em revisão recente da ASTM D7566, </w:t>
      </w:r>
      <w:r>
        <w:rPr>
          <w:rFonts w:ascii="Times New Roman" w:hAnsi="Times New Roman"/>
          <w:color w:val="000000"/>
          <w:szCs w:val="24"/>
        </w:rPr>
        <w:t>as</w:t>
      </w:r>
      <w:r w:rsidRPr="00C01760">
        <w:rPr>
          <w:rFonts w:ascii="Times New Roman" w:hAnsi="Times New Roman"/>
          <w:color w:val="000000"/>
          <w:szCs w:val="24"/>
        </w:rPr>
        <w:t xml:space="preserve"> normas</w:t>
      </w:r>
      <w:r>
        <w:rPr>
          <w:rFonts w:ascii="Times New Roman" w:hAnsi="Times New Roman"/>
          <w:color w:val="000000"/>
          <w:szCs w:val="24"/>
        </w:rPr>
        <w:t xml:space="preserve"> em referência</w:t>
      </w:r>
      <w:r w:rsidRPr="00C01760">
        <w:rPr>
          <w:rFonts w:ascii="Times New Roman" w:hAnsi="Times New Roman"/>
          <w:color w:val="000000"/>
          <w:szCs w:val="24"/>
        </w:rPr>
        <w:t xml:space="preserve"> foram incluídas para o ensaio de destilação na tabela de requisitos adicionais para certificação do QAV</w:t>
      </w:r>
      <w:r>
        <w:rPr>
          <w:rFonts w:ascii="Times New Roman" w:hAnsi="Times New Roman"/>
          <w:color w:val="000000"/>
          <w:szCs w:val="24"/>
        </w:rPr>
        <w:t>-</w:t>
      </w:r>
      <w:r w:rsidRPr="00C01760">
        <w:rPr>
          <w:rFonts w:ascii="Times New Roman" w:hAnsi="Times New Roman"/>
          <w:color w:val="000000"/>
          <w:szCs w:val="24"/>
        </w:rPr>
        <w:t xml:space="preserve">B. </w:t>
      </w:r>
    </w:p>
    <w:p w:rsidR="00055D9B" w:rsidRPr="00C01760" w:rsidRDefault="00055D9B" w:rsidP="00055D9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Cs w:val="24"/>
        </w:rPr>
      </w:pPr>
    </w:p>
    <w:p w:rsidR="00055D9B" w:rsidRPr="00C01760" w:rsidRDefault="00055D9B" w:rsidP="00055D9B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01760">
        <w:rPr>
          <w:rFonts w:ascii="Times New Roman" w:hAnsi="Times New Roman"/>
          <w:color w:val="000000"/>
          <w:szCs w:val="24"/>
        </w:rPr>
        <w:t>O método IP123 possui a mesma nota</w:t>
      </w:r>
      <w:r>
        <w:rPr>
          <w:rFonts w:ascii="Times New Roman" w:hAnsi="Times New Roman"/>
          <w:color w:val="000000"/>
          <w:szCs w:val="24"/>
        </w:rPr>
        <w:t xml:space="preserve"> (9)</w:t>
      </w:r>
      <w:r w:rsidRPr="00C01760">
        <w:rPr>
          <w:rFonts w:ascii="Times New Roman" w:hAnsi="Times New Roman"/>
          <w:color w:val="000000"/>
          <w:szCs w:val="24"/>
        </w:rPr>
        <w:t xml:space="preserve"> explicativa trazida para a ASTM D86</w:t>
      </w:r>
      <w:r>
        <w:rPr>
          <w:rFonts w:ascii="Times New Roman" w:hAnsi="Times New Roman"/>
          <w:color w:val="000000"/>
          <w:szCs w:val="24"/>
        </w:rPr>
        <w:t xml:space="preserve">, conforme citado no item 5.1.1. </w:t>
      </w:r>
      <w:proofErr w:type="gramStart"/>
      <w:r>
        <w:rPr>
          <w:rFonts w:ascii="Times New Roman" w:hAnsi="Times New Roman"/>
          <w:color w:val="000000"/>
          <w:szCs w:val="24"/>
        </w:rPr>
        <w:t>desta</w:t>
      </w:r>
      <w:proofErr w:type="gramEnd"/>
      <w:r>
        <w:rPr>
          <w:rFonts w:ascii="Times New Roman" w:hAnsi="Times New Roman"/>
          <w:color w:val="000000"/>
          <w:szCs w:val="24"/>
        </w:rPr>
        <w:t xml:space="preserve"> Nota Técnica.</w:t>
      </w:r>
      <w:r w:rsidRPr="00C01760">
        <w:rPr>
          <w:rFonts w:ascii="Times New Roman" w:hAnsi="Times New Roman"/>
          <w:color w:val="000000"/>
          <w:szCs w:val="24"/>
        </w:rPr>
        <w:t xml:space="preserve"> </w:t>
      </w:r>
    </w:p>
    <w:p w:rsidR="00055D9B" w:rsidRPr="00EA6E6D" w:rsidRDefault="00055D9B" w:rsidP="00055D9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4"/>
        </w:rPr>
      </w:pPr>
      <w:r w:rsidRPr="00C01760">
        <w:rPr>
          <w:rFonts w:ascii="Times New Roman" w:hAnsi="Times New Roman"/>
          <w:color w:val="000000"/>
          <w:szCs w:val="24"/>
        </w:rPr>
        <w:t>Para o uso das normas ASTM D2887</w:t>
      </w:r>
      <w:r>
        <w:rPr>
          <w:rFonts w:ascii="Times New Roman" w:hAnsi="Times New Roman"/>
          <w:color w:val="000000"/>
          <w:szCs w:val="24"/>
        </w:rPr>
        <w:t>, D7345</w:t>
      </w:r>
      <w:r w:rsidRPr="00C01760">
        <w:rPr>
          <w:rFonts w:ascii="Times New Roman" w:hAnsi="Times New Roman"/>
          <w:color w:val="000000"/>
          <w:szCs w:val="24"/>
        </w:rPr>
        <w:t xml:space="preserve"> ou IP 406 há a necessidade de conversão dos resultados obtidos em resultados estimados pela D86 ou IP 123. Assim, propõe-se a inclusão da seguinte nota explicativa:</w:t>
      </w:r>
    </w:p>
    <w:p w:rsidR="00ED2960" w:rsidRPr="00EA6E6D" w:rsidRDefault="00055D9B" w:rsidP="00055D9B">
      <w:pPr>
        <w:pStyle w:val="SemEspaamento"/>
        <w:spacing w:before="240"/>
        <w:ind w:left="2124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>
        <w:rPr>
          <w:rFonts w:ascii="Times New Roman" w:hAnsi="Times New Roman"/>
          <w:i/>
          <w:sz w:val="22"/>
          <w:szCs w:val="22"/>
        </w:rPr>
        <w:t xml:space="preserve">(10) </w:t>
      </w:r>
      <w:r w:rsidRPr="001A3484">
        <w:rPr>
          <w:rFonts w:ascii="Times New Roman" w:hAnsi="Times New Roman"/>
          <w:i/>
          <w:sz w:val="22"/>
          <w:szCs w:val="22"/>
        </w:rPr>
        <w:t>Os</w:t>
      </w:r>
      <w:proofErr w:type="gramEnd"/>
      <w:r w:rsidRPr="001A3484">
        <w:rPr>
          <w:rFonts w:ascii="Times New Roman" w:hAnsi="Times New Roman"/>
          <w:i/>
          <w:sz w:val="22"/>
          <w:szCs w:val="22"/>
        </w:rPr>
        <w:t xml:space="preserve"> resultados obtidos pela ASTM D2887, D7345 ou IP 406 devem ser corrigidos</w:t>
      </w:r>
      <w:r>
        <w:rPr>
          <w:rFonts w:ascii="Times New Roman" w:hAnsi="Times New Roman"/>
          <w:i/>
          <w:sz w:val="22"/>
          <w:szCs w:val="22"/>
        </w:rPr>
        <w:t xml:space="preserve"> de acordo com a norma ASTM D86</w:t>
      </w:r>
      <w:r w:rsidRPr="00EA6E6D">
        <w:rPr>
          <w:rFonts w:ascii="Times New Roman" w:hAnsi="Times New Roman"/>
          <w:i/>
          <w:sz w:val="22"/>
          <w:szCs w:val="22"/>
        </w:rPr>
        <w:t>.</w:t>
      </w:r>
    </w:p>
    <w:p w:rsidR="00ED2960" w:rsidRPr="00DF2FF7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Pr="00DF2FF7">
        <w:rPr>
          <w:rFonts w:ascii="Times New Roman" w:hAnsi="Times New Roman"/>
          <w:b/>
          <w:szCs w:val="24"/>
        </w:rPr>
        <w:t xml:space="preserve">.4.3 </w:t>
      </w:r>
      <w:r>
        <w:rPr>
          <w:rFonts w:ascii="Times New Roman" w:hAnsi="Times New Roman"/>
          <w:b/>
          <w:szCs w:val="24"/>
        </w:rPr>
        <w:t>Alteração n</w:t>
      </w:r>
      <w:r w:rsidRPr="00DF2FF7">
        <w:rPr>
          <w:rFonts w:ascii="Times New Roman" w:hAnsi="Times New Roman"/>
          <w:b/>
          <w:szCs w:val="24"/>
        </w:rPr>
        <w:t>a característica "viscosidade a -40°C"</w:t>
      </w:r>
      <w:r>
        <w:rPr>
          <w:rFonts w:ascii="Times New Roman" w:hAnsi="Times New Roman"/>
          <w:b/>
          <w:szCs w:val="24"/>
        </w:rPr>
        <w:t xml:space="preserve"> e i</w:t>
      </w:r>
      <w:r w:rsidRPr="00DF2FF7">
        <w:rPr>
          <w:rFonts w:ascii="Times New Roman" w:hAnsi="Times New Roman"/>
          <w:b/>
          <w:szCs w:val="24"/>
        </w:rPr>
        <w:t xml:space="preserve">nclusão do método ASTM D7945 </w:t>
      </w:r>
    </w:p>
    <w:p w:rsidR="00ED2960" w:rsidRPr="00C01760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C01760">
        <w:rPr>
          <w:rFonts w:ascii="Times New Roman" w:hAnsi="Times New Roman"/>
          <w:color w:val="000000"/>
          <w:szCs w:val="24"/>
        </w:rPr>
        <w:t>Em revisão recente da ASTM D7566, o método descrito acima foi incluído para o ensaio de viscosidade a -40°C.</w:t>
      </w:r>
      <w:r>
        <w:rPr>
          <w:rFonts w:ascii="Times New Roman" w:hAnsi="Times New Roman"/>
          <w:color w:val="000000"/>
          <w:szCs w:val="24"/>
        </w:rPr>
        <w:t xml:space="preserve"> Além disso, nas últimas revisões, o parâmetro passou a ser aplicado ao </w:t>
      </w:r>
      <w:r w:rsidR="00435F91">
        <w:rPr>
          <w:rFonts w:ascii="Times New Roman" w:hAnsi="Times New Roman"/>
          <w:color w:val="000000"/>
          <w:szCs w:val="24"/>
        </w:rPr>
        <w:t>QAV-B</w:t>
      </w:r>
      <w:r w:rsidRPr="00335A6C">
        <w:rPr>
          <w:rFonts w:ascii="Times New Roman" w:hAnsi="Times New Roman"/>
          <w:color w:val="000000"/>
          <w:szCs w:val="24"/>
        </w:rPr>
        <w:t xml:space="preserve"> formulado a partir dos querosenes de aviação alternativos ATJ, com percentual superior a 30%, HEFA-SPK, além do SIP. </w:t>
      </w:r>
    </w:p>
    <w:p w:rsidR="00ED2960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335A6C">
        <w:rPr>
          <w:rFonts w:ascii="Times New Roman" w:hAnsi="Times New Roman"/>
          <w:color w:val="000000"/>
          <w:szCs w:val="24"/>
        </w:rPr>
        <w:t>Para as normas ASTM D445 e IP 71, o ensaio deve ser realizado a partir da Seção 1 das referidas normas</w:t>
      </w:r>
      <w:r>
        <w:rPr>
          <w:rFonts w:ascii="Times New Roman" w:hAnsi="Times New Roman"/>
          <w:color w:val="000000"/>
          <w:szCs w:val="24"/>
        </w:rPr>
        <w:t>.</w:t>
      </w:r>
    </w:p>
    <w:p w:rsidR="004B3341" w:rsidRPr="00C01760" w:rsidRDefault="004B3341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</w:p>
    <w:p w:rsidR="00ED2960" w:rsidRPr="00EE0F22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</w:t>
      </w:r>
      <w:r w:rsidRPr="0023315B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 xml:space="preserve"> REGULAMENTO TÉCNICO DA RESOLUÇÃO ANP Nº </w:t>
      </w:r>
      <w:r w:rsidRPr="00177970">
        <w:rPr>
          <w:rFonts w:ascii="Times New Roman" w:hAnsi="Times New Roman"/>
          <w:b/>
          <w:szCs w:val="24"/>
        </w:rPr>
        <w:t>37/2009</w:t>
      </w:r>
    </w:p>
    <w:p w:rsidR="00ED2960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EE0F22">
        <w:rPr>
          <w:rFonts w:ascii="Times New Roman" w:hAnsi="Times New Roman"/>
          <w:color w:val="000000"/>
          <w:szCs w:val="24"/>
        </w:rPr>
        <w:t>O regulamento técnico foi alterado com o objetivo de atualizar a especificação brasileira do Querosene de Aviação (QAV-1) às recentes revisões da norma ASTM D1655</w:t>
      </w:r>
      <w:r>
        <w:rPr>
          <w:rFonts w:ascii="Times New Roman" w:hAnsi="Times New Roman"/>
          <w:color w:val="000000"/>
          <w:szCs w:val="24"/>
        </w:rPr>
        <w:t xml:space="preserve"> e DF STAN 91-91</w:t>
      </w:r>
      <w:r w:rsidRPr="00EE0F22">
        <w:rPr>
          <w:rFonts w:ascii="Times New Roman" w:hAnsi="Times New Roman"/>
          <w:color w:val="000000"/>
          <w:szCs w:val="24"/>
        </w:rPr>
        <w:t>.</w:t>
      </w:r>
    </w:p>
    <w:p w:rsidR="00ED2960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Na última revisão da ASTM D1655, ficou permitida, na produção do Q</w:t>
      </w:r>
      <w:r w:rsidRPr="00B86318">
        <w:rPr>
          <w:rFonts w:ascii="Times New Roman" w:hAnsi="Times New Roman"/>
          <w:color w:val="000000"/>
          <w:szCs w:val="24"/>
        </w:rPr>
        <w:t>AV-1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Pr="00B86318">
        <w:rPr>
          <w:rFonts w:ascii="Times New Roman" w:hAnsi="Times New Roman"/>
          <w:color w:val="000000"/>
          <w:szCs w:val="24"/>
        </w:rPr>
        <w:t xml:space="preserve">o </w:t>
      </w:r>
      <w:proofErr w:type="spellStart"/>
      <w:r w:rsidRPr="00B86318">
        <w:rPr>
          <w:rFonts w:ascii="Times New Roman" w:hAnsi="Times New Roman"/>
          <w:color w:val="000000"/>
          <w:szCs w:val="24"/>
        </w:rPr>
        <w:t>co-processamento</w:t>
      </w:r>
      <w:proofErr w:type="spellEnd"/>
      <w:r w:rsidRPr="00B86318">
        <w:rPr>
          <w:rFonts w:ascii="Times New Roman" w:hAnsi="Times New Roman"/>
          <w:color w:val="000000"/>
          <w:szCs w:val="24"/>
        </w:rPr>
        <w:t xml:space="preserve"> de matéria-prima convencional com até 5% (cinco por cento) em volume de mono</w:t>
      </w:r>
      <w:r w:rsidR="003351F0">
        <w:rPr>
          <w:rFonts w:ascii="Times New Roman" w:hAnsi="Times New Roman"/>
          <w:color w:val="000000"/>
          <w:szCs w:val="24"/>
        </w:rPr>
        <w:t>-</w:t>
      </w:r>
      <w:r w:rsidRPr="00B8631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B86318">
        <w:rPr>
          <w:rFonts w:ascii="Times New Roman" w:hAnsi="Times New Roman"/>
          <w:color w:val="000000"/>
          <w:szCs w:val="24"/>
        </w:rPr>
        <w:t>di</w:t>
      </w:r>
      <w:proofErr w:type="spellEnd"/>
      <w:r w:rsidRPr="00B86318">
        <w:rPr>
          <w:rFonts w:ascii="Times New Roman" w:hAnsi="Times New Roman"/>
          <w:color w:val="000000"/>
          <w:szCs w:val="24"/>
        </w:rPr>
        <w:t>-</w:t>
      </w:r>
      <w:r w:rsidR="003351F0">
        <w:rPr>
          <w:rFonts w:ascii="Times New Roman" w:hAnsi="Times New Roman"/>
          <w:color w:val="000000"/>
          <w:szCs w:val="24"/>
        </w:rPr>
        <w:t xml:space="preserve"> e</w:t>
      </w:r>
      <w:r w:rsidRPr="00B86318">
        <w:rPr>
          <w:rFonts w:ascii="Times New Roman" w:hAnsi="Times New Roman"/>
          <w:color w:val="000000"/>
          <w:szCs w:val="24"/>
        </w:rPr>
        <w:t xml:space="preserve"> triglicerídeos, ácidos graxos livres e ésteres de ácidos graxos</w:t>
      </w:r>
      <w:r w:rsidR="003351F0">
        <w:rPr>
          <w:rFonts w:ascii="Times New Roman" w:hAnsi="Times New Roman"/>
          <w:color w:val="000000"/>
          <w:szCs w:val="24"/>
        </w:rPr>
        <w:t>. Assim, a ANP acrescentou ess</w:t>
      </w:r>
      <w:r>
        <w:rPr>
          <w:rFonts w:ascii="Times New Roman" w:hAnsi="Times New Roman"/>
          <w:color w:val="000000"/>
          <w:szCs w:val="24"/>
        </w:rPr>
        <w:t xml:space="preserve">a possibilidade para o QAV-1, desde que </w:t>
      </w:r>
      <w:r w:rsidRPr="00B86318">
        <w:rPr>
          <w:rFonts w:ascii="Times New Roman" w:hAnsi="Times New Roman"/>
          <w:color w:val="000000"/>
          <w:szCs w:val="24"/>
        </w:rPr>
        <w:t xml:space="preserve">o </w:t>
      </w:r>
      <w:r>
        <w:rPr>
          <w:rFonts w:ascii="Times New Roman" w:hAnsi="Times New Roman"/>
          <w:color w:val="000000"/>
          <w:szCs w:val="24"/>
        </w:rPr>
        <w:t>combustível</w:t>
      </w:r>
      <w:r w:rsidRPr="00B86318">
        <w:rPr>
          <w:rFonts w:ascii="Times New Roman" w:hAnsi="Times New Roman"/>
          <w:color w:val="000000"/>
          <w:szCs w:val="24"/>
        </w:rPr>
        <w:t xml:space="preserve"> resultante atend</w:t>
      </w:r>
      <w:r>
        <w:rPr>
          <w:rFonts w:ascii="Times New Roman" w:hAnsi="Times New Roman"/>
          <w:color w:val="000000"/>
          <w:szCs w:val="24"/>
        </w:rPr>
        <w:t>a</w:t>
      </w:r>
      <w:r w:rsidRPr="00B86318">
        <w:rPr>
          <w:rFonts w:ascii="Times New Roman" w:hAnsi="Times New Roman"/>
          <w:color w:val="000000"/>
          <w:szCs w:val="24"/>
        </w:rPr>
        <w:t xml:space="preserve"> aos limites especificados </w:t>
      </w:r>
      <w:r>
        <w:rPr>
          <w:rFonts w:ascii="Times New Roman" w:hAnsi="Times New Roman"/>
          <w:color w:val="000000"/>
          <w:szCs w:val="24"/>
        </w:rPr>
        <w:t>para o QAV-1</w:t>
      </w:r>
      <w:r w:rsidRPr="00B86318">
        <w:rPr>
          <w:rFonts w:ascii="Times New Roman" w:hAnsi="Times New Roman"/>
          <w:color w:val="000000"/>
          <w:szCs w:val="24"/>
        </w:rPr>
        <w:t xml:space="preserve"> e</w:t>
      </w:r>
      <w:r>
        <w:rPr>
          <w:rFonts w:ascii="Times New Roman" w:hAnsi="Times New Roman"/>
          <w:color w:val="000000"/>
          <w:szCs w:val="24"/>
        </w:rPr>
        <w:t xml:space="preserve"> ainda aos requisitos adicionais determinados pela ASTM, apresentados na</w:t>
      </w:r>
      <w:r w:rsidRPr="00B86318">
        <w:rPr>
          <w:rFonts w:ascii="Times New Roman" w:hAnsi="Times New Roman"/>
          <w:color w:val="000000"/>
          <w:szCs w:val="24"/>
        </w:rPr>
        <w:t xml:space="preserve"> Tabela III do Regulamento Técnico ANP, parte integrante d</w:t>
      </w:r>
      <w:r>
        <w:rPr>
          <w:rFonts w:ascii="Times New Roman" w:hAnsi="Times New Roman"/>
          <w:color w:val="000000"/>
          <w:szCs w:val="24"/>
        </w:rPr>
        <w:t>a minuta de</w:t>
      </w:r>
      <w:r w:rsidRPr="00B86318">
        <w:rPr>
          <w:rFonts w:ascii="Times New Roman" w:hAnsi="Times New Roman"/>
          <w:color w:val="000000"/>
          <w:szCs w:val="24"/>
        </w:rPr>
        <w:t xml:space="preserve"> Resolução.  </w:t>
      </w:r>
    </w:p>
    <w:p w:rsidR="00ED2960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Antes de apresentar as alterações propostas no regulamento, destaca-se que se sugere manter os parâmetros "partículas contaminantes" e "componentes na expedição da refinaria produtora", que constam da atual especificação brasileira e da DF STAN-9191, contudo não estão presentes na ASTM D1655.  </w:t>
      </w:r>
    </w:p>
    <w:p w:rsidR="00ED2960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O parâmetro "partículas contaminantes" faz-se necessário na realidade brasileira, uma vez que o transporte de QAV nem sempre se dá por dutos dedicados. Sendo assim, possíveis contaminações ao longo do transporte podem ocorrer, carecendo da preocupação da Agência com o monitoramento desse parâmetro na cadeia de distribuição do QAV-1.</w:t>
      </w:r>
    </w:p>
    <w:p w:rsidR="00ED2960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4"/>
        </w:rPr>
        <w:t xml:space="preserve">As frações hidroprocessadas e severamente hidroprocessadas, constantes do parâmetro "componentes na expedição da refinaria produtora" são importantes para direcionamento do ensaio de Lubricidade </w:t>
      </w:r>
      <w:proofErr w:type="spellStart"/>
      <w:r>
        <w:rPr>
          <w:rFonts w:ascii="Times New Roman" w:hAnsi="Times New Roman"/>
          <w:color w:val="000000"/>
          <w:szCs w:val="24"/>
        </w:rPr>
        <w:t>Bocle</w:t>
      </w:r>
      <w:proofErr w:type="spellEnd"/>
      <w:r>
        <w:rPr>
          <w:rFonts w:ascii="Times New Roman" w:hAnsi="Times New Roman"/>
          <w:color w:val="000000"/>
          <w:szCs w:val="24"/>
        </w:rPr>
        <w:t>. Assim, sugere-se mantê-las para que a lubricidade não necessite ser realizada em todas as bateladas, mas, sim, nos casos em que o QAV-1 contenha 95% de fração hidroprocessada, sendo que</w:t>
      </w:r>
      <w:r w:rsidR="003351F0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desta, no mínimo 20% fo</w:t>
      </w:r>
      <w:r w:rsidR="003351F0">
        <w:rPr>
          <w:rFonts w:ascii="Times New Roman" w:hAnsi="Times New Roman"/>
          <w:color w:val="000000"/>
          <w:szCs w:val="24"/>
        </w:rPr>
        <w:t>ram</w:t>
      </w:r>
      <w:r>
        <w:rPr>
          <w:rFonts w:ascii="Times New Roman" w:hAnsi="Times New Roman"/>
          <w:color w:val="000000"/>
          <w:szCs w:val="24"/>
        </w:rPr>
        <w:t xml:space="preserve"> severamente hidroprocessada</w:t>
      </w:r>
      <w:r w:rsidR="003351F0">
        <w:rPr>
          <w:rFonts w:ascii="Times New Roman" w:hAnsi="Times New Roman"/>
          <w:color w:val="000000"/>
          <w:szCs w:val="24"/>
        </w:rPr>
        <w:t>s</w:t>
      </w:r>
      <w:r>
        <w:rPr>
          <w:rStyle w:val="Refdenotaderodap"/>
          <w:rFonts w:ascii="Times New Roman" w:hAnsi="Times New Roman"/>
          <w:color w:val="000000"/>
          <w:szCs w:val="24"/>
        </w:rPr>
        <w:footnoteReference w:id="7"/>
      </w:r>
      <w:r>
        <w:rPr>
          <w:rFonts w:ascii="Times New Roman" w:hAnsi="Times New Roman"/>
          <w:color w:val="000000"/>
          <w:szCs w:val="24"/>
        </w:rPr>
        <w:t xml:space="preserve">. </w:t>
      </w:r>
      <w:proofErr w:type="gramStart"/>
      <w:r>
        <w:rPr>
          <w:rFonts w:ascii="Times New Roman" w:hAnsi="Times New Roman"/>
        </w:rPr>
        <w:t>Tal  informação</w:t>
      </w:r>
      <w:proofErr w:type="gramEnd"/>
      <w:r>
        <w:rPr>
          <w:rFonts w:ascii="Times New Roman" w:hAnsi="Times New Roman"/>
        </w:rPr>
        <w:t xml:space="preserve"> deverá ser prestada pelo produtor.</w:t>
      </w:r>
    </w:p>
    <w:p w:rsidR="00ED2960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 seguir as sugestões de alteração no atual regulamento serão apresentadas.</w:t>
      </w:r>
    </w:p>
    <w:p w:rsidR="00ED2960" w:rsidRPr="00EE0F22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</w:t>
      </w:r>
      <w:r w:rsidRPr="00EE0F22">
        <w:rPr>
          <w:rFonts w:ascii="Times New Roman" w:hAnsi="Times New Roman"/>
          <w:b/>
          <w:szCs w:val="24"/>
        </w:rPr>
        <w:t xml:space="preserve">.1 Ajustes na característica "aspecto" </w:t>
      </w:r>
    </w:p>
    <w:p w:rsidR="00ED2960" w:rsidRPr="00EE0F22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szCs w:val="24"/>
        </w:rPr>
      </w:pPr>
      <w:r w:rsidRPr="00C01760">
        <w:rPr>
          <w:rFonts w:ascii="Times New Roman" w:hAnsi="Times New Roman"/>
          <w:color w:val="000000"/>
          <w:szCs w:val="24"/>
        </w:rPr>
        <w:t>Propõe-se à inclusão da norma ABNT NBR 14954, equivalente à ASTM D4176.</w:t>
      </w:r>
      <w:r w:rsidRPr="00EE0F22">
        <w:rPr>
          <w:rFonts w:ascii="Times New Roman" w:hAnsi="Times New Roman"/>
          <w:szCs w:val="24"/>
        </w:rPr>
        <w:t xml:space="preserve"> </w:t>
      </w:r>
    </w:p>
    <w:p w:rsidR="00ED2960" w:rsidRPr="00EE0F22" w:rsidRDefault="00ED2960" w:rsidP="004B3341">
      <w:pPr>
        <w:spacing w:before="24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</w:t>
      </w:r>
      <w:r w:rsidRPr="00EE0F22">
        <w:rPr>
          <w:rFonts w:ascii="Times New Roman" w:hAnsi="Times New Roman"/>
          <w:b/>
          <w:szCs w:val="24"/>
        </w:rPr>
        <w:t>.2 Inclusão da ASTM D2276, IP 423 e IP 216 para a característica "partículas contaminantes"</w:t>
      </w:r>
    </w:p>
    <w:p w:rsidR="00ED2960" w:rsidRPr="00C01760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C01760">
        <w:rPr>
          <w:rFonts w:ascii="Times New Roman" w:hAnsi="Times New Roman"/>
          <w:color w:val="000000"/>
          <w:szCs w:val="24"/>
        </w:rPr>
        <w:t xml:space="preserve">Em revisão recente da ASTM D1655, tais métodos foram incluídos para o ensaio de partículas contaminantes. </w:t>
      </w:r>
    </w:p>
    <w:p w:rsidR="00ED2960" w:rsidRPr="00EE0F22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</w:t>
      </w:r>
      <w:r w:rsidRPr="00EE0F22">
        <w:rPr>
          <w:rFonts w:ascii="Times New Roman" w:hAnsi="Times New Roman"/>
          <w:b/>
          <w:szCs w:val="24"/>
        </w:rPr>
        <w:t xml:space="preserve">.3 </w:t>
      </w:r>
      <w:r>
        <w:rPr>
          <w:rFonts w:ascii="Times New Roman" w:hAnsi="Times New Roman"/>
          <w:b/>
          <w:szCs w:val="24"/>
        </w:rPr>
        <w:t xml:space="preserve">Inclusão do método IP </w:t>
      </w:r>
      <w:r w:rsidRPr="00EE0F22">
        <w:rPr>
          <w:rFonts w:ascii="Times New Roman" w:hAnsi="Times New Roman"/>
          <w:b/>
          <w:szCs w:val="24"/>
        </w:rPr>
        <w:t>para a característica "acidez total</w:t>
      </w:r>
      <w:r>
        <w:rPr>
          <w:rFonts w:ascii="Times New Roman" w:hAnsi="Times New Roman"/>
          <w:b/>
          <w:szCs w:val="24"/>
        </w:rPr>
        <w:t>"</w:t>
      </w:r>
    </w:p>
    <w:p w:rsidR="00ED2960" w:rsidRPr="00C01760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C01760">
        <w:rPr>
          <w:rFonts w:ascii="Times New Roman" w:hAnsi="Times New Roman"/>
          <w:color w:val="000000"/>
          <w:szCs w:val="24"/>
        </w:rPr>
        <w:t>Em revisão recente da ASTM D1655, o método IP 354 foi incluído.</w:t>
      </w:r>
    </w:p>
    <w:p w:rsidR="00ED2960" w:rsidRPr="00C01760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</w:t>
      </w:r>
      <w:r w:rsidRPr="00EE0F22">
        <w:rPr>
          <w:rFonts w:ascii="Times New Roman" w:hAnsi="Times New Roman"/>
          <w:b/>
          <w:szCs w:val="24"/>
        </w:rPr>
        <w:t>.4 Ajuste na característica "aromáticos" e inclusão dos métodos IP 156 e IP 436</w:t>
      </w:r>
      <w:r w:rsidRPr="00C01760">
        <w:rPr>
          <w:rFonts w:ascii="Times New Roman" w:hAnsi="Times New Roman"/>
          <w:b/>
          <w:szCs w:val="24"/>
        </w:rPr>
        <w:tab/>
      </w:r>
    </w:p>
    <w:p w:rsidR="00ED2960" w:rsidRPr="00C01760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C01760">
        <w:rPr>
          <w:rFonts w:ascii="Times New Roman" w:hAnsi="Times New Roman"/>
          <w:color w:val="000000"/>
          <w:szCs w:val="24"/>
        </w:rPr>
        <w:t>Os parâmetros "aromáticos" e "aromáticos totais" da Resolução ANP n° 37/2009 foram substituídos simplesmente pelo parâmetro "aromáticos", sendo adicionada a seguinte nota explicativa:</w:t>
      </w:r>
    </w:p>
    <w:p w:rsidR="00ED2960" w:rsidRPr="00CB2536" w:rsidRDefault="00055D9B" w:rsidP="008159F0">
      <w:pPr>
        <w:pStyle w:val="SemEspaamento"/>
        <w:spacing w:before="240"/>
        <w:ind w:left="2124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>
        <w:rPr>
          <w:rFonts w:ascii="Times New Roman" w:hAnsi="Times New Roman"/>
          <w:i/>
          <w:sz w:val="22"/>
          <w:szCs w:val="22"/>
        </w:rPr>
        <w:t>(31)</w:t>
      </w:r>
      <w:r w:rsidR="00ED2960" w:rsidRPr="00CB2536">
        <w:rPr>
          <w:rFonts w:ascii="Times New Roman" w:hAnsi="Times New Roman"/>
          <w:i/>
          <w:sz w:val="22"/>
          <w:szCs w:val="22"/>
        </w:rPr>
        <w:t xml:space="preserve"> Atender</w:t>
      </w:r>
      <w:proofErr w:type="gramEnd"/>
      <w:r w:rsidR="00ED2960" w:rsidRPr="00CB2536">
        <w:rPr>
          <w:rFonts w:ascii="Times New Roman" w:hAnsi="Times New Roman"/>
          <w:i/>
          <w:sz w:val="22"/>
          <w:szCs w:val="22"/>
        </w:rPr>
        <w:t xml:space="preserve"> um dos dois limites vinculados aos métodos indicados. Em caso de disputa, a norma ASTM D1319 deve ser considerada de referência para o ensaio de aromáticos.</w:t>
      </w:r>
    </w:p>
    <w:p w:rsidR="00ED2960" w:rsidRPr="00EE0F22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szCs w:val="24"/>
        </w:rPr>
      </w:pPr>
      <w:r w:rsidRPr="00C01760">
        <w:rPr>
          <w:rFonts w:ascii="Times New Roman" w:hAnsi="Times New Roman"/>
          <w:color w:val="000000"/>
          <w:szCs w:val="24"/>
        </w:rPr>
        <w:t>Em revisão recente da ASTM D1655, os métodos IP 156 e IP 436 foram incluídos.</w:t>
      </w:r>
    </w:p>
    <w:p w:rsidR="00ED2960" w:rsidRPr="00EE0F22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</w:t>
      </w:r>
      <w:r w:rsidRPr="00EE0F22">
        <w:rPr>
          <w:rFonts w:ascii="Times New Roman" w:hAnsi="Times New Roman"/>
          <w:b/>
          <w:szCs w:val="24"/>
        </w:rPr>
        <w:t>.5 Inclusão da norma IP 336</w:t>
      </w:r>
      <w:r>
        <w:rPr>
          <w:rFonts w:ascii="Times New Roman" w:hAnsi="Times New Roman"/>
          <w:b/>
          <w:szCs w:val="24"/>
        </w:rPr>
        <w:t xml:space="preserve"> e exclusão da norma ABNT NBR 6563</w:t>
      </w:r>
      <w:r w:rsidRPr="00EE0F22">
        <w:rPr>
          <w:rFonts w:ascii="Times New Roman" w:hAnsi="Times New Roman"/>
          <w:b/>
          <w:szCs w:val="24"/>
        </w:rPr>
        <w:t xml:space="preserve"> para a característica "enxofre total"</w:t>
      </w:r>
    </w:p>
    <w:p w:rsidR="00ED2960" w:rsidRPr="00C01760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C01760">
        <w:rPr>
          <w:rFonts w:ascii="Times New Roman" w:hAnsi="Times New Roman"/>
          <w:color w:val="000000"/>
          <w:szCs w:val="24"/>
        </w:rPr>
        <w:t>Em revisão recente da ASTM D1655,</w:t>
      </w:r>
      <w:r>
        <w:rPr>
          <w:rFonts w:ascii="Times New Roman" w:hAnsi="Times New Roman"/>
          <w:color w:val="000000"/>
          <w:szCs w:val="24"/>
        </w:rPr>
        <w:t xml:space="preserve"> o</w:t>
      </w:r>
      <w:r w:rsidRPr="00C01760">
        <w:rPr>
          <w:rFonts w:ascii="Times New Roman" w:hAnsi="Times New Roman"/>
          <w:color w:val="000000"/>
          <w:szCs w:val="24"/>
        </w:rPr>
        <w:t xml:space="preserve"> método </w:t>
      </w:r>
      <w:r>
        <w:rPr>
          <w:rFonts w:ascii="Times New Roman" w:hAnsi="Times New Roman"/>
          <w:color w:val="000000"/>
          <w:szCs w:val="24"/>
        </w:rPr>
        <w:t xml:space="preserve">IP 336 </w:t>
      </w:r>
      <w:r w:rsidRPr="00C01760">
        <w:rPr>
          <w:rFonts w:ascii="Times New Roman" w:hAnsi="Times New Roman"/>
          <w:color w:val="000000"/>
          <w:szCs w:val="24"/>
        </w:rPr>
        <w:t>foi incluído para o ensaio de enxofre total</w:t>
      </w:r>
      <w:r>
        <w:rPr>
          <w:rFonts w:ascii="Times New Roman" w:hAnsi="Times New Roman"/>
          <w:color w:val="000000"/>
          <w:szCs w:val="24"/>
        </w:rPr>
        <w:t>. Além disso, a norma NBR 6563 foi cancelada pela ABNT</w:t>
      </w:r>
      <w:r w:rsidRPr="00C01760">
        <w:rPr>
          <w:rFonts w:ascii="Times New Roman" w:hAnsi="Times New Roman"/>
          <w:color w:val="000000"/>
          <w:szCs w:val="24"/>
        </w:rPr>
        <w:t>.</w:t>
      </w:r>
    </w:p>
    <w:p w:rsidR="00ED2960" w:rsidRPr="00EE0F22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</w:t>
      </w:r>
      <w:r w:rsidRPr="00EE0F22">
        <w:rPr>
          <w:rFonts w:ascii="Times New Roman" w:hAnsi="Times New Roman"/>
          <w:b/>
          <w:szCs w:val="24"/>
        </w:rPr>
        <w:t xml:space="preserve">.6 Inclusão de nota para os parâmetros "enxofre </w:t>
      </w:r>
      <w:proofErr w:type="spellStart"/>
      <w:r w:rsidRPr="00EE0F22">
        <w:rPr>
          <w:rFonts w:ascii="Times New Roman" w:hAnsi="Times New Roman"/>
          <w:b/>
          <w:szCs w:val="24"/>
        </w:rPr>
        <w:t>mercaptídico</w:t>
      </w:r>
      <w:proofErr w:type="spellEnd"/>
      <w:r w:rsidRPr="00EE0F22">
        <w:rPr>
          <w:rFonts w:ascii="Times New Roman" w:hAnsi="Times New Roman"/>
          <w:b/>
          <w:szCs w:val="24"/>
        </w:rPr>
        <w:t xml:space="preserve">" e "ensaio </w:t>
      </w:r>
      <w:proofErr w:type="spellStart"/>
      <w:r w:rsidRPr="00EE0F22">
        <w:rPr>
          <w:rFonts w:ascii="Times New Roman" w:hAnsi="Times New Roman"/>
          <w:b/>
          <w:szCs w:val="24"/>
        </w:rPr>
        <w:t>doctor</w:t>
      </w:r>
      <w:proofErr w:type="spellEnd"/>
      <w:r w:rsidRPr="00EE0F22">
        <w:rPr>
          <w:rFonts w:ascii="Times New Roman" w:hAnsi="Times New Roman"/>
          <w:b/>
          <w:szCs w:val="24"/>
        </w:rPr>
        <w:t>"</w:t>
      </w:r>
      <w:r>
        <w:rPr>
          <w:rFonts w:ascii="Times New Roman" w:hAnsi="Times New Roman"/>
          <w:b/>
          <w:szCs w:val="24"/>
        </w:rPr>
        <w:t>,</w:t>
      </w:r>
      <w:r w:rsidRPr="00EE0F22">
        <w:rPr>
          <w:rFonts w:ascii="Times New Roman" w:hAnsi="Times New Roman"/>
          <w:b/>
          <w:szCs w:val="24"/>
        </w:rPr>
        <w:t xml:space="preserve"> inclusão da norma IP 342</w:t>
      </w:r>
      <w:r>
        <w:rPr>
          <w:rFonts w:ascii="Times New Roman" w:hAnsi="Times New Roman"/>
          <w:b/>
          <w:szCs w:val="24"/>
        </w:rPr>
        <w:t xml:space="preserve"> e substituição da ABNT NBR 14642 pela NBR 5275</w:t>
      </w:r>
    </w:p>
    <w:p w:rsidR="00ED2960" w:rsidRPr="00C01760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C01760">
        <w:rPr>
          <w:rFonts w:ascii="Times New Roman" w:hAnsi="Times New Roman"/>
          <w:color w:val="000000"/>
          <w:szCs w:val="24"/>
        </w:rPr>
        <w:t xml:space="preserve">De forma a deixar claro que é necessário realizar apenas um dos ensaios: enxofre </w:t>
      </w:r>
      <w:proofErr w:type="spellStart"/>
      <w:r w:rsidRPr="00C01760">
        <w:rPr>
          <w:rFonts w:ascii="Times New Roman" w:hAnsi="Times New Roman"/>
          <w:color w:val="000000"/>
          <w:szCs w:val="24"/>
        </w:rPr>
        <w:t>mercaptídico</w:t>
      </w:r>
      <w:proofErr w:type="spellEnd"/>
      <w:r w:rsidRPr="00C01760">
        <w:rPr>
          <w:rFonts w:ascii="Times New Roman" w:hAnsi="Times New Roman"/>
          <w:color w:val="000000"/>
          <w:szCs w:val="24"/>
        </w:rPr>
        <w:t xml:space="preserve"> ou ensaio </w:t>
      </w:r>
      <w:proofErr w:type="spellStart"/>
      <w:r w:rsidRPr="00C01760">
        <w:rPr>
          <w:rFonts w:ascii="Times New Roman" w:hAnsi="Times New Roman"/>
          <w:color w:val="000000"/>
          <w:szCs w:val="24"/>
        </w:rPr>
        <w:t>doctor</w:t>
      </w:r>
      <w:proofErr w:type="spellEnd"/>
      <w:r w:rsidRPr="00C01760">
        <w:rPr>
          <w:rFonts w:ascii="Times New Roman" w:hAnsi="Times New Roman"/>
          <w:color w:val="000000"/>
          <w:szCs w:val="24"/>
        </w:rPr>
        <w:t>, a seguinte nota foi incluída:</w:t>
      </w:r>
    </w:p>
    <w:p w:rsidR="00ED2960" w:rsidRPr="0002294B" w:rsidRDefault="00055D9B" w:rsidP="008159F0">
      <w:pPr>
        <w:pStyle w:val="SemEspaamento"/>
        <w:spacing w:before="240"/>
        <w:ind w:left="2124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>
        <w:rPr>
          <w:rFonts w:ascii="Times New Roman" w:hAnsi="Times New Roman"/>
          <w:i/>
          <w:sz w:val="22"/>
          <w:szCs w:val="22"/>
        </w:rPr>
        <w:t>(6)</w:t>
      </w:r>
      <w:r w:rsidR="00ED2960" w:rsidRPr="0002294B">
        <w:rPr>
          <w:rFonts w:ascii="Times New Roman" w:hAnsi="Times New Roman"/>
          <w:i/>
          <w:sz w:val="22"/>
          <w:szCs w:val="22"/>
        </w:rPr>
        <w:t xml:space="preserve"> É</w:t>
      </w:r>
      <w:proofErr w:type="gramEnd"/>
      <w:r w:rsidR="00ED2960" w:rsidRPr="0002294B">
        <w:rPr>
          <w:rFonts w:ascii="Times New Roman" w:hAnsi="Times New Roman"/>
          <w:i/>
          <w:sz w:val="22"/>
          <w:szCs w:val="22"/>
        </w:rPr>
        <w:t xml:space="preserve"> necessária a realização de apenas uma característica: Enxofre </w:t>
      </w:r>
      <w:proofErr w:type="spellStart"/>
      <w:r w:rsidR="00ED2960" w:rsidRPr="0002294B">
        <w:rPr>
          <w:rFonts w:ascii="Times New Roman" w:hAnsi="Times New Roman"/>
          <w:i/>
          <w:sz w:val="22"/>
          <w:szCs w:val="22"/>
        </w:rPr>
        <w:t>mercaptídico</w:t>
      </w:r>
      <w:proofErr w:type="spellEnd"/>
      <w:r w:rsidR="00ED2960" w:rsidRPr="0002294B">
        <w:rPr>
          <w:rFonts w:ascii="Times New Roman" w:hAnsi="Times New Roman"/>
          <w:i/>
          <w:sz w:val="22"/>
          <w:szCs w:val="22"/>
        </w:rPr>
        <w:t xml:space="preserve"> ou Ensaio </w:t>
      </w:r>
      <w:proofErr w:type="spellStart"/>
      <w:r w:rsidR="00ED2960" w:rsidRPr="0002294B">
        <w:rPr>
          <w:rFonts w:ascii="Times New Roman" w:hAnsi="Times New Roman"/>
          <w:i/>
          <w:sz w:val="22"/>
          <w:szCs w:val="22"/>
        </w:rPr>
        <w:t>Doctor</w:t>
      </w:r>
      <w:proofErr w:type="spellEnd"/>
      <w:r w:rsidR="00ED2960" w:rsidRPr="0002294B">
        <w:rPr>
          <w:rFonts w:ascii="Times New Roman" w:hAnsi="Times New Roman"/>
          <w:i/>
          <w:sz w:val="22"/>
          <w:szCs w:val="22"/>
        </w:rPr>
        <w:t xml:space="preserve">. </w:t>
      </w:r>
    </w:p>
    <w:p w:rsidR="00ED2960" w:rsidRPr="00CB2536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CB2536">
        <w:rPr>
          <w:rFonts w:ascii="Times New Roman" w:hAnsi="Times New Roman"/>
          <w:color w:val="000000"/>
          <w:szCs w:val="24"/>
        </w:rPr>
        <w:t xml:space="preserve">Em revisão recente da ASTM D1655, a norma IP 342 foi incluída para o ensaio de enxofre </w:t>
      </w:r>
      <w:proofErr w:type="spellStart"/>
      <w:r w:rsidRPr="00CB2536">
        <w:rPr>
          <w:rFonts w:ascii="Times New Roman" w:hAnsi="Times New Roman"/>
          <w:color w:val="000000"/>
          <w:szCs w:val="24"/>
        </w:rPr>
        <w:t>mercaptídico</w:t>
      </w:r>
      <w:proofErr w:type="spellEnd"/>
      <w:r w:rsidRPr="00CB2536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Além disso, a ABNT substituiu em 2010 a NBR 14642 pela NBR 5275.</w:t>
      </w:r>
    </w:p>
    <w:p w:rsidR="00ED2960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</w:t>
      </w:r>
      <w:r w:rsidRPr="00EE0F22">
        <w:rPr>
          <w:rFonts w:ascii="Times New Roman" w:hAnsi="Times New Roman"/>
          <w:b/>
          <w:szCs w:val="24"/>
        </w:rPr>
        <w:t xml:space="preserve">.7 </w:t>
      </w:r>
      <w:r>
        <w:rPr>
          <w:rFonts w:ascii="Times New Roman" w:hAnsi="Times New Roman"/>
          <w:b/>
          <w:szCs w:val="24"/>
        </w:rPr>
        <w:t xml:space="preserve">Ajuste no </w:t>
      </w:r>
      <w:r w:rsidRPr="00EE0F22">
        <w:rPr>
          <w:rFonts w:ascii="Times New Roman" w:hAnsi="Times New Roman"/>
          <w:b/>
          <w:szCs w:val="24"/>
        </w:rPr>
        <w:t>parâmetro "destilação"</w:t>
      </w:r>
      <w:r>
        <w:rPr>
          <w:rFonts w:ascii="Times New Roman" w:hAnsi="Times New Roman"/>
          <w:b/>
          <w:szCs w:val="24"/>
        </w:rPr>
        <w:t xml:space="preserve"> e i</w:t>
      </w:r>
      <w:r w:rsidRPr="00EE0F22">
        <w:rPr>
          <w:rFonts w:ascii="Times New Roman" w:hAnsi="Times New Roman"/>
          <w:b/>
          <w:szCs w:val="24"/>
        </w:rPr>
        <w:t xml:space="preserve">nclusão das normas ASTM D2887, ASTM </w:t>
      </w:r>
      <w:r>
        <w:rPr>
          <w:rFonts w:ascii="Times New Roman" w:hAnsi="Times New Roman"/>
          <w:b/>
          <w:szCs w:val="24"/>
        </w:rPr>
        <w:t xml:space="preserve">D 7344, </w:t>
      </w:r>
      <w:r w:rsidRPr="00EE0F22">
        <w:rPr>
          <w:rFonts w:ascii="Times New Roman" w:hAnsi="Times New Roman"/>
          <w:b/>
          <w:szCs w:val="24"/>
        </w:rPr>
        <w:t xml:space="preserve">ASTM D7345, IP 406 e IP 123  </w:t>
      </w:r>
    </w:p>
    <w:p w:rsidR="00ED2960" w:rsidRPr="00CB2536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CB2536">
        <w:rPr>
          <w:rFonts w:ascii="Times New Roman" w:hAnsi="Times New Roman"/>
          <w:color w:val="000000"/>
          <w:szCs w:val="24"/>
        </w:rPr>
        <w:t>Em revisão recente da ASTM D1655, as normas citadas acima foram incluídas. Destaca-se que algumas observações foram adicionadas para o uso da ASTM D2887 e IP 406:</w:t>
      </w:r>
    </w:p>
    <w:p w:rsidR="00ED2960" w:rsidRPr="00055D9B" w:rsidRDefault="00055D9B" w:rsidP="00055D9B">
      <w:pPr>
        <w:pStyle w:val="SemEspaamento"/>
        <w:spacing w:before="240"/>
        <w:ind w:left="2124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06328D">
        <w:rPr>
          <w:rFonts w:ascii="Times New Roman" w:hAnsi="Times New Roman"/>
          <w:i/>
          <w:sz w:val="22"/>
          <w:szCs w:val="22"/>
        </w:rPr>
        <w:t>(10) Os</w:t>
      </w:r>
      <w:proofErr w:type="gramEnd"/>
      <w:r w:rsidRPr="0006328D">
        <w:rPr>
          <w:rFonts w:ascii="Times New Roman" w:hAnsi="Times New Roman"/>
          <w:i/>
          <w:sz w:val="22"/>
          <w:szCs w:val="22"/>
        </w:rPr>
        <w:t xml:space="preserve"> resultados obtidos pela ASTM D2887, D7345 ou IP 406 devem ser corrigidos de acordo com a norma ASTM D86</w:t>
      </w:r>
      <w:r>
        <w:rPr>
          <w:rFonts w:ascii="Times New Roman" w:hAnsi="Times New Roman"/>
          <w:i/>
          <w:sz w:val="22"/>
          <w:szCs w:val="22"/>
        </w:rPr>
        <w:t>.</w:t>
      </w:r>
    </w:p>
    <w:p w:rsidR="00ED2960" w:rsidRPr="00A968F1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szCs w:val="24"/>
        </w:rPr>
      </w:pPr>
      <w:r w:rsidRPr="008159F0">
        <w:rPr>
          <w:rFonts w:ascii="Times New Roman" w:hAnsi="Times New Roman"/>
          <w:color w:val="000000"/>
          <w:szCs w:val="24"/>
        </w:rPr>
        <w:t>Para o parâmetro perda, foi incluída nota indicando que os resultados de destilação não devem ser considerados válidos para perda superior a 1,5%, devendo o ensaio ser repetido</w:t>
      </w:r>
      <w:r>
        <w:rPr>
          <w:rFonts w:ascii="Times New Roman" w:hAnsi="Times New Roman"/>
          <w:szCs w:val="24"/>
        </w:rPr>
        <w:t xml:space="preserve">. </w:t>
      </w:r>
    </w:p>
    <w:p w:rsidR="00ED2960" w:rsidRPr="00EE0F22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</w:t>
      </w:r>
      <w:r w:rsidRPr="00EE0F22">
        <w:rPr>
          <w:rFonts w:ascii="Times New Roman" w:hAnsi="Times New Roman"/>
          <w:b/>
          <w:szCs w:val="24"/>
        </w:rPr>
        <w:t>.8 Ajuste na característica "ponto de fulgor" e inclusão dos métodos ASTM D93, ASTM D3828, IP 170 e IP 523</w:t>
      </w:r>
    </w:p>
    <w:p w:rsidR="00ED2960" w:rsidRDefault="003351F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Para dar mais clareza a ess</w:t>
      </w:r>
      <w:r w:rsidR="00ED2960" w:rsidRPr="008159F0">
        <w:rPr>
          <w:rFonts w:ascii="Times New Roman" w:hAnsi="Times New Roman"/>
          <w:color w:val="000000"/>
          <w:szCs w:val="24"/>
        </w:rPr>
        <w:t>a característica, assim como foi justificado no item 4.1.2, propõe-se manter apenas o limite de 38°C e indicar, nos casos de disputa, que a ASTM D56 deve ser considerada a norma de referência.</w:t>
      </w:r>
    </w:p>
    <w:p w:rsidR="008159F0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</w:t>
      </w:r>
      <w:r w:rsidRPr="006F3D93">
        <w:rPr>
          <w:rFonts w:ascii="Times New Roman" w:hAnsi="Times New Roman"/>
          <w:b/>
          <w:szCs w:val="24"/>
        </w:rPr>
        <w:t>.9 Inclusão dos métodos IP 160 e IP 365</w:t>
      </w:r>
    </w:p>
    <w:p w:rsidR="00ED2960" w:rsidRPr="008159F0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b/>
          <w:szCs w:val="24"/>
        </w:rPr>
      </w:pPr>
      <w:r w:rsidRPr="006F3D93">
        <w:rPr>
          <w:rFonts w:ascii="Times New Roman" w:hAnsi="Times New Roman"/>
          <w:color w:val="000000"/>
          <w:szCs w:val="24"/>
        </w:rPr>
        <w:t>A</w:t>
      </w:r>
      <w:r w:rsidRPr="008159F0">
        <w:rPr>
          <w:rFonts w:ascii="Times New Roman" w:hAnsi="Times New Roman"/>
          <w:color w:val="000000"/>
          <w:szCs w:val="24"/>
        </w:rPr>
        <w:t xml:space="preserve"> ASTM D1655 incluiu as normas IP 160 e IP 365 para o parâmetro em questão.</w:t>
      </w:r>
    </w:p>
    <w:p w:rsidR="00ED2960" w:rsidRPr="00EE0F22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6.10</w:t>
      </w:r>
      <w:r w:rsidRPr="00EE0F22">
        <w:rPr>
          <w:rFonts w:ascii="Times New Roman" w:hAnsi="Times New Roman"/>
          <w:b/>
          <w:szCs w:val="24"/>
        </w:rPr>
        <w:t xml:space="preserve"> Inclusão das normas IP 16, IP 435, IP 529 e IP 528 para o parâmetro "ponto de congelamento" </w:t>
      </w:r>
    </w:p>
    <w:p w:rsidR="00ED2960" w:rsidRPr="00CB2536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CB2536">
        <w:rPr>
          <w:rFonts w:ascii="Times New Roman" w:hAnsi="Times New Roman"/>
          <w:color w:val="000000"/>
          <w:szCs w:val="24"/>
        </w:rPr>
        <w:t>Em revisão recente da ASTM D1655, as normas citadas acima foram incluídas, deixando a ASTM D2386 como de referência.</w:t>
      </w:r>
    </w:p>
    <w:p w:rsidR="00ED2960" w:rsidRPr="00EE0F22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6.11 </w:t>
      </w:r>
      <w:r w:rsidRPr="00EE0F22">
        <w:rPr>
          <w:rFonts w:ascii="Times New Roman" w:hAnsi="Times New Roman"/>
          <w:b/>
          <w:szCs w:val="24"/>
        </w:rPr>
        <w:t>Inclusão das normas ASTM D7042, ASTM D7945 e IP 71 para o parâmetro "viscosidade a -20</w:t>
      </w:r>
      <w:r>
        <w:rPr>
          <w:rFonts w:ascii="Times New Roman" w:hAnsi="Times New Roman"/>
          <w:b/>
          <w:szCs w:val="24"/>
        </w:rPr>
        <w:t xml:space="preserve"> </w:t>
      </w:r>
      <w:r w:rsidRPr="00EE0F22">
        <w:rPr>
          <w:rFonts w:ascii="Times New Roman" w:hAnsi="Times New Roman"/>
          <w:b/>
          <w:szCs w:val="24"/>
        </w:rPr>
        <w:t xml:space="preserve">°C" </w:t>
      </w:r>
    </w:p>
    <w:p w:rsidR="00055D9B" w:rsidRPr="00055D9B" w:rsidRDefault="00055D9B" w:rsidP="00055D9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4"/>
        </w:rPr>
      </w:pPr>
      <w:r w:rsidRPr="00055D9B">
        <w:rPr>
          <w:rFonts w:ascii="Times New Roman" w:hAnsi="Times New Roman"/>
          <w:color w:val="000000"/>
          <w:szCs w:val="24"/>
        </w:rPr>
        <w:t xml:space="preserve">Em revisão recente da ASTM D1655, as normas citadas acima foram incluídas, observando a que </w:t>
      </w:r>
      <w:r w:rsidRPr="00055D9B">
        <w:rPr>
          <w:rFonts w:ascii="Times New Roman" w:hAnsi="Times New Roman"/>
          <w:szCs w:val="24"/>
        </w:rPr>
        <w:t>para a norma IP 71, o ensaio deve ser realizado a partir da Seção 1 da referida norma e para a norma D7042, os resultados devem ser corrigidos de acordo com a norma ASTM D445.</w:t>
      </w:r>
    </w:p>
    <w:p w:rsidR="00ED2960" w:rsidRPr="00EE0F22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6.12</w:t>
      </w:r>
      <w:r w:rsidRPr="00EE0F22">
        <w:rPr>
          <w:rFonts w:ascii="Times New Roman" w:hAnsi="Times New Roman"/>
          <w:b/>
          <w:szCs w:val="24"/>
        </w:rPr>
        <w:t xml:space="preserve"> Inclusão da norma IP 12 para o parâmetro "poder calorífico inferior" </w:t>
      </w:r>
    </w:p>
    <w:p w:rsidR="00ED2960" w:rsidRPr="008159F0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CB2536">
        <w:rPr>
          <w:rFonts w:ascii="Times New Roman" w:hAnsi="Times New Roman"/>
          <w:color w:val="000000"/>
          <w:szCs w:val="24"/>
        </w:rPr>
        <w:t>Em revisão recente da ASTM D1655, a norma citada acima foi incluída.</w:t>
      </w:r>
    </w:p>
    <w:p w:rsidR="00ED2960" w:rsidRPr="00EE0F22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6.13</w:t>
      </w:r>
      <w:r w:rsidRPr="00EE0F22">
        <w:rPr>
          <w:rFonts w:ascii="Times New Roman" w:hAnsi="Times New Roman"/>
          <w:b/>
          <w:szCs w:val="24"/>
        </w:rPr>
        <w:t xml:space="preserve"> Ajuste no parâmetro "ponto de fuligem e naftalenos" e inclusão da norma IP 598 </w:t>
      </w:r>
    </w:p>
    <w:p w:rsidR="00ED2960" w:rsidRPr="00CB2536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CB2536">
        <w:rPr>
          <w:rFonts w:ascii="Times New Roman" w:hAnsi="Times New Roman"/>
          <w:color w:val="000000"/>
          <w:szCs w:val="24"/>
        </w:rPr>
        <w:t xml:space="preserve">Em revisão recente da ASTM D1655, a norma citada acima foi incluída. Além disso, foi acrescentada nota esclarecendo que o limite máximo de 25,0 mm deve ser determinado para o ponto de fuligem. Contudo, alternativamente, pode-se realizar o ensaio de fuligem e </w:t>
      </w:r>
      <w:proofErr w:type="spellStart"/>
      <w:r w:rsidRPr="00CB2536">
        <w:rPr>
          <w:rFonts w:ascii="Times New Roman" w:hAnsi="Times New Roman"/>
          <w:color w:val="000000"/>
          <w:szCs w:val="24"/>
        </w:rPr>
        <w:t>naftênicos</w:t>
      </w:r>
      <w:proofErr w:type="spellEnd"/>
      <w:r w:rsidRPr="00CB2536">
        <w:rPr>
          <w:rFonts w:ascii="Times New Roman" w:hAnsi="Times New Roman"/>
          <w:color w:val="000000"/>
          <w:szCs w:val="24"/>
        </w:rPr>
        <w:t xml:space="preserve"> com os limites máximos de 18,0 mm e 3,0% volume, respectivamente. </w:t>
      </w:r>
    </w:p>
    <w:p w:rsidR="00ED2960" w:rsidRPr="00EE0F22" w:rsidRDefault="00ED2960" w:rsidP="008159F0">
      <w:pPr>
        <w:spacing w:before="24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6.14</w:t>
      </w:r>
      <w:r w:rsidRPr="00EE0F22">
        <w:rPr>
          <w:rFonts w:ascii="Times New Roman" w:hAnsi="Times New Roman"/>
          <w:b/>
          <w:szCs w:val="24"/>
        </w:rPr>
        <w:t xml:space="preserve"> Inclusão da norma IP 154 para o parâmetro "</w:t>
      </w:r>
      <w:proofErr w:type="spellStart"/>
      <w:r w:rsidRPr="00EE0F22">
        <w:rPr>
          <w:rFonts w:ascii="Times New Roman" w:hAnsi="Times New Roman"/>
          <w:b/>
          <w:szCs w:val="24"/>
        </w:rPr>
        <w:t>corrosividade</w:t>
      </w:r>
      <w:proofErr w:type="spellEnd"/>
      <w:r w:rsidRPr="00EE0F22">
        <w:rPr>
          <w:rFonts w:ascii="Times New Roman" w:hAnsi="Times New Roman"/>
          <w:b/>
          <w:szCs w:val="24"/>
        </w:rPr>
        <w:t xml:space="preserve"> ao cobre"</w:t>
      </w:r>
    </w:p>
    <w:p w:rsidR="00ED2960" w:rsidRPr="00CB2536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CB2536">
        <w:rPr>
          <w:rFonts w:ascii="Times New Roman" w:hAnsi="Times New Roman"/>
          <w:color w:val="000000"/>
          <w:szCs w:val="24"/>
        </w:rPr>
        <w:t>Em revisão recente da ASTM D1655, a norma citada acima foi incluída.</w:t>
      </w:r>
    </w:p>
    <w:p w:rsidR="00ED2960" w:rsidRPr="00EE0F22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6.15 </w:t>
      </w:r>
      <w:r w:rsidRPr="00EE0F22">
        <w:rPr>
          <w:rFonts w:ascii="Times New Roman" w:hAnsi="Times New Roman"/>
          <w:b/>
          <w:szCs w:val="24"/>
        </w:rPr>
        <w:t xml:space="preserve">Inclusão da característica "depósito no tubo" pelo método </w:t>
      </w:r>
      <w:r>
        <w:rPr>
          <w:rFonts w:ascii="Times New Roman" w:hAnsi="Times New Roman"/>
          <w:b/>
          <w:szCs w:val="24"/>
        </w:rPr>
        <w:t>instrumental</w:t>
      </w:r>
      <w:r w:rsidRPr="00EE0F22">
        <w:rPr>
          <w:rFonts w:ascii="Times New Roman" w:hAnsi="Times New Roman"/>
          <w:b/>
          <w:szCs w:val="24"/>
        </w:rPr>
        <w:t xml:space="preserve"> ITR e ETR da ASTM D3241</w:t>
      </w:r>
    </w:p>
    <w:p w:rsidR="00055D9B" w:rsidRDefault="00055D9B" w:rsidP="00055D9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Cs w:val="24"/>
        </w:rPr>
      </w:pPr>
    </w:p>
    <w:p w:rsidR="00055D9B" w:rsidRDefault="00055D9B" w:rsidP="00055D9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Conforme já comentado no item 5.1.3, a</w:t>
      </w:r>
      <w:r w:rsidRPr="00CB2536">
        <w:rPr>
          <w:rFonts w:ascii="Times New Roman" w:hAnsi="Times New Roman"/>
          <w:color w:val="000000"/>
          <w:szCs w:val="24"/>
        </w:rPr>
        <w:t xml:space="preserve"> Resolução ANP nº 37/2009 estabelece apenas</w:t>
      </w:r>
      <w:r w:rsidRPr="00EE0F22">
        <w:rPr>
          <w:rFonts w:ascii="Times New Roman" w:hAnsi="Times New Roman"/>
          <w:szCs w:val="24"/>
        </w:rPr>
        <w:t xml:space="preserve"> o método visual (VTR) para o parâmetro depósito no tubo. Contudo, em revisão recente da ASTM D1655</w:t>
      </w:r>
      <w:r>
        <w:rPr>
          <w:rFonts w:ascii="Times New Roman" w:hAnsi="Times New Roman"/>
          <w:szCs w:val="24"/>
        </w:rPr>
        <w:t xml:space="preserve"> e </w:t>
      </w:r>
      <w:proofErr w:type="spellStart"/>
      <w:r w:rsidRPr="00EE0F22">
        <w:rPr>
          <w:rFonts w:ascii="Times New Roman" w:hAnsi="Times New Roman"/>
          <w:i/>
          <w:color w:val="000000"/>
          <w:szCs w:val="24"/>
        </w:rPr>
        <w:t>Defence</w:t>
      </w:r>
      <w:proofErr w:type="spellEnd"/>
      <w:r w:rsidRPr="00EE0F22">
        <w:rPr>
          <w:rFonts w:ascii="Times New Roman" w:hAnsi="Times New Roman"/>
          <w:i/>
          <w:color w:val="000000"/>
          <w:szCs w:val="24"/>
        </w:rPr>
        <w:t xml:space="preserve"> Standard 91-91</w:t>
      </w:r>
      <w:r w:rsidRPr="00EE0F22">
        <w:rPr>
          <w:rFonts w:ascii="Times New Roman" w:hAnsi="Times New Roman"/>
          <w:szCs w:val="24"/>
        </w:rPr>
        <w:t xml:space="preserve">, ficaram permitidas duas diferentes metodologias constantes da norma ASTM D3241: o método visual, com limite máximo de 3 unidades de medida ou o método </w:t>
      </w:r>
      <w:r>
        <w:rPr>
          <w:rFonts w:ascii="Times New Roman" w:hAnsi="Times New Roman"/>
          <w:szCs w:val="24"/>
        </w:rPr>
        <w:t>instrumental</w:t>
      </w:r>
      <w:r w:rsidRPr="00EE0F22">
        <w:rPr>
          <w:rFonts w:ascii="Times New Roman" w:hAnsi="Times New Roman"/>
          <w:szCs w:val="24"/>
        </w:rPr>
        <w:t xml:space="preserve"> ITR/ETR, com limite máximo de 85 unidades de medida, considerando o método ETR como de referência. </w:t>
      </w:r>
      <w:r>
        <w:rPr>
          <w:rFonts w:ascii="Times New Roman" w:hAnsi="Times New Roman"/>
          <w:szCs w:val="24"/>
        </w:rPr>
        <w:t>Dessa forma, foram adicionadas as notas 16, 117 e 18.</w:t>
      </w:r>
    </w:p>
    <w:p w:rsidR="00ED2960" w:rsidRPr="00EE0F22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6.16 </w:t>
      </w:r>
      <w:r w:rsidRPr="00EE0F22">
        <w:rPr>
          <w:rFonts w:ascii="Times New Roman" w:hAnsi="Times New Roman"/>
          <w:b/>
          <w:szCs w:val="24"/>
        </w:rPr>
        <w:t>Inclusão da norma IP 540 para o parâmetro "goma atual" e IP 274 para "condutividade elétrica"</w:t>
      </w:r>
    </w:p>
    <w:p w:rsidR="00ED2960" w:rsidRPr="00CB2536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CB2536">
        <w:rPr>
          <w:rFonts w:ascii="Times New Roman" w:hAnsi="Times New Roman"/>
          <w:color w:val="000000"/>
          <w:szCs w:val="24"/>
        </w:rPr>
        <w:t>Em revisão recente da ASTM D1655, as normas citadas acima foram incluídas.</w:t>
      </w:r>
    </w:p>
    <w:p w:rsidR="00ED2960" w:rsidRPr="00EE0F22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6.17</w:t>
      </w:r>
      <w:r w:rsidRPr="00EE0F22">
        <w:rPr>
          <w:rFonts w:ascii="Times New Roman" w:hAnsi="Times New Roman"/>
          <w:b/>
          <w:szCs w:val="24"/>
        </w:rPr>
        <w:t xml:space="preserve"> Ajuste no parâmetro "inibidor de formação de gelo" </w:t>
      </w:r>
    </w:p>
    <w:p w:rsidR="00ED2960" w:rsidRPr="00CB2536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CB2536">
        <w:rPr>
          <w:rFonts w:ascii="Times New Roman" w:hAnsi="Times New Roman"/>
          <w:color w:val="000000"/>
          <w:szCs w:val="24"/>
        </w:rPr>
        <w:t>A faixa foi ajustada, segundo revisão da ASTM D1655, de 0,1 a 0,15 % volume para 0,07 a 0,15 % volume.</w:t>
      </w:r>
    </w:p>
    <w:p w:rsidR="00ED2960" w:rsidRPr="00EE0F22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6.18</w:t>
      </w:r>
      <w:r w:rsidRPr="00EE0F2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Inclusão da norma ASTM D7224 para o parâmetro "MSEP </w:t>
      </w:r>
      <w:r w:rsidRPr="0018745A">
        <w:rPr>
          <w:rFonts w:ascii="Times New Roman" w:hAnsi="Times New Roman"/>
          <w:b/>
          <w:szCs w:val="24"/>
        </w:rPr>
        <w:t>com dissipador de cargas estáticas</w:t>
      </w:r>
      <w:r>
        <w:rPr>
          <w:rFonts w:ascii="Times New Roman" w:hAnsi="Times New Roman"/>
          <w:b/>
          <w:szCs w:val="24"/>
        </w:rPr>
        <w:t>"</w:t>
      </w:r>
      <w:r w:rsidRPr="0018745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na distribuição e revenda</w:t>
      </w:r>
      <w:r w:rsidRPr="00EE0F22">
        <w:rPr>
          <w:rFonts w:ascii="Times New Roman" w:hAnsi="Times New Roman"/>
          <w:b/>
          <w:szCs w:val="24"/>
        </w:rPr>
        <w:t xml:space="preserve"> </w:t>
      </w:r>
    </w:p>
    <w:p w:rsidR="00ED2960" w:rsidRPr="00A87372" w:rsidRDefault="00ED2960" w:rsidP="008159F0">
      <w:pPr>
        <w:autoSpaceDE w:val="0"/>
        <w:autoSpaceDN w:val="0"/>
        <w:adjustRightInd w:val="0"/>
        <w:spacing w:before="240"/>
        <w:jc w:val="both"/>
        <w:rPr>
          <w:rFonts w:ascii="Helv" w:hAnsi="Helv" w:cs="Helv"/>
          <w:color w:val="000000"/>
          <w:sz w:val="20"/>
        </w:rPr>
      </w:pPr>
      <w:r>
        <w:rPr>
          <w:rFonts w:ascii="Times New Roman" w:hAnsi="Times New Roman"/>
          <w:color w:val="000000"/>
          <w:szCs w:val="24"/>
        </w:rPr>
        <w:tab/>
        <w:t xml:space="preserve">A norma foi incluída na última revisão da ASTM D1655. Tal norma aplica-se apenas à certificação na distribuição e revenda, não se aplicando à produção do QAV-1, segundo posicionamento atual do </w:t>
      </w:r>
      <w:r w:rsidRPr="00626AB5">
        <w:rPr>
          <w:rFonts w:ascii="Times New Roman" w:hAnsi="Times New Roman"/>
          <w:color w:val="000000"/>
          <w:szCs w:val="24"/>
        </w:rPr>
        <w:t xml:space="preserve">Subcomitê de Combustíveis de Aviação: Seção de Combustível de Turbina de Aviação </w:t>
      </w:r>
      <w:r>
        <w:rPr>
          <w:rFonts w:ascii="Times New Roman" w:hAnsi="Times New Roman"/>
          <w:color w:val="000000"/>
          <w:szCs w:val="24"/>
        </w:rPr>
        <w:t>(</w:t>
      </w:r>
      <w:r w:rsidRPr="00626AB5">
        <w:rPr>
          <w:rFonts w:ascii="Times New Roman" w:hAnsi="Times New Roman"/>
          <w:color w:val="000000"/>
          <w:szCs w:val="24"/>
        </w:rPr>
        <w:t>D.02.J.01</w:t>
      </w:r>
      <w:r>
        <w:rPr>
          <w:rFonts w:ascii="Times New Roman" w:hAnsi="Times New Roman"/>
          <w:color w:val="000000"/>
          <w:szCs w:val="24"/>
        </w:rPr>
        <w:t>)</w:t>
      </w:r>
      <w:r w:rsidRPr="00626AB5">
        <w:rPr>
          <w:rFonts w:ascii="Times New Roman" w:hAnsi="Times New Roman"/>
          <w:szCs w:val="24"/>
          <w:vertAlign w:val="superscript"/>
        </w:rPr>
        <w:footnoteReference w:id="8"/>
      </w:r>
      <w:r>
        <w:rPr>
          <w:rFonts w:ascii="Times New Roman" w:hAnsi="Times New Roman"/>
          <w:color w:val="000000"/>
          <w:szCs w:val="24"/>
        </w:rPr>
        <w:t>.</w:t>
      </w:r>
    </w:p>
    <w:p w:rsidR="00ED2960" w:rsidRPr="00EE0F22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6.19</w:t>
      </w:r>
      <w:r w:rsidRPr="00EE0F22">
        <w:rPr>
          <w:rFonts w:ascii="Times New Roman" w:hAnsi="Times New Roman"/>
          <w:b/>
          <w:szCs w:val="24"/>
        </w:rPr>
        <w:t xml:space="preserve"> Inclusão das car</w:t>
      </w:r>
      <w:r>
        <w:rPr>
          <w:rFonts w:ascii="Times New Roman" w:hAnsi="Times New Roman"/>
          <w:b/>
          <w:szCs w:val="24"/>
        </w:rPr>
        <w:t>a</w:t>
      </w:r>
      <w:r w:rsidRPr="00EE0F22">
        <w:rPr>
          <w:rFonts w:ascii="Times New Roman" w:hAnsi="Times New Roman"/>
          <w:b/>
          <w:szCs w:val="24"/>
        </w:rPr>
        <w:t xml:space="preserve">cterísticas complementares: "teor de biodiesel" e "Aditivo redutor de arrasto em dutos (DRA)" </w:t>
      </w:r>
    </w:p>
    <w:p w:rsidR="00055D9B" w:rsidRDefault="00055D9B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Cs w:val="24"/>
        </w:rPr>
        <w:tab/>
      </w:r>
      <w:r w:rsidRPr="00CB2536">
        <w:rPr>
          <w:rFonts w:ascii="Times New Roman" w:hAnsi="Times New Roman"/>
          <w:color w:val="000000"/>
          <w:szCs w:val="24"/>
        </w:rPr>
        <w:t xml:space="preserve">As supracitadas características foram adicionadas </w:t>
      </w:r>
      <w:r>
        <w:rPr>
          <w:rFonts w:ascii="Times New Roman" w:hAnsi="Times New Roman"/>
          <w:color w:val="000000"/>
          <w:szCs w:val="24"/>
        </w:rPr>
        <w:t>à</w:t>
      </w:r>
      <w:r w:rsidRPr="00CB2536">
        <w:rPr>
          <w:rFonts w:ascii="Times New Roman" w:hAnsi="Times New Roman"/>
          <w:color w:val="000000"/>
          <w:szCs w:val="24"/>
        </w:rPr>
        <w:t xml:space="preserve"> especificação do querosene de aviação. No entanto, destaca-se que os limites devem ser garantidos na produção, distribuição e revenda desse produto. Contudo, não precisam </w:t>
      </w:r>
      <w:r w:rsidRPr="008D1343">
        <w:rPr>
          <w:rFonts w:ascii="Times New Roman" w:hAnsi="Times New Roman"/>
          <w:color w:val="000000"/>
          <w:szCs w:val="24"/>
        </w:rPr>
        <w:t>ser realizados para composição do certificado da qualidade, boletim de conformidade ou registro de análise da qualidade. Além dessa observação, para o teor de biodiesel, foi adicionada nota indicando a norma</w:t>
      </w:r>
      <w:r w:rsidRPr="008D1343">
        <w:rPr>
          <w:rFonts w:ascii="Times New Roman" w:hAnsi="Times New Roman"/>
          <w:sz w:val="22"/>
          <w:szCs w:val="22"/>
        </w:rPr>
        <w:t xml:space="preserve"> IP 585 como sendo de referência</w:t>
      </w:r>
      <w:r w:rsidR="004B3341">
        <w:rPr>
          <w:rFonts w:ascii="Times New Roman" w:hAnsi="Times New Roman"/>
          <w:sz w:val="22"/>
          <w:szCs w:val="22"/>
        </w:rPr>
        <w:t>.</w:t>
      </w:r>
    </w:p>
    <w:p w:rsidR="004B3341" w:rsidRDefault="004B3341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sz w:val="22"/>
          <w:szCs w:val="22"/>
        </w:rPr>
      </w:pPr>
    </w:p>
    <w:p w:rsidR="00ED2960" w:rsidRDefault="00ED2960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szCs w:val="24"/>
        </w:rPr>
        <w:t xml:space="preserve">7. </w:t>
      </w:r>
      <w:r w:rsidRPr="006113A9">
        <w:rPr>
          <w:rFonts w:ascii="Times New Roman" w:hAnsi="Times New Roman"/>
          <w:b/>
          <w:szCs w:val="24"/>
        </w:rPr>
        <w:t>A</w:t>
      </w:r>
      <w:r>
        <w:rPr>
          <w:rFonts w:ascii="Times New Roman" w:hAnsi="Times New Roman"/>
          <w:b/>
          <w:szCs w:val="24"/>
        </w:rPr>
        <w:t>JUSTES NAS MASSAS ESPECÍFICAS DO QAV-1, QAV-B E QAV ALTERNATIVOS</w:t>
      </w:r>
    </w:p>
    <w:p w:rsidR="00ED2960" w:rsidRPr="006F3D93" w:rsidRDefault="00ED2960" w:rsidP="008159F0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 w:rsidR="00055D9B" w:rsidRPr="00950415">
        <w:rPr>
          <w:rFonts w:ascii="Times New Roman" w:hAnsi="Times New Roman"/>
          <w:color w:val="000000"/>
          <w:szCs w:val="24"/>
        </w:rPr>
        <w:t>Na ASTM D1655</w:t>
      </w:r>
      <w:r w:rsidR="00055D9B" w:rsidRPr="00950415">
        <w:rPr>
          <w:rFonts w:ascii="Times New Roman" w:hAnsi="Times New Roman"/>
          <w:szCs w:val="24"/>
        </w:rPr>
        <w:t xml:space="preserve">, </w:t>
      </w:r>
      <w:proofErr w:type="spellStart"/>
      <w:r w:rsidR="00055D9B" w:rsidRPr="00950415">
        <w:rPr>
          <w:rFonts w:ascii="Times New Roman" w:hAnsi="Times New Roman"/>
          <w:i/>
          <w:szCs w:val="24"/>
        </w:rPr>
        <w:t>Defence</w:t>
      </w:r>
      <w:proofErr w:type="spellEnd"/>
      <w:r w:rsidR="00055D9B" w:rsidRPr="00950415">
        <w:rPr>
          <w:rFonts w:ascii="Times New Roman" w:hAnsi="Times New Roman"/>
          <w:i/>
          <w:szCs w:val="24"/>
        </w:rPr>
        <w:t xml:space="preserve"> Standard 91-91 </w:t>
      </w:r>
      <w:r w:rsidR="00055D9B" w:rsidRPr="00950415">
        <w:rPr>
          <w:rFonts w:ascii="Times New Roman" w:hAnsi="Times New Roman"/>
          <w:szCs w:val="24"/>
        </w:rPr>
        <w:t xml:space="preserve">e ASTM D7566, a </w:t>
      </w:r>
      <w:proofErr w:type="gramStart"/>
      <w:r w:rsidR="00055D9B" w:rsidRPr="00950415">
        <w:rPr>
          <w:rFonts w:ascii="Times New Roman" w:hAnsi="Times New Roman"/>
          <w:szCs w:val="24"/>
        </w:rPr>
        <w:t>temperatura  de</w:t>
      </w:r>
      <w:proofErr w:type="gramEnd"/>
      <w:r w:rsidR="00055D9B" w:rsidRPr="00950415">
        <w:rPr>
          <w:rFonts w:ascii="Times New Roman" w:hAnsi="Times New Roman"/>
          <w:szCs w:val="24"/>
        </w:rPr>
        <w:t xml:space="preserve"> referência para o ensaio está padronizada a 15</w:t>
      </w:r>
      <w:r w:rsidR="00055D9B">
        <w:rPr>
          <w:rFonts w:ascii="Times New Roman" w:hAnsi="Times New Roman"/>
          <w:szCs w:val="24"/>
        </w:rPr>
        <w:t xml:space="preserve"> </w:t>
      </w:r>
      <w:r w:rsidR="00055D9B" w:rsidRPr="00950415">
        <w:rPr>
          <w:rFonts w:ascii="Times New Roman" w:hAnsi="Times New Roman"/>
          <w:szCs w:val="24"/>
        </w:rPr>
        <w:t xml:space="preserve">°C. </w:t>
      </w:r>
      <w:r w:rsidR="00055D9B">
        <w:rPr>
          <w:rFonts w:ascii="Times New Roman" w:hAnsi="Times New Roman"/>
          <w:szCs w:val="24"/>
        </w:rPr>
        <w:t xml:space="preserve"> Contudo, no Brasil, padroniza-se a temperatura de 20 °C para o ensaio de massa específica dos combustíveis. </w:t>
      </w:r>
      <w:r w:rsidR="00055D9B">
        <w:rPr>
          <w:rFonts w:ascii="Times New Roman" w:hAnsi="Times New Roman"/>
          <w:color w:val="000000"/>
          <w:szCs w:val="24"/>
        </w:rPr>
        <w:t xml:space="preserve">Dessa forma, os limites de massa específica do QAV-1, QAV-B e QAV Alternativos foram ajustadas para a temperatura de </w:t>
      </w:r>
      <w:r w:rsidR="00055D9B">
        <w:rPr>
          <w:rFonts w:ascii="Times New Roman" w:hAnsi="Times New Roman"/>
          <w:color w:val="000000"/>
          <w:szCs w:val="24"/>
        </w:rPr>
        <w:br/>
        <w:t>20 °C, conforme apresentado na tabela a seguir, onde ME = massa específica</w:t>
      </w:r>
      <w:r>
        <w:rPr>
          <w:rFonts w:ascii="Times New Roman" w:hAnsi="Times New Roman"/>
          <w:color w:val="000000"/>
          <w:szCs w:val="24"/>
        </w:rPr>
        <w:t>.</w:t>
      </w:r>
    </w:p>
    <w:p w:rsidR="00ED2960" w:rsidRPr="006F3D93" w:rsidRDefault="00ED2960" w:rsidP="008159F0">
      <w:pPr>
        <w:autoSpaceDE w:val="0"/>
        <w:autoSpaceDN w:val="0"/>
        <w:adjustRightInd w:val="0"/>
        <w:spacing w:before="240"/>
        <w:jc w:val="both"/>
        <w:rPr>
          <w:rFonts w:ascii="Helv" w:hAnsi="Helv" w:cs="Helv"/>
          <w:color w:val="000000"/>
          <w:sz w:val="20"/>
        </w:rPr>
      </w:pPr>
    </w:p>
    <w:tbl>
      <w:tblPr>
        <w:tblStyle w:val="SombreamentoClaro1"/>
        <w:tblW w:w="5000" w:type="pct"/>
        <w:tblLook w:val="00A0" w:firstRow="1" w:lastRow="0" w:firstColumn="1" w:lastColumn="0" w:noHBand="0" w:noVBand="0"/>
      </w:tblPr>
      <w:tblGrid>
        <w:gridCol w:w="1611"/>
        <w:gridCol w:w="1725"/>
        <w:gridCol w:w="1727"/>
        <w:gridCol w:w="1350"/>
        <w:gridCol w:w="1409"/>
        <w:gridCol w:w="2032"/>
      </w:tblGrid>
      <w:tr w:rsidR="00ED2960" w:rsidRPr="006F3D93" w:rsidTr="0098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</w:tcPr>
          <w:p w:rsidR="00ED2960" w:rsidRPr="007F4A55" w:rsidRDefault="00ED2960" w:rsidP="008159F0">
            <w:pPr>
              <w:keepNext/>
              <w:keepLines/>
              <w:autoSpaceDE w:val="0"/>
              <w:autoSpaceDN w:val="0"/>
              <w:adjustRightInd w:val="0"/>
              <w:spacing w:before="240"/>
              <w:ind w:left="45"/>
              <w:rPr>
                <w:rFonts w:ascii="Times New Roman" w:hAnsi="Times New Roman"/>
                <w:i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5" w:type="pct"/>
            <w:shd w:val="clear" w:color="auto" w:fill="auto"/>
          </w:tcPr>
          <w:p w:rsidR="00ED2960" w:rsidRPr="007F4A55" w:rsidRDefault="00ED2960" w:rsidP="008159F0">
            <w:pPr>
              <w:keepNext/>
              <w:keepLines/>
              <w:autoSpaceDE w:val="0"/>
              <w:autoSpaceDN w:val="0"/>
              <w:adjustRightInd w:val="0"/>
              <w:spacing w:before="240"/>
              <w:ind w:left="45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7F4A55">
              <w:rPr>
                <w:rFonts w:ascii="Times New Roman" w:hAnsi="Times New Roman"/>
                <w:i/>
                <w:color w:val="000000"/>
                <w:sz w:val="20"/>
              </w:rPr>
              <w:t xml:space="preserve">QAV-1 </w:t>
            </w:r>
          </w:p>
          <w:p w:rsidR="00ED2960" w:rsidRPr="007F4A55" w:rsidRDefault="00ED2960" w:rsidP="008159F0">
            <w:pPr>
              <w:keepNext/>
              <w:keepLines/>
              <w:autoSpaceDE w:val="0"/>
              <w:autoSpaceDN w:val="0"/>
              <w:adjustRightInd w:val="0"/>
              <w:spacing w:before="240"/>
              <w:ind w:left="45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7F4A55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 w:rsidR="00435F91">
              <w:rPr>
                <w:rFonts w:ascii="Times New Roman" w:hAnsi="Times New Roman"/>
                <w:i/>
                <w:color w:val="000000"/>
                <w:sz w:val="20"/>
              </w:rPr>
              <w:t>QAV-B</w:t>
            </w:r>
          </w:p>
        </w:tc>
        <w:tc>
          <w:tcPr>
            <w:tcW w:w="876" w:type="pct"/>
          </w:tcPr>
          <w:p w:rsidR="00ED2960" w:rsidRPr="007F4A55" w:rsidRDefault="00ED2960" w:rsidP="008159F0">
            <w:pPr>
              <w:keepNext/>
              <w:keepLines/>
              <w:autoSpaceDE w:val="0"/>
              <w:autoSpaceDN w:val="0"/>
              <w:adjustRightInd w:val="0"/>
              <w:spacing w:before="240"/>
              <w:ind w:left="4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7F4A55">
              <w:rPr>
                <w:rFonts w:ascii="Times New Roman" w:hAnsi="Times New Roman"/>
                <w:i/>
                <w:color w:val="000000"/>
                <w:sz w:val="20"/>
              </w:rPr>
              <w:t>SPK-FT</w:t>
            </w:r>
          </w:p>
          <w:p w:rsidR="00ED2960" w:rsidRPr="007F4A55" w:rsidRDefault="00ED2960" w:rsidP="008159F0">
            <w:pPr>
              <w:keepNext/>
              <w:keepLines/>
              <w:autoSpaceDE w:val="0"/>
              <w:autoSpaceDN w:val="0"/>
              <w:adjustRightInd w:val="0"/>
              <w:spacing w:before="240"/>
              <w:ind w:left="4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7F4A55">
              <w:rPr>
                <w:rFonts w:ascii="Times New Roman" w:hAnsi="Times New Roman"/>
                <w:i/>
                <w:color w:val="000000"/>
                <w:sz w:val="20"/>
              </w:rPr>
              <w:t>SPK-HEFA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shd w:val="clear" w:color="auto" w:fill="auto"/>
          </w:tcPr>
          <w:p w:rsidR="00ED2960" w:rsidRPr="007F4A55" w:rsidRDefault="00ED2960" w:rsidP="008159F0">
            <w:pPr>
              <w:keepNext/>
              <w:keepLines/>
              <w:autoSpaceDE w:val="0"/>
              <w:autoSpaceDN w:val="0"/>
              <w:adjustRightInd w:val="0"/>
              <w:spacing w:before="240"/>
              <w:ind w:left="45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7F4A55">
              <w:rPr>
                <w:rFonts w:ascii="Times New Roman" w:hAnsi="Times New Roman"/>
                <w:i/>
                <w:color w:val="000000"/>
                <w:sz w:val="20"/>
              </w:rPr>
              <w:t>SIP</w:t>
            </w:r>
          </w:p>
        </w:tc>
        <w:tc>
          <w:tcPr>
            <w:tcW w:w="715" w:type="pct"/>
          </w:tcPr>
          <w:p w:rsidR="00ED2960" w:rsidRPr="007F4A55" w:rsidRDefault="00ED2960" w:rsidP="008159F0">
            <w:pPr>
              <w:keepNext/>
              <w:keepLines/>
              <w:autoSpaceDE w:val="0"/>
              <w:autoSpaceDN w:val="0"/>
              <w:adjustRightInd w:val="0"/>
              <w:spacing w:before="240"/>
              <w:ind w:left="4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7F4A55">
              <w:rPr>
                <w:rFonts w:ascii="Times New Roman" w:hAnsi="Times New Roman"/>
                <w:i/>
                <w:color w:val="000000"/>
                <w:sz w:val="20"/>
              </w:rPr>
              <w:t>SPK/A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1" w:type="pct"/>
            <w:shd w:val="clear" w:color="auto" w:fill="auto"/>
          </w:tcPr>
          <w:p w:rsidR="00ED2960" w:rsidRPr="007F4A55" w:rsidRDefault="00ED2960" w:rsidP="008159F0">
            <w:pPr>
              <w:keepNext/>
              <w:keepLines/>
              <w:autoSpaceDE w:val="0"/>
              <w:autoSpaceDN w:val="0"/>
              <w:adjustRightInd w:val="0"/>
              <w:spacing w:before="240"/>
              <w:ind w:left="45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7F4A55">
              <w:rPr>
                <w:rFonts w:ascii="Times New Roman" w:hAnsi="Times New Roman"/>
                <w:i/>
                <w:color w:val="000000"/>
                <w:sz w:val="20"/>
              </w:rPr>
              <w:t>SPK/ATJ</w:t>
            </w:r>
          </w:p>
        </w:tc>
      </w:tr>
      <w:tr w:rsidR="00ED2960" w:rsidRPr="006F3D93" w:rsidTr="0098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shd w:val="clear" w:color="auto" w:fill="auto"/>
          </w:tcPr>
          <w:p w:rsidR="00ED2960" w:rsidRPr="007F4A55" w:rsidRDefault="00ED2960" w:rsidP="008159F0">
            <w:pPr>
              <w:keepNext/>
              <w:keepLines/>
              <w:autoSpaceDE w:val="0"/>
              <w:autoSpaceDN w:val="0"/>
              <w:adjustRightInd w:val="0"/>
              <w:spacing w:before="240"/>
              <w:ind w:left="45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7F4A55">
              <w:rPr>
                <w:rFonts w:ascii="Times New Roman" w:hAnsi="Times New Roman"/>
                <w:i/>
                <w:color w:val="000000"/>
                <w:sz w:val="20"/>
              </w:rPr>
              <w:t>ME a 15 °C (kg/m</w:t>
            </w:r>
            <w:r w:rsidRPr="007F4A55">
              <w:rPr>
                <w:rFonts w:ascii="Times New Roman" w:hAnsi="Times New Roman"/>
                <w:i/>
                <w:color w:val="000000"/>
                <w:sz w:val="20"/>
                <w:vertAlign w:val="superscript"/>
              </w:rPr>
              <w:t>3</w:t>
            </w:r>
            <w:r w:rsidRPr="007F4A55">
              <w:rPr>
                <w:rFonts w:ascii="Times New Roman" w:hAnsi="Times New Roman"/>
                <w:i/>
                <w:color w:val="000000"/>
                <w:sz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5" w:type="pct"/>
            <w:shd w:val="clear" w:color="auto" w:fill="auto"/>
          </w:tcPr>
          <w:p w:rsidR="00ED2960" w:rsidRPr="007F4A55" w:rsidRDefault="00ED2960" w:rsidP="008159F0">
            <w:pPr>
              <w:keepNext/>
              <w:keepLines/>
              <w:autoSpaceDE w:val="0"/>
              <w:autoSpaceDN w:val="0"/>
              <w:adjustRightInd w:val="0"/>
              <w:spacing w:before="240"/>
              <w:ind w:left="45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7F4A55">
              <w:rPr>
                <w:rFonts w:ascii="Times New Roman" w:hAnsi="Times New Roman"/>
                <w:i/>
                <w:color w:val="000000"/>
                <w:sz w:val="20"/>
              </w:rPr>
              <w:t>775 - 840</w:t>
            </w:r>
          </w:p>
        </w:tc>
        <w:tc>
          <w:tcPr>
            <w:tcW w:w="876" w:type="pct"/>
            <w:shd w:val="clear" w:color="auto" w:fill="auto"/>
          </w:tcPr>
          <w:p w:rsidR="00ED2960" w:rsidRPr="007F4A55" w:rsidRDefault="00ED2960" w:rsidP="008159F0">
            <w:pPr>
              <w:keepNext/>
              <w:keepLines/>
              <w:autoSpaceDE w:val="0"/>
              <w:autoSpaceDN w:val="0"/>
              <w:adjustRightInd w:val="0"/>
              <w:spacing w:before="240"/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7F4A55">
              <w:rPr>
                <w:rFonts w:ascii="Times New Roman" w:hAnsi="Times New Roman"/>
                <w:i/>
                <w:color w:val="000000"/>
                <w:sz w:val="20"/>
              </w:rPr>
              <w:t>730 - 770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shd w:val="clear" w:color="auto" w:fill="auto"/>
          </w:tcPr>
          <w:p w:rsidR="00ED2960" w:rsidRPr="007F4A55" w:rsidRDefault="00ED2960" w:rsidP="008159F0">
            <w:pPr>
              <w:keepNext/>
              <w:keepLines/>
              <w:autoSpaceDE w:val="0"/>
              <w:autoSpaceDN w:val="0"/>
              <w:adjustRightInd w:val="0"/>
              <w:spacing w:before="240"/>
              <w:ind w:left="45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7F4A55">
              <w:rPr>
                <w:rFonts w:ascii="Times New Roman" w:hAnsi="Times New Roman"/>
                <w:i/>
                <w:color w:val="000000"/>
                <w:sz w:val="20"/>
              </w:rPr>
              <w:t>765 - 780</w:t>
            </w:r>
          </w:p>
        </w:tc>
        <w:tc>
          <w:tcPr>
            <w:tcW w:w="715" w:type="pct"/>
            <w:shd w:val="clear" w:color="auto" w:fill="auto"/>
          </w:tcPr>
          <w:p w:rsidR="00ED2960" w:rsidRPr="007F4A55" w:rsidRDefault="00ED2960" w:rsidP="008159F0">
            <w:pPr>
              <w:keepNext/>
              <w:keepLines/>
              <w:autoSpaceDE w:val="0"/>
              <w:autoSpaceDN w:val="0"/>
              <w:adjustRightInd w:val="0"/>
              <w:spacing w:before="240"/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7F4A55">
              <w:rPr>
                <w:rFonts w:ascii="Times New Roman" w:hAnsi="Times New Roman"/>
                <w:i/>
                <w:color w:val="000000"/>
                <w:sz w:val="20"/>
              </w:rPr>
              <w:t>755 - 800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1" w:type="pct"/>
            <w:shd w:val="clear" w:color="auto" w:fill="auto"/>
          </w:tcPr>
          <w:p w:rsidR="00ED2960" w:rsidRPr="007F4A55" w:rsidRDefault="00ED2960" w:rsidP="008159F0">
            <w:pPr>
              <w:keepNext/>
              <w:keepLines/>
              <w:autoSpaceDE w:val="0"/>
              <w:autoSpaceDN w:val="0"/>
              <w:adjustRightInd w:val="0"/>
              <w:spacing w:before="240"/>
              <w:ind w:left="45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7F4A55">
              <w:rPr>
                <w:rFonts w:ascii="Times New Roman" w:hAnsi="Times New Roman"/>
                <w:i/>
                <w:color w:val="000000"/>
                <w:sz w:val="20"/>
              </w:rPr>
              <w:t>730 - 770</w:t>
            </w:r>
          </w:p>
        </w:tc>
      </w:tr>
      <w:tr w:rsidR="00ED2960" w:rsidRPr="006F3D93" w:rsidTr="00981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</w:tcPr>
          <w:p w:rsidR="00ED2960" w:rsidRPr="007F4A55" w:rsidRDefault="00ED2960" w:rsidP="008159F0">
            <w:pPr>
              <w:keepNext/>
              <w:keepLines/>
              <w:autoSpaceDE w:val="0"/>
              <w:autoSpaceDN w:val="0"/>
              <w:adjustRightInd w:val="0"/>
              <w:spacing w:before="240"/>
              <w:ind w:left="45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7F4A55">
              <w:rPr>
                <w:rFonts w:ascii="Times New Roman" w:hAnsi="Times New Roman"/>
                <w:i/>
                <w:color w:val="000000"/>
                <w:sz w:val="20"/>
              </w:rPr>
              <w:t>ME a 20 °C (kg/m</w:t>
            </w:r>
            <w:proofErr w:type="gramStart"/>
            <w:r w:rsidRPr="007F4A55">
              <w:rPr>
                <w:rFonts w:ascii="Times New Roman" w:hAnsi="Times New Roman"/>
                <w:i/>
                <w:color w:val="000000"/>
                <w:sz w:val="20"/>
                <w:vertAlign w:val="superscript"/>
              </w:rPr>
              <w:t>3</w:t>
            </w:r>
            <w:r w:rsidRPr="007F4A55">
              <w:rPr>
                <w:rFonts w:ascii="Times New Roman" w:hAnsi="Times New Roman"/>
                <w:i/>
                <w:color w:val="000000"/>
                <w:sz w:val="20"/>
              </w:rPr>
              <w:t>)*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5" w:type="pct"/>
            <w:shd w:val="clear" w:color="auto" w:fill="auto"/>
          </w:tcPr>
          <w:p w:rsidR="00ED2960" w:rsidRPr="007F4A55" w:rsidRDefault="00ED2960" w:rsidP="008159F0">
            <w:pPr>
              <w:keepNext/>
              <w:keepLines/>
              <w:autoSpaceDE w:val="0"/>
              <w:autoSpaceDN w:val="0"/>
              <w:adjustRightInd w:val="0"/>
              <w:spacing w:before="240"/>
              <w:ind w:left="45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7F4A55">
              <w:rPr>
                <w:rFonts w:ascii="Times New Roman" w:hAnsi="Times New Roman"/>
                <w:i/>
                <w:color w:val="000000"/>
                <w:sz w:val="20"/>
              </w:rPr>
              <w:t>771,3 - 836,6</w:t>
            </w:r>
          </w:p>
        </w:tc>
        <w:tc>
          <w:tcPr>
            <w:tcW w:w="876" w:type="pct"/>
          </w:tcPr>
          <w:p w:rsidR="00ED2960" w:rsidRPr="007F4A55" w:rsidRDefault="00ED2960" w:rsidP="008159F0">
            <w:pPr>
              <w:keepNext/>
              <w:keepLines/>
              <w:autoSpaceDE w:val="0"/>
              <w:autoSpaceDN w:val="0"/>
              <w:adjustRightInd w:val="0"/>
              <w:spacing w:before="240"/>
              <w:ind w:left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7F4A55">
              <w:rPr>
                <w:rFonts w:ascii="Times New Roman" w:hAnsi="Times New Roman"/>
                <w:i/>
                <w:color w:val="000000"/>
                <w:sz w:val="20"/>
              </w:rPr>
              <w:t>725,9 - 766,2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shd w:val="clear" w:color="auto" w:fill="auto"/>
          </w:tcPr>
          <w:p w:rsidR="00ED2960" w:rsidRPr="007F4A55" w:rsidRDefault="00ED2960" w:rsidP="008159F0">
            <w:pPr>
              <w:keepNext/>
              <w:keepLines/>
              <w:autoSpaceDE w:val="0"/>
              <w:autoSpaceDN w:val="0"/>
              <w:adjustRightInd w:val="0"/>
              <w:spacing w:before="240"/>
              <w:ind w:left="45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7F4A55">
              <w:rPr>
                <w:rFonts w:ascii="Times New Roman" w:hAnsi="Times New Roman"/>
                <w:i/>
                <w:color w:val="000000"/>
                <w:sz w:val="20"/>
              </w:rPr>
              <w:t>761,2 - 776,3</w:t>
            </w:r>
          </w:p>
        </w:tc>
        <w:tc>
          <w:tcPr>
            <w:tcW w:w="715" w:type="pct"/>
          </w:tcPr>
          <w:p w:rsidR="00ED2960" w:rsidRPr="007F4A55" w:rsidRDefault="00ED2960" w:rsidP="008159F0">
            <w:pPr>
              <w:keepNext/>
              <w:keepLines/>
              <w:autoSpaceDE w:val="0"/>
              <w:autoSpaceDN w:val="0"/>
              <w:adjustRightInd w:val="0"/>
              <w:spacing w:before="240"/>
              <w:ind w:left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7F4A55">
              <w:rPr>
                <w:rFonts w:ascii="Times New Roman" w:hAnsi="Times New Roman"/>
                <w:i/>
                <w:color w:val="000000"/>
                <w:sz w:val="20"/>
              </w:rPr>
              <w:t>751,1 - 796,5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1" w:type="pct"/>
            <w:shd w:val="clear" w:color="auto" w:fill="auto"/>
          </w:tcPr>
          <w:p w:rsidR="00ED2960" w:rsidRPr="007F4A55" w:rsidRDefault="00ED2960" w:rsidP="008159F0">
            <w:pPr>
              <w:keepNext/>
              <w:keepLines/>
              <w:autoSpaceDE w:val="0"/>
              <w:autoSpaceDN w:val="0"/>
              <w:adjustRightInd w:val="0"/>
              <w:spacing w:before="240"/>
              <w:ind w:left="45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7F4A55">
              <w:rPr>
                <w:rFonts w:ascii="Times New Roman" w:hAnsi="Times New Roman"/>
                <w:i/>
                <w:color w:val="000000"/>
                <w:sz w:val="20"/>
              </w:rPr>
              <w:t>725,9 - 766,2</w:t>
            </w:r>
          </w:p>
        </w:tc>
      </w:tr>
    </w:tbl>
    <w:p w:rsidR="00ED2960" w:rsidRDefault="00ED2960" w:rsidP="008159F0">
      <w:pPr>
        <w:pStyle w:val="SemEspaamento"/>
        <w:spacing w:before="240"/>
        <w:jc w:val="both"/>
        <w:rPr>
          <w:rFonts w:ascii="Times New Roman" w:hAnsi="Times New Roman"/>
          <w:i/>
          <w:sz w:val="20"/>
        </w:rPr>
      </w:pPr>
      <w:r w:rsidRPr="00950415">
        <w:rPr>
          <w:rFonts w:ascii="Times New Roman" w:hAnsi="Times New Roman"/>
          <w:i/>
          <w:sz w:val="20"/>
        </w:rPr>
        <w:t>*Tabela de correção das densidades e dos volumes dos produtos de petróleo. Petróleo Brasileiro S.A., 1970.</w:t>
      </w:r>
      <w:r w:rsidRPr="00950415">
        <w:rPr>
          <w:rFonts w:ascii="Times New Roman" w:hAnsi="Times New Roman"/>
          <w:i/>
          <w:sz w:val="20"/>
        </w:rPr>
        <w:tab/>
      </w:r>
    </w:p>
    <w:p w:rsidR="004B3341" w:rsidRPr="00950415" w:rsidRDefault="004B3341" w:rsidP="008159F0">
      <w:pPr>
        <w:pStyle w:val="SemEspaamento"/>
        <w:spacing w:before="240"/>
        <w:jc w:val="both"/>
        <w:rPr>
          <w:rFonts w:ascii="Times New Roman" w:hAnsi="Times New Roman"/>
          <w:i/>
          <w:sz w:val="20"/>
        </w:rPr>
      </w:pPr>
    </w:p>
    <w:p w:rsidR="00CA4342" w:rsidRPr="00DF2FF7" w:rsidRDefault="00CA4342" w:rsidP="00CA4342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8. ALTERAÇÃO DAS RESOLUÇÕES</w:t>
      </w:r>
      <w:r w:rsidRPr="00DF2FF7">
        <w:rPr>
          <w:rFonts w:ascii="Times New Roman" w:hAnsi="Times New Roman"/>
          <w:b/>
          <w:szCs w:val="24"/>
        </w:rPr>
        <w:t xml:space="preserve"> ANP Nº </w:t>
      </w:r>
      <w:r>
        <w:rPr>
          <w:rFonts w:ascii="Times New Roman" w:hAnsi="Times New Roman"/>
          <w:b/>
          <w:szCs w:val="24"/>
        </w:rPr>
        <w:t>17</w:t>
      </w:r>
      <w:r w:rsidRPr="00DF2FF7">
        <w:rPr>
          <w:rFonts w:ascii="Times New Roman" w:hAnsi="Times New Roman"/>
          <w:b/>
          <w:szCs w:val="24"/>
        </w:rPr>
        <w:t>/20</w:t>
      </w:r>
      <w:r>
        <w:rPr>
          <w:rFonts w:ascii="Times New Roman" w:hAnsi="Times New Roman"/>
          <w:b/>
          <w:szCs w:val="24"/>
        </w:rPr>
        <w:t>06</w:t>
      </w:r>
      <w:r w:rsidRPr="00DF2FF7">
        <w:rPr>
          <w:rFonts w:ascii="Times New Roman" w:hAnsi="Times New Roman"/>
          <w:b/>
          <w:szCs w:val="24"/>
        </w:rPr>
        <w:t xml:space="preserve"> E </w:t>
      </w:r>
      <w:r w:rsidR="009D7596">
        <w:rPr>
          <w:rFonts w:ascii="Times New Roman" w:hAnsi="Times New Roman"/>
          <w:b/>
          <w:szCs w:val="24"/>
        </w:rPr>
        <w:t xml:space="preserve">Nº </w:t>
      </w:r>
      <w:r>
        <w:rPr>
          <w:rFonts w:ascii="Times New Roman" w:hAnsi="Times New Roman"/>
          <w:b/>
          <w:szCs w:val="24"/>
        </w:rPr>
        <w:t>18</w:t>
      </w:r>
      <w:r w:rsidRPr="00DF2FF7">
        <w:rPr>
          <w:rFonts w:ascii="Times New Roman" w:hAnsi="Times New Roman"/>
          <w:b/>
          <w:szCs w:val="24"/>
        </w:rPr>
        <w:t>/200</w:t>
      </w:r>
      <w:r>
        <w:rPr>
          <w:rFonts w:ascii="Times New Roman" w:hAnsi="Times New Roman"/>
          <w:b/>
          <w:szCs w:val="24"/>
        </w:rPr>
        <w:t>6</w:t>
      </w:r>
    </w:p>
    <w:p w:rsidR="00CA4342" w:rsidRDefault="00CA4342" w:rsidP="00CA4342">
      <w:pPr>
        <w:spacing w:before="24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color w:val="000000"/>
          <w:szCs w:val="24"/>
        </w:rPr>
        <w:t xml:space="preserve">Na revisão das Resoluções ANP nº 37/2009 e </w:t>
      </w:r>
      <w:r w:rsidR="009D7596">
        <w:rPr>
          <w:rFonts w:ascii="Times New Roman" w:hAnsi="Times New Roman"/>
          <w:color w:val="000000"/>
          <w:szCs w:val="24"/>
        </w:rPr>
        <w:t xml:space="preserve">nº </w:t>
      </w:r>
      <w:r>
        <w:rPr>
          <w:rFonts w:ascii="Times New Roman" w:hAnsi="Times New Roman"/>
          <w:color w:val="000000"/>
          <w:szCs w:val="24"/>
        </w:rPr>
        <w:t>63/2014</w:t>
      </w:r>
      <w:r w:rsidR="00A167A3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é proposta a </w:t>
      </w:r>
      <w:r w:rsidRPr="00C01760">
        <w:rPr>
          <w:rFonts w:ascii="Times New Roman" w:hAnsi="Times New Roman"/>
          <w:color w:val="000000"/>
          <w:szCs w:val="24"/>
        </w:rPr>
        <w:t xml:space="preserve">alteração do termo </w:t>
      </w:r>
      <w:r w:rsidR="004B3341">
        <w:rPr>
          <w:rFonts w:ascii="Times New Roman" w:hAnsi="Times New Roman"/>
          <w:color w:val="000000"/>
          <w:szCs w:val="24"/>
        </w:rPr>
        <w:t>q</w:t>
      </w:r>
      <w:r w:rsidRPr="00C01760">
        <w:rPr>
          <w:rFonts w:ascii="Times New Roman" w:hAnsi="Times New Roman"/>
          <w:color w:val="000000"/>
          <w:szCs w:val="24"/>
        </w:rPr>
        <w:t xml:space="preserve">uerosene de </w:t>
      </w:r>
      <w:r w:rsidR="004B3341">
        <w:rPr>
          <w:rFonts w:ascii="Times New Roman" w:hAnsi="Times New Roman"/>
          <w:color w:val="000000"/>
          <w:szCs w:val="24"/>
        </w:rPr>
        <w:t>a</w:t>
      </w:r>
      <w:r w:rsidRPr="00C01760">
        <w:rPr>
          <w:rFonts w:ascii="Times New Roman" w:hAnsi="Times New Roman"/>
          <w:color w:val="000000"/>
          <w:szCs w:val="24"/>
        </w:rPr>
        <w:t>viação B-X (</w:t>
      </w:r>
      <w:r>
        <w:rPr>
          <w:rFonts w:ascii="Times New Roman" w:hAnsi="Times New Roman"/>
          <w:color w:val="000000"/>
          <w:szCs w:val="24"/>
        </w:rPr>
        <w:t>QAV B</w:t>
      </w:r>
      <w:r w:rsidRPr="00C01760">
        <w:rPr>
          <w:rFonts w:ascii="Times New Roman" w:hAnsi="Times New Roman"/>
          <w:color w:val="000000"/>
          <w:szCs w:val="24"/>
        </w:rPr>
        <w:t xml:space="preserve">-X) para </w:t>
      </w:r>
      <w:r w:rsidR="004B3341">
        <w:rPr>
          <w:rFonts w:ascii="Times New Roman" w:hAnsi="Times New Roman"/>
          <w:color w:val="000000"/>
          <w:szCs w:val="24"/>
        </w:rPr>
        <w:t>q</w:t>
      </w:r>
      <w:r w:rsidRPr="00C01760">
        <w:rPr>
          <w:rFonts w:ascii="Times New Roman" w:hAnsi="Times New Roman"/>
          <w:color w:val="000000"/>
          <w:szCs w:val="24"/>
        </w:rPr>
        <w:t xml:space="preserve">uerosene de </w:t>
      </w:r>
      <w:r w:rsidR="004B3341">
        <w:rPr>
          <w:rFonts w:ascii="Times New Roman" w:hAnsi="Times New Roman"/>
          <w:color w:val="000000"/>
          <w:szCs w:val="24"/>
        </w:rPr>
        <w:t>a</w:t>
      </w:r>
      <w:r w:rsidRPr="00C01760">
        <w:rPr>
          <w:rFonts w:ascii="Times New Roman" w:hAnsi="Times New Roman"/>
          <w:color w:val="000000"/>
          <w:szCs w:val="24"/>
        </w:rPr>
        <w:t>viação B (</w:t>
      </w:r>
      <w:r>
        <w:rPr>
          <w:rFonts w:ascii="Times New Roman" w:hAnsi="Times New Roman"/>
          <w:color w:val="000000"/>
          <w:szCs w:val="24"/>
        </w:rPr>
        <w:t>QAV-B), além da alteração da definição do QAV-B e do QAV alternativo. Tais termos também são citados n</w:t>
      </w:r>
      <w:r w:rsidR="00A167A3">
        <w:rPr>
          <w:rFonts w:ascii="Times New Roman" w:hAnsi="Times New Roman"/>
          <w:color w:val="000000"/>
          <w:szCs w:val="24"/>
        </w:rPr>
        <w:t>a</w:t>
      </w:r>
      <w:r>
        <w:rPr>
          <w:rFonts w:ascii="Times New Roman" w:hAnsi="Times New Roman"/>
          <w:color w:val="000000"/>
          <w:szCs w:val="24"/>
        </w:rPr>
        <w:t xml:space="preserve">s Resoluções ANP nº 17/2006 e </w:t>
      </w:r>
      <w:r w:rsidR="00C91152">
        <w:rPr>
          <w:rFonts w:ascii="Times New Roman" w:hAnsi="Times New Roman"/>
          <w:color w:val="000000"/>
          <w:szCs w:val="24"/>
        </w:rPr>
        <w:t xml:space="preserve">nº </w:t>
      </w:r>
      <w:r>
        <w:rPr>
          <w:rFonts w:ascii="Times New Roman" w:hAnsi="Times New Roman"/>
          <w:color w:val="000000"/>
          <w:szCs w:val="24"/>
        </w:rPr>
        <w:t>18/2006, que tratam</w:t>
      </w:r>
      <w:r w:rsidR="00C91152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respectivamente</w:t>
      </w:r>
      <w:r w:rsidR="00C91152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da distribuição e revenda dos combustíveis de aviação,</w:t>
      </w:r>
      <w:r w:rsidR="00A167A3">
        <w:rPr>
          <w:rFonts w:ascii="Times New Roman" w:hAnsi="Times New Roman"/>
          <w:color w:val="000000"/>
          <w:szCs w:val="24"/>
        </w:rPr>
        <w:t xml:space="preserve"> carecendo de atualização </w:t>
      </w:r>
      <w:r>
        <w:rPr>
          <w:rFonts w:ascii="Times New Roman" w:hAnsi="Times New Roman"/>
          <w:color w:val="000000"/>
          <w:szCs w:val="24"/>
        </w:rPr>
        <w:t xml:space="preserve">para harmonização </w:t>
      </w:r>
      <w:r w:rsidR="00A167A3">
        <w:rPr>
          <w:rFonts w:ascii="Times New Roman" w:hAnsi="Times New Roman"/>
          <w:color w:val="000000"/>
          <w:szCs w:val="24"/>
        </w:rPr>
        <w:t>das Resoluções ANP a</w:t>
      </w:r>
      <w:r>
        <w:rPr>
          <w:rFonts w:ascii="Times New Roman" w:hAnsi="Times New Roman"/>
          <w:color w:val="000000"/>
          <w:szCs w:val="24"/>
        </w:rPr>
        <w:t>o novo regulamento proposto.</w:t>
      </w:r>
    </w:p>
    <w:p w:rsidR="00CA4342" w:rsidRPr="00CA4342" w:rsidRDefault="00CA4342" w:rsidP="00CA434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  <w:t xml:space="preserve">Ademais, propõe-se a inclusão de parágrafo único </w:t>
      </w:r>
      <w:r w:rsidRPr="00CA4342">
        <w:rPr>
          <w:rFonts w:ascii="Times New Roman" w:hAnsi="Times New Roman"/>
          <w:color w:val="000000"/>
          <w:szCs w:val="24"/>
        </w:rPr>
        <w:t>ao art</w:t>
      </w:r>
      <w:r w:rsidR="00C91152">
        <w:rPr>
          <w:rFonts w:ascii="Times New Roman" w:hAnsi="Times New Roman"/>
          <w:color w:val="000000"/>
          <w:szCs w:val="24"/>
        </w:rPr>
        <w:t>.</w:t>
      </w:r>
      <w:r w:rsidRPr="00CA4342">
        <w:rPr>
          <w:rFonts w:ascii="Times New Roman" w:hAnsi="Times New Roman"/>
          <w:color w:val="000000"/>
          <w:szCs w:val="24"/>
        </w:rPr>
        <w:t xml:space="preserve"> 17</w:t>
      </w:r>
      <w:r>
        <w:rPr>
          <w:rFonts w:ascii="Times New Roman" w:hAnsi="Times New Roman"/>
          <w:color w:val="000000"/>
          <w:szCs w:val="24"/>
        </w:rPr>
        <w:t xml:space="preserve"> da Resolução ANP nº 17/2006, vedando a</w:t>
      </w:r>
      <w:r w:rsidRPr="00CA4342">
        <w:rPr>
          <w:rFonts w:ascii="Times New Roman" w:hAnsi="Times New Roman"/>
          <w:color w:val="000000"/>
          <w:szCs w:val="24"/>
        </w:rPr>
        <w:t xml:space="preserve"> importação de QAV</w:t>
      </w:r>
      <w:r>
        <w:rPr>
          <w:rFonts w:ascii="Times New Roman" w:hAnsi="Times New Roman"/>
          <w:color w:val="000000"/>
          <w:szCs w:val="24"/>
        </w:rPr>
        <w:t>-</w:t>
      </w:r>
      <w:r w:rsidRPr="00CA4342">
        <w:rPr>
          <w:rFonts w:ascii="Times New Roman" w:hAnsi="Times New Roman"/>
          <w:color w:val="000000"/>
          <w:szCs w:val="24"/>
        </w:rPr>
        <w:t>B.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A167A3">
        <w:rPr>
          <w:rFonts w:ascii="Times New Roman" w:hAnsi="Times New Roman"/>
          <w:color w:val="000000"/>
          <w:szCs w:val="24"/>
        </w:rPr>
        <w:t>Tal</w:t>
      </w:r>
      <w:r>
        <w:rPr>
          <w:rFonts w:ascii="Times New Roman" w:hAnsi="Times New Roman"/>
          <w:color w:val="000000"/>
          <w:szCs w:val="24"/>
        </w:rPr>
        <w:t xml:space="preserve"> vedação</w:t>
      </w:r>
      <w:r w:rsidR="00A167A3">
        <w:rPr>
          <w:rFonts w:ascii="Times New Roman" w:hAnsi="Times New Roman"/>
          <w:color w:val="000000"/>
          <w:szCs w:val="24"/>
        </w:rPr>
        <w:t xml:space="preserve"> já</w:t>
      </w:r>
      <w:r>
        <w:rPr>
          <w:rFonts w:ascii="Times New Roman" w:hAnsi="Times New Roman"/>
          <w:color w:val="000000"/>
          <w:szCs w:val="24"/>
        </w:rPr>
        <w:t xml:space="preserve"> estava expressa na Resolução ANP nº 63/2014, </w:t>
      </w:r>
      <w:r w:rsidR="00A167A3">
        <w:rPr>
          <w:rFonts w:ascii="Times New Roman" w:hAnsi="Times New Roman"/>
          <w:color w:val="000000"/>
          <w:szCs w:val="24"/>
        </w:rPr>
        <w:t xml:space="preserve">contudo, </w:t>
      </w:r>
      <w:r w:rsidR="004B3341">
        <w:rPr>
          <w:rFonts w:ascii="Times New Roman" w:hAnsi="Times New Roman"/>
          <w:color w:val="000000"/>
          <w:szCs w:val="24"/>
        </w:rPr>
        <w:t>trata-se de dispositivo no âmbito</w:t>
      </w:r>
      <w:r w:rsidR="00A167A3">
        <w:rPr>
          <w:rFonts w:ascii="Times New Roman" w:hAnsi="Times New Roman"/>
          <w:color w:val="000000"/>
          <w:szCs w:val="24"/>
        </w:rPr>
        <w:t xml:space="preserve"> </w:t>
      </w:r>
      <w:r w:rsidR="004B3341">
        <w:rPr>
          <w:rFonts w:ascii="Times New Roman" w:hAnsi="Times New Roman"/>
          <w:color w:val="000000"/>
          <w:szCs w:val="24"/>
        </w:rPr>
        <w:t>d</w:t>
      </w:r>
      <w:r w:rsidR="00A167A3">
        <w:rPr>
          <w:rFonts w:ascii="Times New Roman" w:hAnsi="Times New Roman"/>
          <w:color w:val="000000"/>
          <w:szCs w:val="24"/>
        </w:rPr>
        <w:t>a Resolução ANP nº 17/2006, por se tratar de regras de distribuição de combustíveis</w:t>
      </w:r>
      <w:r w:rsidR="004B3341">
        <w:rPr>
          <w:rFonts w:ascii="Times New Roman" w:hAnsi="Times New Roman"/>
          <w:color w:val="000000"/>
          <w:szCs w:val="24"/>
        </w:rPr>
        <w:t xml:space="preserve"> de aviação</w:t>
      </w:r>
      <w:r w:rsidR="00A167A3">
        <w:rPr>
          <w:rFonts w:ascii="Times New Roman" w:hAnsi="Times New Roman"/>
          <w:color w:val="000000"/>
          <w:szCs w:val="24"/>
        </w:rPr>
        <w:t>.</w:t>
      </w:r>
    </w:p>
    <w:p w:rsidR="00ED2960" w:rsidRDefault="00CA4342" w:rsidP="00A167A3">
      <w:pPr>
        <w:spacing w:before="24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</w:t>
      </w:r>
    </w:p>
    <w:p w:rsidR="00ED2960" w:rsidRDefault="00CA4342" w:rsidP="008159F0">
      <w:pPr>
        <w:tabs>
          <w:tab w:val="left" w:pos="1134"/>
        </w:tabs>
        <w:spacing w:before="24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9</w:t>
      </w:r>
      <w:r w:rsidR="00ED2960" w:rsidRPr="00F46585">
        <w:rPr>
          <w:rFonts w:ascii="Times New Roman" w:hAnsi="Times New Roman"/>
          <w:b/>
          <w:szCs w:val="24"/>
        </w:rPr>
        <w:t>.</w:t>
      </w:r>
      <w:r w:rsidR="00ED2960" w:rsidRPr="00F46585">
        <w:rPr>
          <w:rFonts w:ascii="Times New Roman" w:hAnsi="Times New Roman"/>
          <w:b/>
          <w:szCs w:val="24"/>
        </w:rPr>
        <w:tab/>
      </w:r>
      <w:r w:rsidR="00ED2960" w:rsidRPr="00484214">
        <w:rPr>
          <w:rFonts w:ascii="Times New Roman" w:hAnsi="Times New Roman"/>
          <w:b/>
          <w:szCs w:val="24"/>
        </w:rPr>
        <w:t>CONCLUSÃO</w:t>
      </w:r>
    </w:p>
    <w:p w:rsidR="004018CE" w:rsidRDefault="004018CE" w:rsidP="004018CE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FA0E45">
        <w:rPr>
          <w:rFonts w:ascii="Times New Roman" w:hAnsi="Times New Roman"/>
          <w:szCs w:val="24"/>
        </w:rPr>
        <w:t xml:space="preserve">A presente proposta de revisão normativa faz parte do trabalho que a </w:t>
      </w:r>
      <w:r>
        <w:rPr>
          <w:rFonts w:ascii="Times New Roman" w:hAnsi="Times New Roman"/>
          <w:szCs w:val="24"/>
        </w:rPr>
        <w:t>ANP, por intermédio da SBQ,</w:t>
      </w:r>
      <w:r w:rsidRPr="00FA0E45">
        <w:rPr>
          <w:rFonts w:ascii="Times New Roman" w:hAnsi="Times New Roman"/>
          <w:szCs w:val="24"/>
        </w:rPr>
        <w:t xml:space="preserve"> realiza no sentido de aprimorar a qualidade dos combustíveis comercializados em território nacional, incluindo os biocombustíveis,</w:t>
      </w:r>
      <w:r>
        <w:rPr>
          <w:rFonts w:ascii="Times New Roman" w:hAnsi="Times New Roman"/>
          <w:szCs w:val="24"/>
        </w:rPr>
        <w:t xml:space="preserve"> que terão papel chave no alcance das metas de redução de emissões de GEE, contribuindo também para </w:t>
      </w:r>
      <w:r w:rsidRPr="001D4CEC">
        <w:rPr>
          <w:rFonts w:ascii="Times New Roman" w:hAnsi="Times New Roman"/>
          <w:szCs w:val="24"/>
        </w:rPr>
        <w:t xml:space="preserve">o desenvolvimento ambiental, </w:t>
      </w:r>
      <w:r>
        <w:rPr>
          <w:rFonts w:ascii="Times New Roman" w:hAnsi="Times New Roman"/>
          <w:szCs w:val="24"/>
        </w:rPr>
        <w:t>econômico e social</w:t>
      </w:r>
      <w:r w:rsidRPr="001D4CEC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 xml:space="preserve">Além disso, a proposta harmoniza às especificações dos combustíveis de aviação às internacionais, garantindo o nível de qualidade mundial requerido para esses combustíveis. </w:t>
      </w:r>
    </w:p>
    <w:p w:rsidR="004018CE" w:rsidRDefault="004018CE" w:rsidP="004018CE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Em face de todo o</w:t>
      </w:r>
      <w:r w:rsidRPr="0002294B">
        <w:rPr>
          <w:rFonts w:ascii="Times New Roman" w:hAnsi="Times New Roman"/>
          <w:color w:val="000000"/>
          <w:szCs w:val="24"/>
        </w:rPr>
        <w:t xml:space="preserve"> exposto, a SBQ sugere </w:t>
      </w:r>
      <w:r>
        <w:rPr>
          <w:rFonts w:ascii="Times New Roman" w:hAnsi="Times New Roman"/>
          <w:color w:val="000000"/>
          <w:szCs w:val="24"/>
        </w:rPr>
        <w:t>que a minuta de resolução associada a esta Nota Técnica constitua-se em novo regulamento ANP atinente à especificação do QAV-1, QAV Alternativo e QAV-B, além de trazer as regras de controle da qualidade a serem praticadas pelos agentes que comercializam ditos produtos em território nacional</w:t>
      </w:r>
      <w:r w:rsidRPr="0002294B">
        <w:rPr>
          <w:rFonts w:ascii="Times New Roman" w:hAnsi="Times New Roman"/>
          <w:color w:val="000000"/>
          <w:szCs w:val="24"/>
        </w:rPr>
        <w:t xml:space="preserve">. </w:t>
      </w:r>
    </w:p>
    <w:p w:rsidR="00ED2960" w:rsidRDefault="00ED2960" w:rsidP="008159F0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color w:val="000000"/>
          <w:szCs w:val="24"/>
        </w:rPr>
      </w:pPr>
    </w:p>
    <w:p w:rsidR="00ED2960" w:rsidRDefault="00ED2960" w:rsidP="008159F0">
      <w:pPr>
        <w:pStyle w:val="Ttulo1"/>
        <w:spacing w:before="240"/>
      </w:pPr>
      <w:r>
        <w:rPr>
          <w:rFonts w:ascii="Times New Roman" w:hAnsi="Times New Roman"/>
          <w:szCs w:val="24"/>
        </w:rPr>
        <w:t>Elaboração</w:t>
      </w:r>
    </w:p>
    <w:p w:rsidR="00ED2960" w:rsidRPr="00567741" w:rsidRDefault="00ED2960" w:rsidP="008159F0">
      <w:pPr>
        <w:pStyle w:val="Ttulo1"/>
        <w:spacing w:before="240"/>
        <w:jc w:val="center"/>
        <w:rPr>
          <w:rFonts w:ascii="Times New Roman" w:hAnsi="Times New Roman"/>
          <w:b w:val="0"/>
          <w:szCs w:val="24"/>
        </w:rPr>
      </w:pPr>
      <w:r w:rsidRPr="00567741">
        <w:rPr>
          <w:rFonts w:ascii="Times New Roman" w:hAnsi="Times New Roman"/>
          <w:b w:val="0"/>
          <w:szCs w:val="24"/>
        </w:rPr>
        <w:t>______________________________</w:t>
      </w:r>
      <w:r>
        <w:rPr>
          <w:rFonts w:ascii="Times New Roman" w:hAnsi="Times New Roman"/>
          <w:b w:val="0"/>
          <w:szCs w:val="24"/>
        </w:rPr>
        <w:t>_______________________________</w:t>
      </w:r>
    </w:p>
    <w:p w:rsidR="00ED2960" w:rsidRPr="00567741" w:rsidRDefault="00ED2960" w:rsidP="008159F0">
      <w:pPr>
        <w:pStyle w:val="Ttulo1"/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CELMA DA SILVA ANASTACIO ROCCO</w:t>
      </w:r>
    </w:p>
    <w:p w:rsidR="00ED2960" w:rsidRDefault="00ED2960" w:rsidP="008159F0">
      <w:pPr>
        <w:pStyle w:val="Ttulo1"/>
        <w:jc w:val="center"/>
        <w:rPr>
          <w:rFonts w:ascii="Times New Roman" w:hAnsi="Times New Roman"/>
          <w:b w:val="0"/>
          <w:szCs w:val="24"/>
        </w:rPr>
      </w:pPr>
      <w:r w:rsidRPr="00567741">
        <w:rPr>
          <w:rFonts w:ascii="Times New Roman" w:hAnsi="Times New Roman"/>
          <w:b w:val="0"/>
          <w:szCs w:val="24"/>
        </w:rPr>
        <w:t>Especialista em Regulação</w:t>
      </w:r>
    </w:p>
    <w:p w:rsidR="00980E73" w:rsidRPr="00980E73" w:rsidRDefault="00980E73" w:rsidP="00980E73"/>
    <w:p w:rsidR="008159F0" w:rsidRPr="00567741" w:rsidRDefault="008159F0" w:rsidP="008159F0">
      <w:pPr>
        <w:pStyle w:val="Ttulo1"/>
        <w:jc w:val="center"/>
        <w:rPr>
          <w:rFonts w:ascii="Times New Roman" w:hAnsi="Times New Roman"/>
          <w:b w:val="0"/>
          <w:szCs w:val="24"/>
        </w:rPr>
      </w:pPr>
      <w:r w:rsidRPr="00567741">
        <w:rPr>
          <w:rFonts w:ascii="Times New Roman" w:hAnsi="Times New Roman"/>
          <w:b w:val="0"/>
          <w:szCs w:val="24"/>
        </w:rPr>
        <w:t>______________________________</w:t>
      </w:r>
      <w:r>
        <w:rPr>
          <w:rFonts w:ascii="Times New Roman" w:hAnsi="Times New Roman"/>
          <w:b w:val="0"/>
          <w:szCs w:val="24"/>
        </w:rPr>
        <w:t>_______________________________</w:t>
      </w:r>
    </w:p>
    <w:p w:rsidR="008159F0" w:rsidRPr="00567741" w:rsidRDefault="008159F0" w:rsidP="00980E73">
      <w:pPr>
        <w:pStyle w:val="Ttulo1"/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FELIPE DE ARA</w:t>
      </w:r>
      <w:r w:rsidR="00C91152">
        <w:rPr>
          <w:rFonts w:ascii="Times New Roman" w:hAnsi="Times New Roman"/>
          <w:b w:val="0"/>
          <w:szCs w:val="24"/>
        </w:rPr>
        <w:t>U</w:t>
      </w:r>
      <w:r>
        <w:rPr>
          <w:rFonts w:ascii="Times New Roman" w:hAnsi="Times New Roman"/>
          <w:b w:val="0"/>
          <w:szCs w:val="24"/>
        </w:rPr>
        <w:t>JO LIMA</w:t>
      </w:r>
    </w:p>
    <w:p w:rsidR="008159F0" w:rsidRDefault="008159F0" w:rsidP="00980E73">
      <w:pPr>
        <w:pStyle w:val="Ttulo1"/>
        <w:jc w:val="center"/>
        <w:rPr>
          <w:rFonts w:ascii="Times New Roman" w:hAnsi="Times New Roman"/>
          <w:b w:val="0"/>
          <w:szCs w:val="24"/>
        </w:rPr>
      </w:pPr>
      <w:r w:rsidRPr="00567741">
        <w:rPr>
          <w:rFonts w:ascii="Times New Roman" w:hAnsi="Times New Roman"/>
          <w:b w:val="0"/>
          <w:szCs w:val="24"/>
        </w:rPr>
        <w:t>Especialista em Regulação</w:t>
      </w:r>
    </w:p>
    <w:p w:rsidR="00ED2960" w:rsidRPr="00567741" w:rsidRDefault="00ED2960" w:rsidP="008159F0">
      <w:pPr>
        <w:pStyle w:val="Ttulo1"/>
        <w:spacing w:before="240"/>
        <w:jc w:val="center"/>
        <w:rPr>
          <w:rFonts w:ascii="Times New Roman" w:hAnsi="Times New Roman"/>
          <w:b w:val="0"/>
          <w:szCs w:val="24"/>
        </w:rPr>
      </w:pPr>
      <w:r w:rsidRPr="00567741">
        <w:rPr>
          <w:rFonts w:ascii="Times New Roman" w:hAnsi="Times New Roman"/>
          <w:b w:val="0"/>
          <w:szCs w:val="24"/>
        </w:rPr>
        <w:t>______________________________</w:t>
      </w:r>
      <w:r>
        <w:rPr>
          <w:rFonts w:ascii="Times New Roman" w:hAnsi="Times New Roman"/>
          <w:b w:val="0"/>
          <w:szCs w:val="24"/>
        </w:rPr>
        <w:t>_______________________________</w:t>
      </w:r>
    </w:p>
    <w:p w:rsidR="00ED2960" w:rsidRPr="00567741" w:rsidRDefault="00ED2960" w:rsidP="00980E73">
      <w:pPr>
        <w:pStyle w:val="Ttulo1"/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FILLIPE AUGUSTO DA COSTA GARCIA</w:t>
      </w:r>
    </w:p>
    <w:p w:rsidR="00ED2960" w:rsidRDefault="00ED2960" w:rsidP="00980E73">
      <w:pPr>
        <w:pStyle w:val="Ttulo1"/>
        <w:jc w:val="center"/>
        <w:rPr>
          <w:rFonts w:ascii="Times New Roman" w:hAnsi="Times New Roman"/>
          <w:b w:val="0"/>
          <w:szCs w:val="24"/>
        </w:rPr>
      </w:pPr>
      <w:r w:rsidRPr="00567741">
        <w:rPr>
          <w:rFonts w:ascii="Times New Roman" w:hAnsi="Times New Roman"/>
          <w:b w:val="0"/>
          <w:szCs w:val="24"/>
        </w:rPr>
        <w:t>Especialista em Regulação</w:t>
      </w:r>
    </w:p>
    <w:p w:rsidR="00980E73" w:rsidRDefault="00980E73" w:rsidP="00980E73">
      <w:pPr>
        <w:pStyle w:val="Ttulo1"/>
        <w:jc w:val="center"/>
        <w:rPr>
          <w:rFonts w:ascii="Times New Roman" w:hAnsi="Times New Roman"/>
          <w:b w:val="0"/>
          <w:szCs w:val="24"/>
        </w:rPr>
      </w:pPr>
    </w:p>
    <w:p w:rsidR="00ED2960" w:rsidRPr="00567741" w:rsidRDefault="00ED2960" w:rsidP="00980E73">
      <w:pPr>
        <w:pStyle w:val="Ttulo1"/>
        <w:jc w:val="center"/>
        <w:rPr>
          <w:rFonts w:ascii="Times New Roman" w:hAnsi="Times New Roman"/>
          <w:b w:val="0"/>
          <w:szCs w:val="24"/>
        </w:rPr>
      </w:pPr>
      <w:r w:rsidRPr="00567741">
        <w:rPr>
          <w:rFonts w:ascii="Times New Roman" w:hAnsi="Times New Roman"/>
          <w:b w:val="0"/>
          <w:szCs w:val="24"/>
        </w:rPr>
        <w:t>______________________________</w:t>
      </w:r>
      <w:r>
        <w:rPr>
          <w:rFonts w:ascii="Times New Roman" w:hAnsi="Times New Roman"/>
          <w:b w:val="0"/>
          <w:szCs w:val="24"/>
        </w:rPr>
        <w:t>_______________________________</w:t>
      </w:r>
    </w:p>
    <w:p w:rsidR="00ED2960" w:rsidRPr="00567741" w:rsidRDefault="00ED2960" w:rsidP="00980E73">
      <w:pPr>
        <w:pStyle w:val="Ttulo1"/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JACKSON DA SILVA ALBUQUERQUE</w:t>
      </w:r>
    </w:p>
    <w:p w:rsidR="00ED2960" w:rsidRDefault="00ED2960" w:rsidP="00980E73">
      <w:pPr>
        <w:pStyle w:val="Ttulo1"/>
        <w:jc w:val="center"/>
        <w:rPr>
          <w:rFonts w:ascii="Times New Roman" w:hAnsi="Times New Roman"/>
          <w:b w:val="0"/>
          <w:szCs w:val="24"/>
        </w:rPr>
      </w:pPr>
      <w:r w:rsidRPr="00567741">
        <w:rPr>
          <w:rFonts w:ascii="Times New Roman" w:hAnsi="Times New Roman"/>
          <w:b w:val="0"/>
          <w:szCs w:val="24"/>
        </w:rPr>
        <w:t>Especialista em Regulação</w:t>
      </w:r>
    </w:p>
    <w:p w:rsidR="00980E73" w:rsidRPr="00980E73" w:rsidRDefault="00980E73" w:rsidP="00980E73"/>
    <w:p w:rsidR="00ED2960" w:rsidRPr="00567741" w:rsidRDefault="00ED2960" w:rsidP="00980E73">
      <w:pPr>
        <w:pStyle w:val="Ttulo1"/>
        <w:jc w:val="center"/>
        <w:rPr>
          <w:rFonts w:ascii="Times New Roman" w:hAnsi="Times New Roman"/>
          <w:b w:val="0"/>
          <w:szCs w:val="24"/>
        </w:rPr>
      </w:pPr>
      <w:r w:rsidRPr="00567741">
        <w:rPr>
          <w:rFonts w:ascii="Times New Roman" w:hAnsi="Times New Roman"/>
          <w:b w:val="0"/>
          <w:szCs w:val="24"/>
        </w:rPr>
        <w:t>______________________________</w:t>
      </w:r>
      <w:r>
        <w:rPr>
          <w:rFonts w:ascii="Times New Roman" w:hAnsi="Times New Roman"/>
          <w:b w:val="0"/>
          <w:szCs w:val="24"/>
        </w:rPr>
        <w:t>_______________________________</w:t>
      </w:r>
    </w:p>
    <w:p w:rsidR="00ED2960" w:rsidRPr="00567741" w:rsidRDefault="00ED2960" w:rsidP="00980E73">
      <w:pPr>
        <w:pStyle w:val="Ttulo1"/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LARISSA NOEMÍ SILVA FREITAS</w:t>
      </w:r>
    </w:p>
    <w:p w:rsidR="00ED2960" w:rsidRDefault="00ED2960" w:rsidP="00980E73">
      <w:pPr>
        <w:pStyle w:val="Ttulo1"/>
        <w:jc w:val="center"/>
        <w:rPr>
          <w:rFonts w:ascii="Times New Roman" w:hAnsi="Times New Roman"/>
          <w:b w:val="0"/>
          <w:szCs w:val="24"/>
        </w:rPr>
      </w:pPr>
      <w:r w:rsidRPr="00567741">
        <w:rPr>
          <w:rFonts w:ascii="Times New Roman" w:hAnsi="Times New Roman"/>
          <w:b w:val="0"/>
          <w:szCs w:val="24"/>
        </w:rPr>
        <w:t>Especialista em Regulação</w:t>
      </w:r>
    </w:p>
    <w:p w:rsidR="00980E73" w:rsidRPr="00980E73" w:rsidRDefault="00980E73" w:rsidP="00980E73"/>
    <w:p w:rsidR="00ED2960" w:rsidRPr="00567741" w:rsidRDefault="00ED2960" w:rsidP="00980E73">
      <w:pPr>
        <w:pStyle w:val="Ttulo1"/>
        <w:jc w:val="center"/>
        <w:rPr>
          <w:rFonts w:ascii="Times New Roman" w:hAnsi="Times New Roman"/>
          <w:b w:val="0"/>
          <w:szCs w:val="24"/>
        </w:rPr>
      </w:pPr>
      <w:r w:rsidRPr="00567741">
        <w:rPr>
          <w:rFonts w:ascii="Times New Roman" w:hAnsi="Times New Roman"/>
          <w:b w:val="0"/>
          <w:szCs w:val="24"/>
        </w:rPr>
        <w:t>______________________________</w:t>
      </w:r>
      <w:r>
        <w:rPr>
          <w:rFonts w:ascii="Times New Roman" w:hAnsi="Times New Roman"/>
          <w:b w:val="0"/>
          <w:szCs w:val="24"/>
        </w:rPr>
        <w:t>_______________________________</w:t>
      </w:r>
    </w:p>
    <w:p w:rsidR="00ED2960" w:rsidRPr="00567741" w:rsidRDefault="00ED2960" w:rsidP="00980E73">
      <w:pPr>
        <w:pStyle w:val="Ttulo1"/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LORENA MENDES DE SOUZA</w:t>
      </w:r>
    </w:p>
    <w:p w:rsidR="00ED2960" w:rsidRPr="00567741" w:rsidRDefault="00ED2960" w:rsidP="00980E73">
      <w:pPr>
        <w:pStyle w:val="Ttulo1"/>
        <w:jc w:val="center"/>
        <w:rPr>
          <w:rFonts w:ascii="Times New Roman" w:hAnsi="Times New Roman"/>
          <w:b w:val="0"/>
          <w:szCs w:val="24"/>
        </w:rPr>
      </w:pPr>
      <w:r w:rsidRPr="00567741">
        <w:rPr>
          <w:rFonts w:ascii="Times New Roman" w:hAnsi="Times New Roman"/>
          <w:b w:val="0"/>
          <w:szCs w:val="24"/>
        </w:rPr>
        <w:t>Especialista em Regulação</w:t>
      </w:r>
    </w:p>
    <w:p w:rsidR="00ED2960" w:rsidRPr="00567741" w:rsidRDefault="00ED2960" w:rsidP="008159F0">
      <w:pPr>
        <w:spacing w:before="240"/>
        <w:rPr>
          <w:szCs w:val="24"/>
        </w:rPr>
      </w:pPr>
    </w:p>
    <w:p w:rsidR="00ED2960" w:rsidRDefault="00ED2960" w:rsidP="008159F0">
      <w:pPr>
        <w:pStyle w:val="Ttulo1"/>
        <w:spacing w:before="240"/>
        <w:rPr>
          <w:rFonts w:ascii="Times New Roman" w:hAnsi="Times New Roman"/>
          <w:szCs w:val="24"/>
        </w:rPr>
      </w:pPr>
      <w:r w:rsidRPr="00567741">
        <w:rPr>
          <w:rFonts w:ascii="Times New Roman" w:hAnsi="Times New Roman"/>
          <w:szCs w:val="24"/>
        </w:rPr>
        <w:t>Revisão</w:t>
      </w:r>
      <w:r>
        <w:rPr>
          <w:rFonts w:ascii="Times New Roman" w:hAnsi="Times New Roman"/>
          <w:szCs w:val="24"/>
        </w:rPr>
        <w:t xml:space="preserve"> e Aprovação</w:t>
      </w:r>
      <w:r w:rsidRPr="00567741">
        <w:rPr>
          <w:rFonts w:ascii="Times New Roman" w:hAnsi="Times New Roman"/>
          <w:szCs w:val="24"/>
        </w:rPr>
        <w:t>:</w:t>
      </w:r>
    </w:p>
    <w:p w:rsidR="00980E73" w:rsidRDefault="00980E73" w:rsidP="008159F0">
      <w:pPr>
        <w:pStyle w:val="Ttulo1"/>
        <w:spacing w:before="240"/>
        <w:jc w:val="center"/>
        <w:rPr>
          <w:rFonts w:ascii="Times New Roman" w:hAnsi="Times New Roman"/>
          <w:b w:val="0"/>
          <w:szCs w:val="24"/>
        </w:rPr>
      </w:pPr>
    </w:p>
    <w:p w:rsidR="00ED2960" w:rsidRPr="00567741" w:rsidRDefault="00ED2960" w:rsidP="00980E73">
      <w:pPr>
        <w:pStyle w:val="Ttulo1"/>
        <w:jc w:val="center"/>
        <w:rPr>
          <w:rFonts w:ascii="Times New Roman" w:hAnsi="Times New Roman"/>
          <w:b w:val="0"/>
          <w:szCs w:val="24"/>
        </w:rPr>
      </w:pPr>
      <w:r w:rsidRPr="00567741">
        <w:rPr>
          <w:rFonts w:ascii="Times New Roman" w:hAnsi="Times New Roman"/>
          <w:b w:val="0"/>
          <w:szCs w:val="24"/>
        </w:rPr>
        <w:t>______________________________</w:t>
      </w:r>
      <w:r>
        <w:rPr>
          <w:rFonts w:ascii="Times New Roman" w:hAnsi="Times New Roman"/>
          <w:b w:val="0"/>
          <w:szCs w:val="24"/>
        </w:rPr>
        <w:t>_______________________________</w:t>
      </w:r>
    </w:p>
    <w:p w:rsidR="00ED2960" w:rsidRPr="00567741" w:rsidRDefault="00ED2960" w:rsidP="00980E73">
      <w:pPr>
        <w:pStyle w:val="Ttulo1"/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CARLOS ORLANDO ENRIQUE DA SILVA</w:t>
      </w:r>
    </w:p>
    <w:p w:rsidR="00ED2960" w:rsidRPr="00567741" w:rsidRDefault="00ED2960" w:rsidP="00980E73">
      <w:pPr>
        <w:pStyle w:val="Ttulo1"/>
        <w:jc w:val="center"/>
        <w:rPr>
          <w:rFonts w:ascii="Times New Roman" w:hAnsi="Times New Roman"/>
          <w:b w:val="0"/>
          <w:szCs w:val="24"/>
        </w:rPr>
      </w:pPr>
      <w:r w:rsidRPr="00567741">
        <w:rPr>
          <w:rFonts w:ascii="Times New Roman" w:hAnsi="Times New Roman"/>
          <w:b w:val="0"/>
          <w:szCs w:val="24"/>
        </w:rPr>
        <w:t>Superintendente de Biocombustíveis e Qualidade de Produtos</w:t>
      </w:r>
    </w:p>
    <w:p w:rsidR="00ED2960" w:rsidRPr="00567741" w:rsidRDefault="00ED2960" w:rsidP="008159F0">
      <w:pPr>
        <w:pStyle w:val="Ttulo1"/>
        <w:spacing w:before="240" w:after="120"/>
        <w:rPr>
          <w:rFonts w:ascii="Times New Roman" w:hAnsi="Times New Roman"/>
          <w:b w:val="0"/>
          <w:szCs w:val="24"/>
        </w:rPr>
      </w:pPr>
    </w:p>
    <w:p w:rsidR="00AD1292" w:rsidRPr="00567741" w:rsidRDefault="00AD1292" w:rsidP="008159F0">
      <w:pPr>
        <w:pStyle w:val="Ttulo1"/>
        <w:spacing w:before="240" w:after="120"/>
        <w:rPr>
          <w:rFonts w:ascii="Times New Roman" w:hAnsi="Times New Roman"/>
          <w:b w:val="0"/>
          <w:szCs w:val="24"/>
        </w:rPr>
      </w:pPr>
    </w:p>
    <w:sectPr w:rsidR="00AD1292" w:rsidRPr="00567741" w:rsidSect="00567741">
      <w:headerReference w:type="first" r:id="rId8"/>
      <w:type w:val="continuous"/>
      <w:pgSz w:w="11907" w:h="16840" w:code="9"/>
      <w:pgMar w:top="2410" w:right="851" w:bottom="1134" w:left="1418" w:header="0" w:footer="6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719" w:rsidRDefault="003D6719">
      <w:r>
        <w:separator/>
      </w:r>
    </w:p>
  </w:endnote>
  <w:endnote w:type="continuationSeparator" w:id="0">
    <w:p w:rsidR="003D6719" w:rsidRDefault="003D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719" w:rsidRDefault="003D6719">
      <w:r>
        <w:separator/>
      </w:r>
    </w:p>
  </w:footnote>
  <w:footnote w:type="continuationSeparator" w:id="0">
    <w:p w:rsidR="003D6719" w:rsidRDefault="003D6719">
      <w:r>
        <w:continuationSeparator/>
      </w:r>
    </w:p>
  </w:footnote>
  <w:footnote w:id="1">
    <w:p w:rsidR="00CA4342" w:rsidRPr="00BF209A" w:rsidRDefault="00CA4342" w:rsidP="00ED2960">
      <w:pPr>
        <w:pStyle w:val="Textodenotaderodap"/>
        <w:rPr>
          <w:rFonts w:ascii="Times New Roman" w:hAnsi="Times New Roman"/>
          <w:i/>
          <w:lang w:val="en-US"/>
        </w:rPr>
      </w:pPr>
      <w:r w:rsidRPr="00BF209A">
        <w:rPr>
          <w:rStyle w:val="Refdenotaderodap"/>
          <w:rFonts w:ascii="Times New Roman" w:hAnsi="Times New Roman"/>
          <w:i/>
        </w:rPr>
        <w:footnoteRef/>
      </w:r>
      <w:r w:rsidRPr="00BF209A">
        <w:rPr>
          <w:rFonts w:ascii="Times New Roman" w:hAnsi="Times New Roman"/>
          <w:i/>
          <w:lang w:val="en-US"/>
        </w:rPr>
        <w:t xml:space="preserve"> </w:t>
      </w:r>
      <w:r w:rsidRPr="00BF209A">
        <w:rPr>
          <w:rFonts w:ascii="Times New Roman" w:hAnsi="Times New Roman"/>
          <w:i/>
          <w:color w:val="000000"/>
          <w:szCs w:val="24"/>
          <w:lang w:val="en-US"/>
        </w:rPr>
        <w:t>Standard Practice for Qualification and Approval of New Aviation Turbine Fuels and Fuel Additives</w:t>
      </w:r>
      <w:r>
        <w:rPr>
          <w:rFonts w:ascii="Times New Roman" w:hAnsi="Times New Roman"/>
          <w:i/>
          <w:color w:val="000000"/>
          <w:szCs w:val="24"/>
          <w:lang w:val="en-US"/>
        </w:rPr>
        <w:t>.</w:t>
      </w:r>
    </w:p>
  </w:footnote>
  <w:footnote w:id="2">
    <w:p w:rsidR="00CA4342" w:rsidRPr="00BF209A" w:rsidRDefault="00CA4342" w:rsidP="00ED2960">
      <w:pPr>
        <w:pStyle w:val="Textodenotaderodap"/>
        <w:rPr>
          <w:rFonts w:ascii="Times New Roman" w:hAnsi="Times New Roman"/>
          <w:i/>
          <w:lang w:val="en-US"/>
        </w:rPr>
      </w:pPr>
      <w:r w:rsidRPr="00BF209A">
        <w:rPr>
          <w:rStyle w:val="Refdenotaderodap"/>
          <w:rFonts w:ascii="Times New Roman" w:hAnsi="Times New Roman"/>
          <w:i/>
        </w:rPr>
        <w:footnoteRef/>
      </w:r>
      <w:r w:rsidRPr="00BF209A">
        <w:rPr>
          <w:rFonts w:ascii="Times New Roman" w:hAnsi="Times New Roman"/>
          <w:i/>
          <w:lang w:val="en-US"/>
        </w:rPr>
        <w:t xml:space="preserve"> </w:t>
      </w:r>
      <w:r w:rsidRPr="00BF209A">
        <w:rPr>
          <w:rFonts w:ascii="Times New Roman" w:hAnsi="Times New Roman"/>
          <w:i/>
          <w:color w:val="000000"/>
          <w:szCs w:val="24"/>
          <w:lang w:val="en-US"/>
        </w:rPr>
        <w:t>Standard Specification for Aviation Turbine Fuel Containing Synthesized Hydrocarbons</w:t>
      </w:r>
      <w:r>
        <w:rPr>
          <w:rFonts w:ascii="Times New Roman" w:hAnsi="Times New Roman"/>
          <w:i/>
          <w:color w:val="000000"/>
          <w:szCs w:val="24"/>
          <w:lang w:val="en-US"/>
        </w:rPr>
        <w:t>.</w:t>
      </w:r>
    </w:p>
  </w:footnote>
  <w:footnote w:id="3">
    <w:p w:rsidR="00CA4342" w:rsidRPr="00BF209A" w:rsidRDefault="00CA4342" w:rsidP="00ED2960">
      <w:pPr>
        <w:pStyle w:val="Textodenotaderodap"/>
        <w:jc w:val="both"/>
        <w:rPr>
          <w:rFonts w:ascii="Times New Roman" w:hAnsi="Times New Roman"/>
        </w:rPr>
      </w:pPr>
      <w:r w:rsidRPr="00BF209A">
        <w:rPr>
          <w:rFonts w:ascii="Times New Roman" w:hAnsi="Times New Roman"/>
        </w:rPr>
        <w:footnoteRef/>
      </w:r>
      <w:r w:rsidRPr="00BF209A">
        <w:rPr>
          <w:rFonts w:ascii="Times New Roman" w:hAnsi="Times New Roman"/>
        </w:rPr>
        <w:t xml:space="preserve"> Querosene Parafínico Sintetizado obtido a partir de variação do processo Fischer-</w:t>
      </w:r>
      <w:proofErr w:type="spellStart"/>
      <w:r w:rsidRPr="00BF209A">
        <w:rPr>
          <w:rFonts w:ascii="Times New Roman" w:hAnsi="Times New Roman"/>
        </w:rPr>
        <w:t>Tropsh</w:t>
      </w:r>
      <w:proofErr w:type="spellEnd"/>
      <w:r w:rsidRPr="00BF209A">
        <w:rPr>
          <w:rFonts w:ascii="Times New Roman" w:hAnsi="Times New Roman"/>
        </w:rPr>
        <w:t xml:space="preserve"> com adição de aromáticos</w:t>
      </w:r>
      <w:r>
        <w:rPr>
          <w:rFonts w:ascii="Times New Roman" w:hAnsi="Times New Roman"/>
        </w:rPr>
        <w:t xml:space="preserve"> sintéticos</w:t>
      </w:r>
      <w:r w:rsidRPr="00BF209A">
        <w:rPr>
          <w:rFonts w:ascii="Times New Roman" w:hAnsi="Times New Roman"/>
        </w:rPr>
        <w:t>.</w:t>
      </w:r>
    </w:p>
  </w:footnote>
  <w:footnote w:id="4">
    <w:p w:rsidR="00CA4342" w:rsidRPr="00D21F19" w:rsidRDefault="00CA4342" w:rsidP="00ED2960">
      <w:pPr>
        <w:pStyle w:val="Textodenotaderodap"/>
        <w:jc w:val="both"/>
        <w:rPr>
          <w:rFonts w:ascii="Times New Roman" w:hAnsi="Times New Roman"/>
        </w:rPr>
      </w:pPr>
      <w:r w:rsidRPr="00340A8F">
        <w:rPr>
          <w:rFonts w:ascii="Times New Roman" w:hAnsi="Times New Roman"/>
        </w:rPr>
        <w:footnoteRef/>
      </w:r>
      <w:r w:rsidRPr="00340A8F">
        <w:rPr>
          <w:rFonts w:ascii="Times New Roman" w:hAnsi="Times New Roman"/>
        </w:rPr>
        <w:t xml:space="preserve"> Querosene Parafínico Sintetizado a partir de álcool, processado através das seguintes etapas: desidratação, </w:t>
      </w:r>
      <w:proofErr w:type="spellStart"/>
      <w:r w:rsidRPr="00340A8F">
        <w:rPr>
          <w:rFonts w:ascii="Times New Roman" w:hAnsi="Times New Roman"/>
        </w:rPr>
        <w:t>oligomerização</w:t>
      </w:r>
      <w:proofErr w:type="spellEnd"/>
      <w:r w:rsidRPr="00340A8F">
        <w:rPr>
          <w:rFonts w:ascii="Times New Roman" w:hAnsi="Times New Roman"/>
        </w:rPr>
        <w:t xml:space="preserve">, hidrogenação e fracionamento. </w:t>
      </w:r>
    </w:p>
  </w:footnote>
  <w:footnote w:id="5">
    <w:p w:rsidR="00CA4342" w:rsidRPr="002C23C6" w:rsidRDefault="00CA4342" w:rsidP="00055D9B">
      <w:pPr>
        <w:pStyle w:val="Textodenotaderodap"/>
        <w:jc w:val="both"/>
        <w:rPr>
          <w:rFonts w:ascii="Times New Roman" w:hAnsi="Times New Roman"/>
        </w:rPr>
      </w:pPr>
      <w:r w:rsidRPr="002C23C6">
        <w:rPr>
          <w:rStyle w:val="Refdenotaderodap"/>
          <w:rFonts w:ascii="Times New Roman" w:hAnsi="Times New Roman"/>
        </w:rPr>
        <w:footnoteRef/>
      </w:r>
      <w:r w:rsidRPr="002C23C6">
        <w:rPr>
          <w:rFonts w:ascii="Times New Roman" w:hAnsi="Times New Roman"/>
        </w:rPr>
        <w:t xml:space="preserve"> Certificado da Qualidade do Querosene de Aviação Alternativo, Certificado da Qualidade do QAV B, Boletim de Conformidade do QAV B e Registro da Análise da Qualidade do QAV B</w:t>
      </w:r>
      <w:r>
        <w:rPr>
          <w:rFonts w:ascii="Times New Roman" w:hAnsi="Times New Roman"/>
        </w:rPr>
        <w:t>.</w:t>
      </w:r>
    </w:p>
  </w:footnote>
  <w:footnote w:id="6">
    <w:p w:rsidR="00CA4342" w:rsidRPr="00E959E1" w:rsidRDefault="00CA4342" w:rsidP="00055D9B">
      <w:pPr>
        <w:shd w:val="clear" w:color="auto" w:fill="FFFFFF"/>
        <w:jc w:val="both"/>
        <w:rPr>
          <w:rFonts w:ascii="Times New Roman" w:hAnsi="Times New Roman"/>
          <w:sz w:val="20"/>
        </w:rPr>
      </w:pPr>
      <w:r w:rsidRPr="00694A77">
        <w:rPr>
          <w:rFonts w:ascii="Times New Roman" w:hAnsi="Times New Roman"/>
          <w:sz w:val="20"/>
        </w:rPr>
        <w:footnoteRef/>
      </w:r>
      <w:r w:rsidRPr="00694A77">
        <w:rPr>
          <w:rFonts w:ascii="Times New Roman" w:hAnsi="Times New Roman"/>
          <w:sz w:val="20"/>
        </w:rPr>
        <w:t xml:space="preserve"> Norma de </w:t>
      </w:r>
      <w:r w:rsidRPr="00E959E1">
        <w:rPr>
          <w:rFonts w:ascii="Times New Roman" w:hAnsi="Times New Roman"/>
          <w:sz w:val="20"/>
        </w:rPr>
        <w:t>Armazenamento de líquidos inflamáveis</w:t>
      </w:r>
      <w:r w:rsidRPr="00694A77">
        <w:rPr>
          <w:rFonts w:ascii="Times New Roman" w:hAnsi="Times New Roman"/>
          <w:sz w:val="20"/>
        </w:rPr>
        <w:t xml:space="preserve"> </w:t>
      </w:r>
      <w:r w:rsidRPr="00E959E1">
        <w:rPr>
          <w:rFonts w:ascii="Times New Roman" w:hAnsi="Times New Roman"/>
          <w:sz w:val="20"/>
        </w:rPr>
        <w:t>e combustíveis — Controle da qualidade no armazenamento, transporte e abastecimento</w:t>
      </w:r>
      <w:r w:rsidRPr="00694A77">
        <w:rPr>
          <w:rFonts w:ascii="Times New Roman" w:hAnsi="Times New Roman"/>
          <w:sz w:val="20"/>
        </w:rPr>
        <w:t xml:space="preserve"> </w:t>
      </w:r>
      <w:r w:rsidRPr="00E959E1">
        <w:rPr>
          <w:rFonts w:ascii="Times New Roman" w:hAnsi="Times New Roman"/>
          <w:sz w:val="20"/>
        </w:rPr>
        <w:t>de combustíveis de aviação</w:t>
      </w:r>
    </w:p>
    <w:p w:rsidR="00CA4342" w:rsidRDefault="00CA4342" w:rsidP="00055D9B">
      <w:pPr>
        <w:pStyle w:val="Textodenotaderodap"/>
      </w:pPr>
    </w:p>
  </w:footnote>
  <w:footnote w:id="7">
    <w:p w:rsidR="00CA4342" w:rsidRDefault="00CA4342" w:rsidP="00ED2960">
      <w:pPr>
        <w:pStyle w:val="Textodenotaderodap"/>
        <w:jc w:val="both"/>
      </w:pPr>
      <w:r w:rsidRPr="00A41CE2">
        <w:rPr>
          <w:rFonts w:ascii="Times New Roman" w:hAnsi="Times New Roman"/>
          <w:vertAlign w:val="superscript"/>
        </w:rPr>
        <w:footnoteRef/>
      </w:r>
      <w:r w:rsidRPr="00291E4B">
        <w:rPr>
          <w:rFonts w:ascii="Times New Roman" w:hAnsi="Times New Roman"/>
        </w:rPr>
        <w:t xml:space="preserve"> Entende-se como fração severamente hidroprocessada aquela fração de hidrocarbonetos derivados de petróleo, submetida a uma pressão parcial de hidrogênio acima de 7.000 kPa durante a sua produção.</w:t>
      </w:r>
    </w:p>
  </w:footnote>
  <w:footnote w:id="8">
    <w:p w:rsidR="00CA4342" w:rsidRPr="00C757E1" w:rsidRDefault="00CA4342" w:rsidP="00ED2960">
      <w:pPr>
        <w:pStyle w:val="Textodenotaderodap"/>
        <w:jc w:val="both"/>
      </w:pPr>
      <w:r w:rsidRPr="007F4A55">
        <w:rPr>
          <w:rFonts w:ascii="Times New Roman" w:hAnsi="Times New Roman"/>
          <w:color w:val="000000"/>
          <w:szCs w:val="24"/>
        </w:rPr>
        <w:footnoteRef/>
      </w:r>
      <w:r w:rsidRPr="007F4A55">
        <w:rPr>
          <w:rFonts w:ascii="Times New Roman" w:hAnsi="Times New Roman"/>
          <w:color w:val="000000"/>
          <w:szCs w:val="24"/>
        </w:rPr>
        <w:t xml:space="preserve"> Esclarecimento trazido por George R. Wilson, vice-presidente do Subcomitê de Combustíveis de Aviação: Seção de Combustível de Turbina de Aviação D.02.J.01</w:t>
      </w:r>
      <w:r w:rsidRPr="00C757E1">
        <w:rPr>
          <w:rFonts w:ascii="Helv" w:hAnsi="Helv" w:cs="Helv"/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342" w:rsidRDefault="00CA4342">
    <w:pPr>
      <w:pStyle w:val="Cabealho"/>
      <w:rPr>
        <w:noProof/>
      </w:rPr>
    </w:pPr>
  </w:p>
  <w:p w:rsidR="00CA4342" w:rsidRDefault="00CA4342">
    <w:pPr>
      <w:pStyle w:val="Cabealho"/>
      <w:rPr>
        <w:noProof/>
      </w:rPr>
    </w:pPr>
    <w:r>
      <w:rPr>
        <w:noProof/>
      </w:rPr>
      <w:t xml:space="preserve">          </w:t>
    </w:r>
  </w:p>
  <w:p w:rsidR="00CA4342" w:rsidRDefault="000F4D01" w:rsidP="005F6E68">
    <w:pPr>
      <w:pStyle w:val="Cabealho"/>
      <w:tabs>
        <w:tab w:val="left" w:pos="851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78.9pt;margin-top:15.5pt;width:410.05pt;height:68.4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" stroked="f">
          <v:textbox style="mso-fit-shape-to-text:t">
            <w:txbxContent>
              <w:p w:rsidR="00CA4342" w:rsidRPr="005F6E68" w:rsidRDefault="00CA4342" w:rsidP="005F6E68">
                <w:pPr>
                  <w:rPr>
                    <w:rFonts w:ascii="Times New Roman" w:hAnsi="Times New Roman"/>
                    <w:b/>
                    <w:szCs w:val="24"/>
                  </w:rPr>
                </w:pPr>
                <w:r w:rsidRPr="005F6E68">
                  <w:rPr>
                    <w:rFonts w:ascii="Times New Roman" w:hAnsi="Times New Roman"/>
                    <w:b/>
                    <w:szCs w:val="24"/>
                  </w:rPr>
                  <w:t>Agência Nacional do Petróleo, Gás Natural e Biocombustíveis</w:t>
                </w:r>
              </w:p>
              <w:p w:rsidR="00CA4342" w:rsidRPr="005F6E68" w:rsidRDefault="00CA4342" w:rsidP="005F6E68">
                <w:pPr>
                  <w:rPr>
                    <w:rFonts w:ascii="Times New Roman" w:hAnsi="Times New Roman"/>
                    <w:b/>
                    <w:szCs w:val="24"/>
                  </w:rPr>
                </w:pPr>
                <w:r w:rsidRPr="005F6E68">
                  <w:rPr>
                    <w:rFonts w:ascii="Times New Roman" w:hAnsi="Times New Roman"/>
                    <w:b/>
                    <w:szCs w:val="24"/>
                  </w:rPr>
                  <w:t>Superintendência de Biocombustíveis e de Qualidade de Produtos</w:t>
                </w:r>
              </w:p>
              <w:p w:rsidR="00CA4342" w:rsidRPr="005F6E68" w:rsidRDefault="00CA4342" w:rsidP="005F6E68">
                <w:pPr>
                  <w:pStyle w:val="Corpodetexto2"/>
                  <w:spacing w:line="240" w:lineRule="auto"/>
                  <w:rPr>
                    <w:b/>
                    <w:sz w:val="24"/>
                    <w:szCs w:val="24"/>
                  </w:rPr>
                </w:pPr>
                <w:r w:rsidRPr="005F6E68">
                  <w:rPr>
                    <w:b/>
                    <w:bCs/>
                    <w:sz w:val="24"/>
                    <w:szCs w:val="24"/>
                  </w:rPr>
                  <w:t>Coordenação de Regulação da Qualidade de Produtos</w:t>
                </w:r>
              </w:p>
              <w:p w:rsidR="00CA4342" w:rsidRPr="003927AE" w:rsidRDefault="00CA4342" w:rsidP="005F6E68">
                <w:pPr>
                  <w:rPr>
                    <w:szCs w:val="24"/>
                  </w:rPr>
                </w:pPr>
              </w:p>
            </w:txbxContent>
          </v:textbox>
        </v:shape>
      </w:pict>
    </w:r>
    <w:r w:rsidR="00CA4342">
      <w:rPr>
        <w:noProof/>
      </w:rPr>
      <w:drawing>
        <wp:inline distT="0" distB="0" distL="0" distR="0">
          <wp:extent cx="716280" cy="1302385"/>
          <wp:effectExtent l="19050" t="0" r="7620" b="0"/>
          <wp:docPr id="1" name="Imagem 1" descr="logo_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an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1302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0141"/>
    <w:multiLevelType w:val="hybridMultilevel"/>
    <w:tmpl w:val="05EA1FF4"/>
    <w:lvl w:ilvl="0" w:tplc="5502B21A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003A13"/>
    <w:multiLevelType w:val="hybridMultilevel"/>
    <w:tmpl w:val="E5AA293C"/>
    <w:lvl w:ilvl="0" w:tplc="5B4CF55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5F0EAD"/>
    <w:multiLevelType w:val="hybridMultilevel"/>
    <w:tmpl w:val="52B2C6D8"/>
    <w:lvl w:ilvl="0" w:tplc="E3885DF0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BF0378E"/>
    <w:multiLevelType w:val="singleLevel"/>
    <w:tmpl w:val="F956166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1C8C4E10"/>
    <w:multiLevelType w:val="multilevel"/>
    <w:tmpl w:val="E1D8E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3326D3"/>
    <w:multiLevelType w:val="hybridMultilevel"/>
    <w:tmpl w:val="32E85872"/>
    <w:lvl w:ilvl="0" w:tplc="91AE3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D690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853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89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7A0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A2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96A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6AF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00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C0549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C15E12"/>
    <w:multiLevelType w:val="hybridMultilevel"/>
    <w:tmpl w:val="4B4E7A1C"/>
    <w:lvl w:ilvl="0" w:tplc="E876823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70EC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5C636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9CA6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C2BB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08A75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C51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70E1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A401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64C4"/>
    <w:multiLevelType w:val="hybridMultilevel"/>
    <w:tmpl w:val="0F9418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60B27"/>
    <w:multiLevelType w:val="hybridMultilevel"/>
    <w:tmpl w:val="ED9C2C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6E041C"/>
    <w:multiLevelType w:val="hybridMultilevel"/>
    <w:tmpl w:val="63E26506"/>
    <w:lvl w:ilvl="0" w:tplc="D80A8D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82A32"/>
    <w:multiLevelType w:val="hybridMultilevel"/>
    <w:tmpl w:val="5E86D01A"/>
    <w:lvl w:ilvl="0" w:tplc="08F01E6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B6AF2"/>
    <w:multiLevelType w:val="hybridMultilevel"/>
    <w:tmpl w:val="3CE80F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71D79"/>
    <w:multiLevelType w:val="hybridMultilevel"/>
    <w:tmpl w:val="CD2EE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3664D"/>
    <w:multiLevelType w:val="hybridMultilevel"/>
    <w:tmpl w:val="AAF63BC8"/>
    <w:lvl w:ilvl="0" w:tplc="0416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5" w15:restartNumberingAfterBreak="0">
    <w:nsid w:val="44A246A1"/>
    <w:multiLevelType w:val="singleLevel"/>
    <w:tmpl w:val="B34ACD3E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44FD51D1"/>
    <w:multiLevelType w:val="singleLevel"/>
    <w:tmpl w:val="9132922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spacing w:val="46"/>
      </w:rPr>
    </w:lvl>
  </w:abstractNum>
  <w:abstractNum w:abstractNumId="17" w15:restartNumberingAfterBreak="0">
    <w:nsid w:val="4BF66333"/>
    <w:multiLevelType w:val="hybridMultilevel"/>
    <w:tmpl w:val="AAA4F4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10A2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71F7E90"/>
    <w:multiLevelType w:val="hybridMultilevel"/>
    <w:tmpl w:val="6374C0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D640CE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1251BE9"/>
    <w:multiLevelType w:val="hybridMultilevel"/>
    <w:tmpl w:val="025CD1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72B1D"/>
    <w:multiLevelType w:val="hybridMultilevel"/>
    <w:tmpl w:val="701C403A"/>
    <w:lvl w:ilvl="0" w:tplc="164008A8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A3C93"/>
    <w:multiLevelType w:val="hybridMultilevel"/>
    <w:tmpl w:val="AB8CA8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E599C"/>
    <w:multiLevelType w:val="singleLevel"/>
    <w:tmpl w:val="0416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A17063E"/>
    <w:multiLevelType w:val="hybridMultilevel"/>
    <w:tmpl w:val="3A9828A8"/>
    <w:lvl w:ilvl="0" w:tplc="04160011">
      <w:start w:val="1"/>
      <w:numFmt w:val="decimal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D0A364E"/>
    <w:multiLevelType w:val="hybridMultilevel"/>
    <w:tmpl w:val="006C71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20"/>
  </w:num>
  <w:num w:numId="4">
    <w:abstractNumId w:val="18"/>
  </w:num>
  <w:num w:numId="5">
    <w:abstractNumId w:val="15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23"/>
  </w:num>
  <w:num w:numId="10">
    <w:abstractNumId w:val="6"/>
  </w:num>
  <w:num w:numId="11">
    <w:abstractNumId w:val="2"/>
  </w:num>
  <w:num w:numId="12">
    <w:abstractNumId w:val="10"/>
  </w:num>
  <w:num w:numId="13">
    <w:abstractNumId w:val="1"/>
  </w:num>
  <w:num w:numId="14">
    <w:abstractNumId w:val="11"/>
  </w:num>
  <w:num w:numId="15">
    <w:abstractNumId w:val="22"/>
  </w:num>
  <w:num w:numId="16">
    <w:abstractNumId w:val="4"/>
  </w:num>
  <w:num w:numId="17">
    <w:abstractNumId w:val="7"/>
  </w:num>
  <w:num w:numId="18">
    <w:abstractNumId w:val="14"/>
  </w:num>
  <w:num w:numId="19">
    <w:abstractNumId w:val="8"/>
  </w:num>
  <w:num w:numId="20">
    <w:abstractNumId w:val="13"/>
  </w:num>
  <w:num w:numId="21">
    <w:abstractNumId w:val="17"/>
  </w:num>
  <w:num w:numId="22">
    <w:abstractNumId w:val="21"/>
  </w:num>
  <w:num w:numId="23">
    <w:abstractNumId w:val="26"/>
  </w:num>
  <w:num w:numId="24">
    <w:abstractNumId w:val="19"/>
  </w:num>
  <w:num w:numId="25">
    <w:abstractNumId w:val="25"/>
  </w:num>
  <w:num w:numId="26">
    <w:abstractNumId w:val="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91A"/>
    <w:rsid w:val="00000DFD"/>
    <w:rsid w:val="000059C6"/>
    <w:rsid w:val="0000648D"/>
    <w:rsid w:val="000077CC"/>
    <w:rsid w:val="000078E7"/>
    <w:rsid w:val="00007A2D"/>
    <w:rsid w:val="00007C03"/>
    <w:rsid w:val="00010BD1"/>
    <w:rsid w:val="0001196C"/>
    <w:rsid w:val="00015EA9"/>
    <w:rsid w:val="000172A9"/>
    <w:rsid w:val="0002294B"/>
    <w:rsid w:val="00022DA1"/>
    <w:rsid w:val="00024F16"/>
    <w:rsid w:val="00030B79"/>
    <w:rsid w:val="00030C66"/>
    <w:rsid w:val="00032492"/>
    <w:rsid w:val="0003310C"/>
    <w:rsid w:val="000339C6"/>
    <w:rsid w:val="000342F9"/>
    <w:rsid w:val="000351DA"/>
    <w:rsid w:val="000364BE"/>
    <w:rsid w:val="0004123B"/>
    <w:rsid w:val="00041727"/>
    <w:rsid w:val="000437E0"/>
    <w:rsid w:val="00044456"/>
    <w:rsid w:val="0004559D"/>
    <w:rsid w:val="000455AC"/>
    <w:rsid w:val="00046228"/>
    <w:rsid w:val="00046F45"/>
    <w:rsid w:val="0004759A"/>
    <w:rsid w:val="00047B6A"/>
    <w:rsid w:val="000517C4"/>
    <w:rsid w:val="00052DDC"/>
    <w:rsid w:val="00054E20"/>
    <w:rsid w:val="00055D9B"/>
    <w:rsid w:val="00063F6F"/>
    <w:rsid w:val="0006465B"/>
    <w:rsid w:val="00065A80"/>
    <w:rsid w:val="000670BF"/>
    <w:rsid w:val="00067EA8"/>
    <w:rsid w:val="000736B0"/>
    <w:rsid w:val="000759A5"/>
    <w:rsid w:val="00076D47"/>
    <w:rsid w:val="000778AA"/>
    <w:rsid w:val="00077D0A"/>
    <w:rsid w:val="000834D7"/>
    <w:rsid w:val="000841C1"/>
    <w:rsid w:val="000844E8"/>
    <w:rsid w:val="000866F0"/>
    <w:rsid w:val="00095383"/>
    <w:rsid w:val="00097E06"/>
    <w:rsid w:val="000A1E87"/>
    <w:rsid w:val="000A24DB"/>
    <w:rsid w:val="000A2AA9"/>
    <w:rsid w:val="000A3D1B"/>
    <w:rsid w:val="000A448F"/>
    <w:rsid w:val="000A4605"/>
    <w:rsid w:val="000A585E"/>
    <w:rsid w:val="000A63FD"/>
    <w:rsid w:val="000B11D7"/>
    <w:rsid w:val="000B1912"/>
    <w:rsid w:val="000B421E"/>
    <w:rsid w:val="000B6730"/>
    <w:rsid w:val="000B6791"/>
    <w:rsid w:val="000C43D4"/>
    <w:rsid w:val="000C4826"/>
    <w:rsid w:val="000C4C98"/>
    <w:rsid w:val="000D0B26"/>
    <w:rsid w:val="000D2565"/>
    <w:rsid w:val="000D25EC"/>
    <w:rsid w:val="000D268E"/>
    <w:rsid w:val="000E0BC9"/>
    <w:rsid w:val="000E1C1D"/>
    <w:rsid w:val="000E1E8E"/>
    <w:rsid w:val="000E4C24"/>
    <w:rsid w:val="000E5CBF"/>
    <w:rsid w:val="000E736B"/>
    <w:rsid w:val="000F035C"/>
    <w:rsid w:val="000F1591"/>
    <w:rsid w:val="000F2761"/>
    <w:rsid w:val="000F4D01"/>
    <w:rsid w:val="000F642E"/>
    <w:rsid w:val="0010303C"/>
    <w:rsid w:val="00103745"/>
    <w:rsid w:val="00103980"/>
    <w:rsid w:val="00103BA5"/>
    <w:rsid w:val="00105567"/>
    <w:rsid w:val="001056BE"/>
    <w:rsid w:val="001107FF"/>
    <w:rsid w:val="001110D2"/>
    <w:rsid w:val="00113CA2"/>
    <w:rsid w:val="00113F84"/>
    <w:rsid w:val="001141D8"/>
    <w:rsid w:val="00116963"/>
    <w:rsid w:val="00120A73"/>
    <w:rsid w:val="0012105F"/>
    <w:rsid w:val="001233C8"/>
    <w:rsid w:val="00125DFC"/>
    <w:rsid w:val="00125E0A"/>
    <w:rsid w:val="0012672D"/>
    <w:rsid w:val="001301EF"/>
    <w:rsid w:val="00131F7C"/>
    <w:rsid w:val="00131F95"/>
    <w:rsid w:val="0013470F"/>
    <w:rsid w:val="00135BC4"/>
    <w:rsid w:val="00136D29"/>
    <w:rsid w:val="00137030"/>
    <w:rsid w:val="00140132"/>
    <w:rsid w:val="0014041D"/>
    <w:rsid w:val="00140656"/>
    <w:rsid w:val="001426CC"/>
    <w:rsid w:val="001428B0"/>
    <w:rsid w:val="00142C31"/>
    <w:rsid w:val="00145E30"/>
    <w:rsid w:val="001574F1"/>
    <w:rsid w:val="001622C1"/>
    <w:rsid w:val="00163258"/>
    <w:rsid w:val="00163C06"/>
    <w:rsid w:val="001657A8"/>
    <w:rsid w:val="0016746C"/>
    <w:rsid w:val="00170C33"/>
    <w:rsid w:val="0017430A"/>
    <w:rsid w:val="00177970"/>
    <w:rsid w:val="00181CC2"/>
    <w:rsid w:val="00182AA5"/>
    <w:rsid w:val="001831B1"/>
    <w:rsid w:val="0018745A"/>
    <w:rsid w:val="00187C07"/>
    <w:rsid w:val="00192C37"/>
    <w:rsid w:val="001A09BA"/>
    <w:rsid w:val="001A56F2"/>
    <w:rsid w:val="001A63C4"/>
    <w:rsid w:val="001A7F55"/>
    <w:rsid w:val="001B23B2"/>
    <w:rsid w:val="001B52A4"/>
    <w:rsid w:val="001B55F8"/>
    <w:rsid w:val="001B6846"/>
    <w:rsid w:val="001C2298"/>
    <w:rsid w:val="001C5F06"/>
    <w:rsid w:val="001D0245"/>
    <w:rsid w:val="001D1501"/>
    <w:rsid w:val="001D1B02"/>
    <w:rsid w:val="001D1EDF"/>
    <w:rsid w:val="001E051C"/>
    <w:rsid w:val="001E2AA3"/>
    <w:rsid w:val="001E4DBA"/>
    <w:rsid w:val="001E7FEA"/>
    <w:rsid w:val="001F3EA5"/>
    <w:rsid w:val="001F5761"/>
    <w:rsid w:val="002000F5"/>
    <w:rsid w:val="00204237"/>
    <w:rsid w:val="002044D1"/>
    <w:rsid w:val="00206243"/>
    <w:rsid w:val="00206D0B"/>
    <w:rsid w:val="00207D4F"/>
    <w:rsid w:val="002105CF"/>
    <w:rsid w:val="0021242E"/>
    <w:rsid w:val="00214516"/>
    <w:rsid w:val="0021639D"/>
    <w:rsid w:val="002164D0"/>
    <w:rsid w:val="00216EB0"/>
    <w:rsid w:val="0022140B"/>
    <w:rsid w:val="00222CDE"/>
    <w:rsid w:val="00223BD2"/>
    <w:rsid w:val="002248EB"/>
    <w:rsid w:val="002251EC"/>
    <w:rsid w:val="00231177"/>
    <w:rsid w:val="00231F10"/>
    <w:rsid w:val="0023315B"/>
    <w:rsid w:val="00235B07"/>
    <w:rsid w:val="00240021"/>
    <w:rsid w:val="00240B41"/>
    <w:rsid w:val="00240D65"/>
    <w:rsid w:val="002417CA"/>
    <w:rsid w:val="00244EF8"/>
    <w:rsid w:val="00245F3E"/>
    <w:rsid w:val="002461FE"/>
    <w:rsid w:val="00251EF8"/>
    <w:rsid w:val="00253E2A"/>
    <w:rsid w:val="00257373"/>
    <w:rsid w:val="0025767C"/>
    <w:rsid w:val="00260DCD"/>
    <w:rsid w:val="00262104"/>
    <w:rsid w:val="002658E8"/>
    <w:rsid w:val="00266A49"/>
    <w:rsid w:val="0027102A"/>
    <w:rsid w:val="0027552B"/>
    <w:rsid w:val="002768E4"/>
    <w:rsid w:val="00282B26"/>
    <w:rsid w:val="002875BA"/>
    <w:rsid w:val="002876DE"/>
    <w:rsid w:val="00290AB5"/>
    <w:rsid w:val="00291E4B"/>
    <w:rsid w:val="00292D94"/>
    <w:rsid w:val="002A0381"/>
    <w:rsid w:val="002A0EAE"/>
    <w:rsid w:val="002A2DCA"/>
    <w:rsid w:val="002A57C7"/>
    <w:rsid w:val="002A6393"/>
    <w:rsid w:val="002B1D95"/>
    <w:rsid w:val="002B20BB"/>
    <w:rsid w:val="002B69E7"/>
    <w:rsid w:val="002C0380"/>
    <w:rsid w:val="002C23C6"/>
    <w:rsid w:val="002C5143"/>
    <w:rsid w:val="002C5DDF"/>
    <w:rsid w:val="002D0543"/>
    <w:rsid w:val="002D1657"/>
    <w:rsid w:val="002D1D28"/>
    <w:rsid w:val="002D2E4A"/>
    <w:rsid w:val="002D34DC"/>
    <w:rsid w:val="002E11D4"/>
    <w:rsid w:val="002E1D83"/>
    <w:rsid w:val="002E2BBF"/>
    <w:rsid w:val="002E64F1"/>
    <w:rsid w:val="002E6B59"/>
    <w:rsid w:val="002E79F1"/>
    <w:rsid w:val="002F0D33"/>
    <w:rsid w:val="002F1366"/>
    <w:rsid w:val="002F14E1"/>
    <w:rsid w:val="002F7D39"/>
    <w:rsid w:val="00300936"/>
    <w:rsid w:val="00301235"/>
    <w:rsid w:val="00303403"/>
    <w:rsid w:val="003039C1"/>
    <w:rsid w:val="0030438F"/>
    <w:rsid w:val="00304759"/>
    <w:rsid w:val="00310633"/>
    <w:rsid w:val="0031243E"/>
    <w:rsid w:val="00313969"/>
    <w:rsid w:val="00314370"/>
    <w:rsid w:val="00316DCC"/>
    <w:rsid w:val="00322E42"/>
    <w:rsid w:val="00324E74"/>
    <w:rsid w:val="00325C72"/>
    <w:rsid w:val="00325FE0"/>
    <w:rsid w:val="0033191A"/>
    <w:rsid w:val="003351F0"/>
    <w:rsid w:val="003358C4"/>
    <w:rsid w:val="003363AB"/>
    <w:rsid w:val="00336FC3"/>
    <w:rsid w:val="00340A8F"/>
    <w:rsid w:val="00340F5F"/>
    <w:rsid w:val="003414B7"/>
    <w:rsid w:val="003442A1"/>
    <w:rsid w:val="00345996"/>
    <w:rsid w:val="00347CCF"/>
    <w:rsid w:val="0035291B"/>
    <w:rsid w:val="0035740B"/>
    <w:rsid w:val="003603AC"/>
    <w:rsid w:val="0036174D"/>
    <w:rsid w:val="00363031"/>
    <w:rsid w:val="003634F4"/>
    <w:rsid w:val="00363B77"/>
    <w:rsid w:val="00363D96"/>
    <w:rsid w:val="00366181"/>
    <w:rsid w:val="00372CC4"/>
    <w:rsid w:val="00374D43"/>
    <w:rsid w:val="00375663"/>
    <w:rsid w:val="00382D7C"/>
    <w:rsid w:val="003840B4"/>
    <w:rsid w:val="00384EC6"/>
    <w:rsid w:val="00387987"/>
    <w:rsid w:val="00390EBE"/>
    <w:rsid w:val="00397147"/>
    <w:rsid w:val="003A16D0"/>
    <w:rsid w:val="003A52D1"/>
    <w:rsid w:val="003A5516"/>
    <w:rsid w:val="003A7A43"/>
    <w:rsid w:val="003B0543"/>
    <w:rsid w:val="003B3ADA"/>
    <w:rsid w:val="003B4BFA"/>
    <w:rsid w:val="003B5985"/>
    <w:rsid w:val="003B741D"/>
    <w:rsid w:val="003C163D"/>
    <w:rsid w:val="003C486E"/>
    <w:rsid w:val="003C56EA"/>
    <w:rsid w:val="003C57BC"/>
    <w:rsid w:val="003D05F3"/>
    <w:rsid w:val="003D0EB8"/>
    <w:rsid w:val="003D16AB"/>
    <w:rsid w:val="003D2A6B"/>
    <w:rsid w:val="003D2E00"/>
    <w:rsid w:val="003D424F"/>
    <w:rsid w:val="003D519F"/>
    <w:rsid w:val="003D6719"/>
    <w:rsid w:val="003E0E4B"/>
    <w:rsid w:val="003E1037"/>
    <w:rsid w:val="003E24C9"/>
    <w:rsid w:val="003E5547"/>
    <w:rsid w:val="003E58EE"/>
    <w:rsid w:val="003F0740"/>
    <w:rsid w:val="003F0DF9"/>
    <w:rsid w:val="003F2626"/>
    <w:rsid w:val="003F3539"/>
    <w:rsid w:val="003F3C50"/>
    <w:rsid w:val="003F5A64"/>
    <w:rsid w:val="004018CE"/>
    <w:rsid w:val="0040203A"/>
    <w:rsid w:val="00402160"/>
    <w:rsid w:val="00402ACA"/>
    <w:rsid w:val="004037FC"/>
    <w:rsid w:val="00404B8A"/>
    <w:rsid w:val="00404C7B"/>
    <w:rsid w:val="00405D5B"/>
    <w:rsid w:val="0040614D"/>
    <w:rsid w:val="004118BE"/>
    <w:rsid w:val="0041243E"/>
    <w:rsid w:val="004129AB"/>
    <w:rsid w:val="00412F7B"/>
    <w:rsid w:val="00413EF7"/>
    <w:rsid w:val="00414367"/>
    <w:rsid w:val="00415609"/>
    <w:rsid w:val="00416911"/>
    <w:rsid w:val="004220D8"/>
    <w:rsid w:val="0042255E"/>
    <w:rsid w:val="00423222"/>
    <w:rsid w:val="0042470E"/>
    <w:rsid w:val="00425C9A"/>
    <w:rsid w:val="0042791C"/>
    <w:rsid w:val="00427C16"/>
    <w:rsid w:val="004310B4"/>
    <w:rsid w:val="00435F91"/>
    <w:rsid w:val="00436FE0"/>
    <w:rsid w:val="00441C26"/>
    <w:rsid w:val="00444F36"/>
    <w:rsid w:val="004462D1"/>
    <w:rsid w:val="004501F5"/>
    <w:rsid w:val="00453ECB"/>
    <w:rsid w:val="00455831"/>
    <w:rsid w:val="0046034D"/>
    <w:rsid w:val="004613AF"/>
    <w:rsid w:val="00461CA6"/>
    <w:rsid w:val="004635D7"/>
    <w:rsid w:val="004667D2"/>
    <w:rsid w:val="004670AD"/>
    <w:rsid w:val="00470C62"/>
    <w:rsid w:val="00471E1B"/>
    <w:rsid w:val="00471F1E"/>
    <w:rsid w:val="00471F60"/>
    <w:rsid w:val="00472253"/>
    <w:rsid w:val="004735E0"/>
    <w:rsid w:val="00473B95"/>
    <w:rsid w:val="00474C5D"/>
    <w:rsid w:val="00476257"/>
    <w:rsid w:val="00476F3C"/>
    <w:rsid w:val="00480E15"/>
    <w:rsid w:val="004831F6"/>
    <w:rsid w:val="004838B7"/>
    <w:rsid w:val="00484214"/>
    <w:rsid w:val="0048441E"/>
    <w:rsid w:val="004906E1"/>
    <w:rsid w:val="00491A79"/>
    <w:rsid w:val="0049340B"/>
    <w:rsid w:val="00494EB8"/>
    <w:rsid w:val="00495501"/>
    <w:rsid w:val="00496295"/>
    <w:rsid w:val="004A0C21"/>
    <w:rsid w:val="004A1761"/>
    <w:rsid w:val="004A1DA2"/>
    <w:rsid w:val="004A475F"/>
    <w:rsid w:val="004A562C"/>
    <w:rsid w:val="004A6E7F"/>
    <w:rsid w:val="004B3341"/>
    <w:rsid w:val="004B656B"/>
    <w:rsid w:val="004B7F22"/>
    <w:rsid w:val="004C083F"/>
    <w:rsid w:val="004C3EEB"/>
    <w:rsid w:val="004C5DEB"/>
    <w:rsid w:val="004C75F3"/>
    <w:rsid w:val="004D17BA"/>
    <w:rsid w:val="004D2125"/>
    <w:rsid w:val="004D2239"/>
    <w:rsid w:val="004D260A"/>
    <w:rsid w:val="004D5CF5"/>
    <w:rsid w:val="004D6AA5"/>
    <w:rsid w:val="004D7271"/>
    <w:rsid w:val="004E05BD"/>
    <w:rsid w:val="004E0C27"/>
    <w:rsid w:val="004E11AD"/>
    <w:rsid w:val="004E2B08"/>
    <w:rsid w:val="004E3090"/>
    <w:rsid w:val="004E5033"/>
    <w:rsid w:val="004E5BAF"/>
    <w:rsid w:val="004E6B8E"/>
    <w:rsid w:val="004F015B"/>
    <w:rsid w:val="004F0C78"/>
    <w:rsid w:val="004F296C"/>
    <w:rsid w:val="004F56C9"/>
    <w:rsid w:val="005000A8"/>
    <w:rsid w:val="00500418"/>
    <w:rsid w:val="005005AF"/>
    <w:rsid w:val="005010C8"/>
    <w:rsid w:val="00506A6E"/>
    <w:rsid w:val="00507019"/>
    <w:rsid w:val="0051094D"/>
    <w:rsid w:val="00510A55"/>
    <w:rsid w:val="00510BB4"/>
    <w:rsid w:val="00516AC1"/>
    <w:rsid w:val="00517285"/>
    <w:rsid w:val="00517ADB"/>
    <w:rsid w:val="00521CC6"/>
    <w:rsid w:val="00522F78"/>
    <w:rsid w:val="00524068"/>
    <w:rsid w:val="00526A1E"/>
    <w:rsid w:val="0052776C"/>
    <w:rsid w:val="00531CA6"/>
    <w:rsid w:val="005327AA"/>
    <w:rsid w:val="00533A4D"/>
    <w:rsid w:val="00533B87"/>
    <w:rsid w:val="005344D4"/>
    <w:rsid w:val="00536E23"/>
    <w:rsid w:val="00537622"/>
    <w:rsid w:val="0054280A"/>
    <w:rsid w:val="005428DE"/>
    <w:rsid w:val="00542E25"/>
    <w:rsid w:val="005446F4"/>
    <w:rsid w:val="0054602C"/>
    <w:rsid w:val="0054617B"/>
    <w:rsid w:val="00550F91"/>
    <w:rsid w:val="00551671"/>
    <w:rsid w:val="005532F9"/>
    <w:rsid w:val="00553C93"/>
    <w:rsid w:val="00553CAA"/>
    <w:rsid w:val="00554E68"/>
    <w:rsid w:val="00555ECE"/>
    <w:rsid w:val="005566D3"/>
    <w:rsid w:val="00556DFE"/>
    <w:rsid w:val="005578FF"/>
    <w:rsid w:val="00562D06"/>
    <w:rsid w:val="00564AD2"/>
    <w:rsid w:val="00564C7E"/>
    <w:rsid w:val="0056540F"/>
    <w:rsid w:val="00567330"/>
    <w:rsid w:val="00567741"/>
    <w:rsid w:val="00570114"/>
    <w:rsid w:val="0057195D"/>
    <w:rsid w:val="00574438"/>
    <w:rsid w:val="00577912"/>
    <w:rsid w:val="00582B5C"/>
    <w:rsid w:val="0058352D"/>
    <w:rsid w:val="00584BCA"/>
    <w:rsid w:val="005854F7"/>
    <w:rsid w:val="00590B2F"/>
    <w:rsid w:val="00590DEC"/>
    <w:rsid w:val="00591F31"/>
    <w:rsid w:val="005928C7"/>
    <w:rsid w:val="00592B9F"/>
    <w:rsid w:val="00596970"/>
    <w:rsid w:val="005A029E"/>
    <w:rsid w:val="005A7F3F"/>
    <w:rsid w:val="005B1358"/>
    <w:rsid w:val="005B1D11"/>
    <w:rsid w:val="005B23F0"/>
    <w:rsid w:val="005B2558"/>
    <w:rsid w:val="005B477B"/>
    <w:rsid w:val="005B48E4"/>
    <w:rsid w:val="005B668E"/>
    <w:rsid w:val="005C4411"/>
    <w:rsid w:val="005C6030"/>
    <w:rsid w:val="005D0792"/>
    <w:rsid w:val="005D0DC8"/>
    <w:rsid w:val="005D2E80"/>
    <w:rsid w:val="005D5BB4"/>
    <w:rsid w:val="005E05D9"/>
    <w:rsid w:val="005E2E35"/>
    <w:rsid w:val="005E5549"/>
    <w:rsid w:val="005E76D5"/>
    <w:rsid w:val="005E7767"/>
    <w:rsid w:val="005F0F18"/>
    <w:rsid w:val="005F1BB6"/>
    <w:rsid w:val="005F5D7A"/>
    <w:rsid w:val="005F6086"/>
    <w:rsid w:val="005F6E68"/>
    <w:rsid w:val="005F77BD"/>
    <w:rsid w:val="00605479"/>
    <w:rsid w:val="00606108"/>
    <w:rsid w:val="0061025E"/>
    <w:rsid w:val="006113A9"/>
    <w:rsid w:val="00615821"/>
    <w:rsid w:val="0062366C"/>
    <w:rsid w:val="006244DE"/>
    <w:rsid w:val="00626AB5"/>
    <w:rsid w:val="00627241"/>
    <w:rsid w:val="00627DED"/>
    <w:rsid w:val="006307E6"/>
    <w:rsid w:val="006310C2"/>
    <w:rsid w:val="00632E0F"/>
    <w:rsid w:val="00633ACE"/>
    <w:rsid w:val="00635510"/>
    <w:rsid w:val="00635BCC"/>
    <w:rsid w:val="006374D4"/>
    <w:rsid w:val="00641045"/>
    <w:rsid w:val="00641AD9"/>
    <w:rsid w:val="00641FBA"/>
    <w:rsid w:val="006432C5"/>
    <w:rsid w:val="006436F9"/>
    <w:rsid w:val="00644527"/>
    <w:rsid w:val="00644C6F"/>
    <w:rsid w:val="00651C41"/>
    <w:rsid w:val="00657CA8"/>
    <w:rsid w:val="006633F9"/>
    <w:rsid w:val="00663FA7"/>
    <w:rsid w:val="00665F18"/>
    <w:rsid w:val="00667ED9"/>
    <w:rsid w:val="00670547"/>
    <w:rsid w:val="0067103D"/>
    <w:rsid w:val="006711B0"/>
    <w:rsid w:val="00672004"/>
    <w:rsid w:val="00672CD5"/>
    <w:rsid w:val="00674AFD"/>
    <w:rsid w:val="006778A9"/>
    <w:rsid w:val="006805DC"/>
    <w:rsid w:val="00681DF7"/>
    <w:rsid w:val="006933EE"/>
    <w:rsid w:val="00694068"/>
    <w:rsid w:val="00694391"/>
    <w:rsid w:val="00694A77"/>
    <w:rsid w:val="006958B8"/>
    <w:rsid w:val="00696391"/>
    <w:rsid w:val="00697CF2"/>
    <w:rsid w:val="006A0F98"/>
    <w:rsid w:val="006A4B3C"/>
    <w:rsid w:val="006A7375"/>
    <w:rsid w:val="006B0038"/>
    <w:rsid w:val="006B0AA6"/>
    <w:rsid w:val="006B2C07"/>
    <w:rsid w:val="006B3004"/>
    <w:rsid w:val="006B35CD"/>
    <w:rsid w:val="006B42D9"/>
    <w:rsid w:val="006B5B91"/>
    <w:rsid w:val="006B6960"/>
    <w:rsid w:val="006C0F0B"/>
    <w:rsid w:val="006C1898"/>
    <w:rsid w:val="006C3991"/>
    <w:rsid w:val="006C5034"/>
    <w:rsid w:val="006C6E28"/>
    <w:rsid w:val="006C6EAD"/>
    <w:rsid w:val="006D029D"/>
    <w:rsid w:val="006D0545"/>
    <w:rsid w:val="006D4B90"/>
    <w:rsid w:val="006D5822"/>
    <w:rsid w:val="006D6DC1"/>
    <w:rsid w:val="006E0D56"/>
    <w:rsid w:val="006E1327"/>
    <w:rsid w:val="006E506D"/>
    <w:rsid w:val="006E61A7"/>
    <w:rsid w:val="006F2809"/>
    <w:rsid w:val="006F3D93"/>
    <w:rsid w:val="006F53F7"/>
    <w:rsid w:val="006F6805"/>
    <w:rsid w:val="006F7620"/>
    <w:rsid w:val="007017B2"/>
    <w:rsid w:val="007020C6"/>
    <w:rsid w:val="00702D0D"/>
    <w:rsid w:val="00702F76"/>
    <w:rsid w:val="00703392"/>
    <w:rsid w:val="00703444"/>
    <w:rsid w:val="00703881"/>
    <w:rsid w:val="00704D8C"/>
    <w:rsid w:val="007114A0"/>
    <w:rsid w:val="00711A06"/>
    <w:rsid w:val="0071345A"/>
    <w:rsid w:val="00713531"/>
    <w:rsid w:val="0071385A"/>
    <w:rsid w:val="0072192D"/>
    <w:rsid w:val="007221FF"/>
    <w:rsid w:val="007242AA"/>
    <w:rsid w:val="007245E9"/>
    <w:rsid w:val="007262D5"/>
    <w:rsid w:val="00726E46"/>
    <w:rsid w:val="00726FDC"/>
    <w:rsid w:val="0073152E"/>
    <w:rsid w:val="00734D0D"/>
    <w:rsid w:val="00734DBC"/>
    <w:rsid w:val="00736E20"/>
    <w:rsid w:val="00741A9D"/>
    <w:rsid w:val="0074221A"/>
    <w:rsid w:val="00743042"/>
    <w:rsid w:val="00743982"/>
    <w:rsid w:val="0075051F"/>
    <w:rsid w:val="007548D5"/>
    <w:rsid w:val="00754C18"/>
    <w:rsid w:val="007564DC"/>
    <w:rsid w:val="00760E53"/>
    <w:rsid w:val="00765703"/>
    <w:rsid w:val="007664BA"/>
    <w:rsid w:val="0076674E"/>
    <w:rsid w:val="0076799E"/>
    <w:rsid w:val="00770011"/>
    <w:rsid w:val="007712DE"/>
    <w:rsid w:val="007718BD"/>
    <w:rsid w:val="00772441"/>
    <w:rsid w:val="007747E0"/>
    <w:rsid w:val="00781011"/>
    <w:rsid w:val="00785023"/>
    <w:rsid w:val="0078541D"/>
    <w:rsid w:val="0079017D"/>
    <w:rsid w:val="00793973"/>
    <w:rsid w:val="0079522A"/>
    <w:rsid w:val="00795820"/>
    <w:rsid w:val="00796F1B"/>
    <w:rsid w:val="00797BF6"/>
    <w:rsid w:val="007A148A"/>
    <w:rsid w:val="007A1BD3"/>
    <w:rsid w:val="007A203C"/>
    <w:rsid w:val="007A379A"/>
    <w:rsid w:val="007A5F2D"/>
    <w:rsid w:val="007A789B"/>
    <w:rsid w:val="007A7DB4"/>
    <w:rsid w:val="007B0551"/>
    <w:rsid w:val="007B3CDA"/>
    <w:rsid w:val="007B3F73"/>
    <w:rsid w:val="007B4347"/>
    <w:rsid w:val="007B4A1B"/>
    <w:rsid w:val="007B507D"/>
    <w:rsid w:val="007C0A8F"/>
    <w:rsid w:val="007C3951"/>
    <w:rsid w:val="007C5977"/>
    <w:rsid w:val="007C60BE"/>
    <w:rsid w:val="007D3B48"/>
    <w:rsid w:val="007D7481"/>
    <w:rsid w:val="007E4B17"/>
    <w:rsid w:val="007F046B"/>
    <w:rsid w:val="007F2C6F"/>
    <w:rsid w:val="007F4A55"/>
    <w:rsid w:val="007F4C7D"/>
    <w:rsid w:val="00800341"/>
    <w:rsid w:val="00802394"/>
    <w:rsid w:val="0080283B"/>
    <w:rsid w:val="0080351A"/>
    <w:rsid w:val="00806EC3"/>
    <w:rsid w:val="00811CE9"/>
    <w:rsid w:val="008128D6"/>
    <w:rsid w:val="00813DAC"/>
    <w:rsid w:val="008159F0"/>
    <w:rsid w:val="008160B1"/>
    <w:rsid w:val="00817372"/>
    <w:rsid w:val="00820743"/>
    <w:rsid w:val="00820966"/>
    <w:rsid w:val="00820AC7"/>
    <w:rsid w:val="00822EDF"/>
    <w:rsid w:val="00824179"/>
    <w:rsid w:val="00827257"/>
    <w:rsid w:val="00830177"/>
    <w:rsid w:val="00834204"/>
    <w:rsid w:val="00837F5F"/>
    <w:rsid w:val="00840198"/>
    <w:rsid w:val="00843B05"/>
    <w:rsid w:val="00845367"/>
    <w:rsid w:val="0084677A"/>
    <w:rsid w:val="00846888"/>
    <w:rsid w:val="008477D1"/>
    <w:rsid w:val="00847806"/>
    <w:rsid w:val="0085287E"/>
    <w:rsid w:val="008533E8"/>
    <w:rsid w:val="00854C65"/>
    <w:rsid w:val="00861344"/>
    <w:rsid w:val="00862196"/>
    <w:rsid w:val="008659A1"/>
    <w:rsid w:val="00866F2D"/>
    <w:rsid w:val="00867805"/>
    <w:rsid w:val="00870639"/>
    <w:rsid w:val="00872074"/>
    <w:rsid w:val="008739E6"/>
    <w:rsid w:val="00873D6E"/>
    <w:rsid w:val="00874047"/>
    <w:rsid w:val="00874C0F"/>
    <w:rsid w:val="00876820"/>
    <w:rsid w:val="0087788E"/>
    <w:rsid w:val="0088173F"/>
    <w:rsid w:val="0088546B"/>
    <w:rsid w:val="008858D8"/>
    <w:rsid w:val="00885B0E"/>
    <w:rsid w:val="00886885"/>
    <w:rsid w:val="0089168E"/>
    <w:rsid w:val="0089205A"/>
    <w:rsid w:val="00892CAE"/>
    <w:rsid w:val="00894BE8"/>
    <w:rsid w:val="00894D12"/>
    <w:rsid w:val="00894E5E"/>
    <w:rsid w:val="00897B0E"/>
    <w:rsid w:val="008A04C0"/>
    <w:rsid w:val="008A21B1"/>
    <w:rsid w:val="008A29F4"/>
    <w:rsid w:val="008A3384"/>
    <w:rsid w:val="008A4470"/>
    <w:rsid w:val="008A509D"/>
    <w:rsid w:val="008A5580"/>
    <w:rsid w:val="008A58E5"/>
    <w:rsid w:val="008A5A0E"/>
    <w:rsid w:val="008A773B"/>
    <w:rsid w:val="008B03AE"/>
    <w:rsid w:val="008B0ADD"/>
    <w:rsid w:val="008B0BFB"/>
    <w:rsid w:val="008B1F95"/>
    <w:rsid w:val="008B527C"/>
    <w:rsid w:val="008B543A"/>
    <w:rsid w:val="008B5957"/>
    <w:rsid w:val="008C4F13"/>
    <w:rsid w:val="008C6C2F"/>
    <w:rsid w:val="008C7DC3"/>
    <w:rsid w:val="008D0798"/>
    <w:rsid w:val="008D17C4"/>
    <w:rsid w:val="008D1CA3"/>
    <w:rsid w:val="008D240B"/>
    <w:rsid w:val="008D2B50"/>
    <w:rsid w:val="008D3E3B"/>
    <w:rsid w:val="008D504A"/>
    <w:rsid w:val="008D557E"/>
    <w:rsid w:val="008D5995"/>
    <w:rsid w:val="008D5A3B"/>
    <w:rsid w:val="008E0066"/>
    <w:rsid w:val="008E0749"/>
    <w:rsid w:val="008E0B58"/>
    <w:rsid w:val="008E10F3"/>
    <w:rsid w:val="008E2521"/>
    <w:rsid w:val="008F3129"/>
    <w:rsid w:val="008F600B"/>
    <w:rsid w:val="00901EE9"/>
    <w:rsid w:val="00902E6A"/>
    <w:rsid w:val="00903E33"/>
    <w:rsid w:val="00903EB3"/>
    <w:rsid w:val="009064C9"/>
    <w:rsid w:val="009075CA"/>
    <w:rsid w:val="00907699"/>
    <w:rsid w:val="00910C11"/>
    <w:rsid w:val="009148A3"/>
    <w:rsid w:val="00921313"/>
    <w:rsid w:val="009226D6"/>
    <w:rsid w:val="00923DEF"/>
    <w:rsid w:val="0092422F"/>
    <w:rsid w:val="009248B0"/>
    <w:rsid w:val="00926315"/>
    <w:rsid w:val="00930638"/>
    <w:rsid w:val="009315F5"/>
    <w:rsid w:val="0093198B"/>
    <w:rsid w:val="00936550"/>
    <w:rsid w:val="00936E3E"/>
    <w:rsid w:val="00943706"/>
    <w:rsid w:val="00944218"/>
    <w:rsid w:val="00945133"/>
    <w:rsid w:val="0094689F"/>
    <w:rsid w:val="00947398"/>
    <w:rsid w:val="00950415"/>
    <w:rsid w:val="0095279B"/>
    <w:rsid w:val="00953E6C"/>
    <w:rsid w:val="00955602"/>
    <w:rsid w:val="00962D3E"/>
    <w:rsid w:val="009645E2"/>
    <w:rsid w:val="009677B6"/>
    <w:rsid w:val="00967C88"/>
    <w:rsid w:val="00967EC1"/>
    <w:rsid w:val="0097001D"/>
    <w:rsid w:val="00972B05"/>
    <w:rsid w:val="009733CF"/>
    <w:rsid w:val="00977628"/>
    <w:rsid w:val="00977FEE"/>
    <w:rsid w:val="00980E73"/>
    <w:rsid w:val="0098129F"/>
    <w:rsid w:val="00984565"/>
    <w:rsid w:val="009905C3"/>
    <w:rsid w:val="00994C38"/>
    <w:rsid w:val="009A0EFD"/>
    <w:rsid w:val="009A4846"/>
    <w:rsid w:val="009A4A79"/>
    <w:rsid w:val="009A5770"/>
    <w:rsid w:val="009A6882"/>
    <w:rsid w:val="009A7790"/>
    <w:rsid w:val="009A7BE7"/>
    <w:rsid w:val="009A7D8A"/>
    <w:rsid w:val="009B0C65"/>
    <w:rsid w:val="009B3726"/>
    <w:rsid w:val="009B7108"/>
    <w:rsid w:val="009B73CD"/>
    <w:rsid w:val="009B7C53"/>
    <w:rsid w:val="009C107C"/>
    <w:rsid w:val="009C19F3"/>
    <w:rsid w:val="009C2260"/>
    <w:rsid w:val="009C3249"/>
    <w:rsid w:val="009C3C8D"/>
    <w:rsid w:val="009C4286"/>
    <w:rsid w:val="009C45C3"/>
    <w:rsid w:val="009C523D"/>
    <w:rsid w:val="009D08F4"/>
    <w:rsid w:val="009D0AE8"/>
    <w:rsid w:val="009D1E90"/>
    <w:rsid w:val="009D3038"/>
    <w:rsid w:val="009D413D"/>
    <w:rsid w:val="009D7596"/>
    <w:rsid w:val="009F1180"/>
    <w:rsid w:val="009F2D65"/>
    <w:rsid w:val="009F3596"/>
    <w:rsid w:val="009F42F6"/>
    <w:rsid w:val="00A021EA"/>
    <w:rsid w:val="00A02C2E"/>
    <w:rsid w:val="00A03D6F"/>
    <w:rsid w:val="00A07949"/>
    <w:rsid w:val="00A109C3"/>
    <w:rsid w:val="00A11FFF"/>
    <w:rsid w:val="00A12000"/>
    <w:rsid w:val="00A1429F"/>
    <w:rsid w:val="00A15321"/>
    <w:rsid w:val="00A15CF5"/>
    <w:rsid w:val="00A15E7F"/>
    <w:rsid w:val="00A167A3"/>
    <w:rsid w:val="00A2356E"/>
    <w:rsid w:val="00A23E1C"/>
    <w:rsid w:val="00A26E0A"/>
    <w:rsid w:val="00A309A4"/>
    <w:rsid w:val="00A36090"/>
    <w:rsid w:val="00A3713A"/>
    <w:rsid w:val="00A40283"/>
    <w:rsid w:val="00A40A7C"/>
    <w:rsid w:val="00A40B22"/>
    <w:rsid w:val="00A4514A"/>
    <w:rsid w:val="00A45E41"/>
    <w:rsid w:val="00A465B2"/>
    <w:rsid w:val="00A46869"/>
    <w:rsid w:val="00A4780D"/>
    <w:rsid w:val="00A4791F"/>
    <w:rsid w:val="00A47B63"/>
    <w:rsid w:val="00A47CF2"/>
    <w:rsid w:val="00A54520"/>
    <w:rsid w:val="00A54A47"/>
    <w:rsid w:val="00A5529A"/>
    <w:rsid w:val="00A5559D"/>
    <w:rsid w:val="00A56E0D"/>
    <w:rsid w:val="00A56F6B"/>
    <w:rsid w:val="00A62501"/>
    <w:rsid w:val="00A63365"/>
    <w:rsid w:val="00A63D12"/>
    <w:rsid w:val="00A671F0"/>
    <w:rsid w:val="00A67262"/>
    <w:rsid w:val="00A67667"/>
    <w:rsid w:val="00A70736"/>
    <w:rsid w:val="00A72422"/>
    <w:rsid w:val="00A76F73"/>
    <w:rsid w:val="00A76F7D"/>
    <w:rsid w:val="00A806BA"/>
    <w:rsid w:val="00A8156C"/>
    <w:rsid w:val="00A86DFE"/>
    <w:rsid w:val="00A87372"/>
    <w:rsid w:val="00A9008C"/>
    <w:rsid w:val="00A909A9"/>
    <w:rsid w:val="00A9182C"/>
    <w:rsid w:val="00A936ED"/>
    <w:rsid w:val="00A9516E"/>
    <w:rsid w:val="00A968F1"/>
    <w:rsid w:val="00A97AAC"/>
    <w:rsid w:val="00A97C1F"/>
    <w:rsid w:val="00AA0967"/>
    <w:rsid w:val="00AA0F17"/>
    <w:rsid w:val="00AA26B7"/>
    <w:rsid w:val="00AA3140"/>
    <w:rsid w:val="00AA501E"/>
    <w:rsid w:val="00AA608B"/>
    <w:rsid w:val="00AB0BA0"/>
    <w:rsid w:val="00AB3D1D"/>
    <w:rsid w:val="00AB4D01"/>
    <w:rsid w:val="00AC1AAC"/>
    <w:rsid w:val="00AC3865"/>
    <w:rsid w:val="00AC5022"/>
    <w:rsid w:val="00AC53E1"/>
    <w:rsid w:val="00AD1292"/>
    <w:rsid w:val="00AD1520"/>
    <w:rsid w:val="00AD75A1"/>
    <w:rsid w:val="00AE279C"/>
    <w:rsid w:val="00AE3F02"/>
    <w:rsid w:val="00AF496E"/>
    <w:rsid w:val="00AF4FC0"/>
    <w:rsid w:val="00AF7850"/>
    <w:rsid w:val="00B00704"/>
    <w:rsid w:val="00B0106B"/>
    <w:rsid w:val="00B01ED5"/>
    <w:rsid w:val="00B033B6"/>
    <w:rsid w:val="00B05877"/>
    <w:rsid w:val="00B123A9"/>
    <w:rsid w:val="00B17031"/>
    <w:rsid w:val="00B1733B"/>
    <w:rsid w:val="00B17800"/>
    <w:rsid w:val="00B17A7E"/>
    <w:rsid w:val="00B221BE"/>
    <w:rsid w:val="00B238C7"/>
    <w:rsid w:val="00B26371"/>
    <w:rsid w:val="00B3085C"/>
    <w:rsid w:val="00B32270"/>
    <w:rsid w:val="00B323F0"/>
    <w:rsid w:val="00B3479F"/>
    <w:rsid w:val="00B34842"/>
    <w:rsid w:val="00B359A3"/>
    <w:rsid w:val="00B36245"/>
    <w:rsid w:val="00B40E64"/>
    <w:rsid w:val="00B418EF"/>
    <w:rsid w:val="00B42C48"/>
    <w:rsid w:val="00B43A31"/>
    <w:rsid w:val="00B453C6"/>
    <w:rsid w:val="00B454C5"/>
    <w:rsid w:val="00B4624F"/>
    <w:rsid w:val="00B50626"/>
    <w:rsid w:val="00B51D3B"/>
    <w:rsid w:val="00B51D53"/>
    <w:rsid w:val="00B5260D"/>
    <w:rsid w:val="00B52DA4"/>
    <w:rsid w:val="00B537DB"/>
    <w:rsid w:val="00B54A0B"/>
    <w:rsid w:val="00B64FE7"/>
    <w:rsid w:val="00B70EE3"/>
    <w:rsid w:val="00B77B05"/>
    <w:rsid w:val="00B87B61"/>
    <w:rsid w:val="00B87BC0"/>
    <w:rsid w:val="00B90221"/>
    <w:rsid w:val="00B91129"/>
    <w:rsid w:val="00B915F6"/>
    <w:rsid w:val="00B91FC3"/>
    <w:rsid w:val="00B92772"/>
    <w:rsid w:val="00B92C3C"/>
    <w:rsid w:val="00B93B43"/>
    <w:rsid w:val="00B9487D"/>
    <w:rsid w:val="00B94D39"/>
    <w:rsid w:val="00B96815"/>
    <w:rsid w:val="00BA05DF"/>
    <w:rsid w:val="00BA07ED"/>
    <w:rsid w:val="00BA70D2"/>
    <w:rsid w:val="00BB0FC7"/>
    <w:rsid w:val="00BC5DB7"/>
    <w:rsid w:val="00BD09E6"/>
    <w:rsid w:val="00BD0BBE"/>
    <w:rsid w:val="00BD16E4"/>
    <w:rsid w:val="00BD394C"/>
    <w:rsid w:val="00BD3D8B"/>
    <w:rsid w:val="00BE25AD"/>
    <w:rsid w:val="00BE3B2F"/>
    <w:rsid w:val="00BE5655"/>
    <w:rsid w:val="00BE7247"/>
    <w:rsid w:val="00BF15D0"/>
    <w:rsid w:val="00BF209A"/>
    <w:rsid w:val="00BF4054"/>
    <w:rsid w:val="00BF48A8"/>
    <w:rsid w:val="00BF6016"/>
    <w:rsid w:val="00C009A2"/>
    <w:rsid w:val="00C01760"/>
    <w:rsid w:val="00C0232F"/>
    <w:rsid w:val="00C02FE4"/>
    <w:rsid w:val="00C051E5"/>
    <w:rsid w:val="00C05336"/>
    <w:rsid w:val="00C10EB4"/>
    <w:rsid w:val="00C11FB0"/>
    <w:rsid w:val="00C1360B"/>
    <w:rsid w:val="00C13890"/>
    <w:rsid w:val="00C22EBF"/>
    <w:rsid w:val="00C25E27"/>
    <w:rsid w:val="00C26514"/>
    <w:rsid w:val="00C31695"/>
    <w:rsid w:val="00C33215"/>
    <w:rsid w:val="00C33454"/>
    <w:rsid w:val="00C33929"/>
    <w:rsid w:val="00C340D1"/>
    <w:rsid w:val="00C347B1"/>
    <w:rsid w:val="00C34A44"/>
    <w:rsid w:val="00C352CA"/>
    <w:rsid w:val="00C40E61"/>
    <w:rsid w:val="00C41123"/>
    <w:rsid w:val="00C41864"/>
    <w:rsid w:val="00C41F96"/>
    <w:rsid w:val="00C439C3"/>
    <w:rsid w:val="00C477DC"/>
    <w:rsid w:val="00C504F4"/>
    <w:rsid w:val="00C55D9F"/>
    <w:rsid w:val="00C56062"/>
    <w:rsid w:val="00C57709"/>
    <w:rsid w:val="00C57D1F"/>
    <w:rsid w:val="00C57EC1"/>
    <w:rsid w:val="00C614F7"/>
    <w:rsid w:val="00C617E0"/>
    <w:rsid w:val="00C61DB7"/>
    <w:rsid w:val="00C62BBC"/>
    <w:rsid w:val="00C62FC3"/>
    <w:rsid w:val="00C65FF9"/>
    <w:rsid w:val="00C66CF8"/>
    <w:rsid w:val="00C73003"/>
    <w:rsid w:val="00C757E1"/>
    <w:rsid w:val="00C83B82"/>
    <w:rsid w:val="00C90548"/>
    <w:rsid w:val="00C90EE4"/>
    <w:rsid w:val="00C91152"/>
    <w:rsid w:val="00C9402B"/>
    <w:rsid w:val="00C94AD2"/>
    <w:rsid w:val="00C96339"/>
    <w:rsid w:val="00C96E2D"/>
    <w:rsid w:val="00CA4342"/>
    <w:rsid w:val="00CA507E"/>
    <w:rsid w:val="00CA59C4"/>
    <w:rsid w:val="00CA6D47"/>
    <w:rsid w:val="00CA72F7"/>
    <w:rsid w:val="00CA77EA"/>
    <w:rsid w:val="00CB23EE"/>
    <w:rsid w:val="00CB2536"/>
    <w:rsid w:val="00CB2E42"/>
    <w:rsid w:val="00CB2EE7"/>
    <w:rsid w:val="00CB36F2"/>
    <w:rsid w:val="00CB5AAC"/>
    <w:rsid w:val="00CB5B93"/>
    <w:rsid w:val="00CC1314"/>
    <w:rsid w:val="00CC138E"/>
    <w:rsid w:val="00CC2751"/>
    <w:rsid w:val="00CC3148"/>
    <w:rsid w:val="00CD0120"/>
    <w:rsid w:val="00CD03A4"/>
    <w:rsid w:val="00CD08D8"/>
    <w:rsid w:val="00CD1297"/>
    <w:rsid w:val="00CD219A"/>
    <w:rsid w:val="00CD2729"/>
    <w:rsid w:val="00CD3879"/>
    <w:rsid w:val="00CD38BA"/>
    <w:rsid w:val="00CE0BBD"/>
    <w:rsid w:val="00CE0C41"/>
    <w:rsid w:val="00CE5792"/>
    <w:rsid w:val="00CE69AA"/>
    <w:rsid w:val="00CE6C89"/>
    <w:rsid w:val="00CF552B"/>
    <w:rsid w:val="00CF6F21"/>
    <w:rsid w:val="00CF6FF3"/>
    <w:rsid w:val="00D019C3"/>
    <w:rsid w:val="00D019D8"/>
    <w:rsid w:val="00D046BB"/>
    <w:rsid w:val="00D0523E"/>
    <w:rsid w:val="00D06C8A"/>
    <w:rsid w:val="00D06C99"/>
    <w:rsid w:val="00D07421"/>
    <w:rsid w:val="00D10466"/>
    <w:rsid w:val="00D11174"/>
    <w:rsid w:val="00D14E22"/>
    <w:rsid w:val="00D166E3"/>
    <w:rsid w:val="00D1748A"/>
    <w:rsid w:val="00D202AC"/>
    <w:rsid w:val="00D21F19"/>
    <w:rsid w:val="00D22464"/>
    <w:rsid w:val="00D22F1A"/>
    <w:rsid w:val="00D23A5E"/>
    <w:rsid w:val="00D23DAB"/>
    <w:rsid w:val="00D26C97"/>
    <w:rsid w:val="00D3072A"/>
    <w:rsid w:val="00D35EE3"/>
    <w:rsid w:val="00D36583"/>
    <w:rsid w:val="00D3667D"/>
    <w:rsid w:val="00D37817"/>
    <w:rsid w:val="00D42AD9"/>
    <w:rsid w:val="00D45842"/>
    <w:rsid w:val="00D472C5"/>
    <w:rsid w:val="00D47334"/>
    <w:rsid w:val="00D479E9"/>
    <w:rsid w:val="00D50B57"/>
    <w:rsid w:val="00D53236"/>
    <w:rsid w:val="00D53E1A"/>
    <w:rsid w:val="00D54246"/>
    <w:rsid w:val="00D54F91"/>
    <w:rsid w:val="00D569BC"/>
    <w:rsid w:val="00D614FE"/>
    <w:rsid w:val="00D62FC2"/>
    <w:rsid w:val="00D64F45"/>
    <w:rsid w:val="00D67023"/>
    <w:rsid w:val="00D676B2"/>
    <w:rsid w:val="00D70CEA"/>
    <w:rsid w:val="00D71676"/>
    <w:rsid w:val="00D732B8"/>
    <w:rsid w:val="00D73324"/>
    <w:rsid w:val="00D742AB"/>
    <w:rsid w:val="00D7457A"/>
    <w:rsid w:val="00D76139"/>
    <w:rsid w:val="00D83254"/>
    <w:rsid w:val="00D8337C"/>
    <w:rsid w:val="00D8661C"/>
    <w:rsid w:val="00D86CAD"/>
    <w:rsid w:val="00D87614"/>
    <w:rsid w:val="00D87B82"/>
    <w:rsid w:val="00D96411"/>
    <w:rsid w:val="00DB234F"/>
    <w:rsid w:val="00DB31BB"/>
    <w:rsid w:val="00DB354B"/>
    <w:rsid w:val="00DB3C16"/>
    <w:rsid w:val="00DB5A62"/>
    <w:rsid w:val="00DB61EC"/>
    <w:rsid w:val="00DB70D3"/>
    <w:rsid w:val="00DC0E14"/>
    <w:rsid w:val="00DC1CB5"/>
    <w:rsid w:val="00DD0265"/>
    <w:rsid w:val="00DD3800"/>
    <w:rsid w:val="00DD3ED1"/>
    <w:rsid w:val="00DD470E"/>
    <w:rsid w:val="00DE0941"/>
    <w:rsid w:val="00DE1CDA"/>
    <w:rsid w:val="00DE371A"/>
    <w:rsid w:val="00DE3770"/>
    <w:rsid w:val="00DE4D33"/>
    <w:rsid w:val="00DE677B"/>
    <w:rsid w:val="00DE69CA"/>
    <w:rsid w:val="00DF2FF7"/>
    <w:rsid w:val="00DF324F"/>
    <w:rsid w:val="00DF39CD"/>
    <w:rsid w:val="00DF4112"/>
    <w:rsid w:val="00DF484C"/>
    <w:rsid w:val="00DF504A"/>
    <w:rsid w:val="00DF6F5B"/>
    <w:rsid w:val="00E008E9"/>
    <w:rsid w:val="00E0120C"/>
    <w:rsid w:val="00E022CD"/>
    <w:rsid w:val="00E02496"/>
    <w:rsid w:val="00E0567F"/>
    <w:rsid w:val="00E0762D"/>
    <w:rsid w:val="00E07ABC"/>
    <w:rsid w:val="00E10DE0"/>
    <w:rsid w:val="00E123DF"/>
    <w:rsid w:val="00E21EE3"/>
    <w:rsid w:val="00E220AB"/>
    <w:rsid w:val="00E2311B"/>
    <w:rsid w:val="00E24847"/>
    <w:rsid w:val="00E26478"/>
    <w:rsid w:val="00E32E7E"/>
    <w:rsid w:val="00E43803"/>
    <w:rsid w:val="00E448FD"/>
    <w:rsid w:val="00E44C8B"/>
    <w:rsid w:val="00E45994"/>
    <w:rsid w:val="00E46BF3"/>
    <w:rsid w:val="00E55E07"/>
    <w:rsid w:val="00E60134"/>
    <w:rsid w:val="00E64B08"/>
    <w:rsid w:val="00E65CCB"/>
    <w:rsid w:val="00E66A77"/>
    <w:rsid w:val="00E66E7C"/>
    <w:rsid w:val="00E711E6"/>
    <w:rsid w:val="00E74097"/>
    <w:rsid w:val="00E75B91"/>
    <w:rsid w:val="00E77EA5"/>
    <w:rsid w:val="00E80327"/>
    <w:rsid w:val="00E9398F"/>
    <w:rsid w:val="00EA167C"/>
    <w:rsid w:val="00EA6BE7"/>
    <w:rsid w:val="00EA6E6D"/>
    <w:rsid w:val="00EA73FE"/>
    <w:rsid w:val="00EA7DC9"/>
    <w:rsid w:val="00EB3924"/>
    <w:rsid w:val="00EB3F71"/>
    <w:rsid w:val="00EB442B"/>
    <w:rsid w:val="00EB7049"/>
    <w:rsid w:val="00EC3316"/>
    <w:rsid w:val="00EC482B"/>
    <w:rsid w:val="00EC5D28"/>
    <w:rsid w:val="00EC7119"/>
    <w:rsid w:val="00ED2960"/>
    <w:rsid w:val="00ED4503"/>
    <w:rsid w:val="00ED5657"/>
    <w:rsid w:val="00ED596B"/>
    <w:rsid w:val="00ED5A4E"/>
    <w:rsid w:val="00ED68B1"/>
    <w:rsid w:val="00EE05AB"/>
    <w:rsid w:val="00EE1C49"/>
    <w:rsid w:val="00EE30DA"/>
    <w:rsid w:val="00EE6533"/>
    <w:rsid w:val="00EE78A1"/>
    <w:rsid w:val="00EE7B95"/>
    <w:rsid w:val="00EF21AE"/>
    <w:rsid w:val="00EF2AC5"/>
    <w:rsid w:val="00EF3FB1"/>
    <w:rsid w:val="00EF43AF"/>
    <w:rsid w:val="00EF4901"/>
    <w:rsid w:val="00EF6F19"/>
    <w:rsid w:val="00EF7302"/>
    <w:rsid w:val="00F018AC"/>
    <w:rsid w:val="00F03788"/>
    <w:rsid w:val="00F05D27"/>
    <w:rsid w:val="00F0794F"/>
    <w:rsid w:val="00F10EDC"/>
    <w:rsid w:val="00F1422C"/>
    <w:rsid w:val="00F155E5"/>
    <w:rsid w:val="00F16150"/>
    <w:rsid w:val="00F2045C"/>
    <w:rsid w:val="00F21C30"/>
    <w:rsid w:val="00F22D34"/>
    <w:rsid w:val="00F232C4"/>
    <w:rsid w:val="00F236A8"/>
    <w:rsid w:val="00F247D3"/>
    <w:rsid w:val="00F30531"/>
    <w:rsid w:val="00F31051"/>
    <w:rsid w:val="00F3115B"/>
    <w:rsid w:val="00F31E59"/>
    <w:rsid w:val="00F32421"/>
    <w:rsid w:val="00F33B83"/>
    <w:rsid w:val="00F33EDD"/>
    <w:rsid w:val="00F343DF"/>
    <w:rsid w:val="00F3549B"/>
    <w:rsid w:val="00F41194"/>
    <w:rsid w:val="00F41232"/>
    <w:rsid w:val="00F42548"/>
    <w:rsid w:val="00F428B4"/>
    <w:rsid w:val="00F43AC3"/>
    <w:rsid w:val="00F44D37"/>
    <w:rsid w:val="00F45FF4"/>
    <w:rsid w:val="00F46585"/>
    <w:rsid w:val="00F477DE"/>
    <w:rsid w:val="00F5002C"/>
    <w:rsid w:val="00F5387F"/>
    <w:rsid w:val="00F53938"/>
    <w:rsid w:val="00F53CBB"/>
    <w:rsid w:val="00F55725"/>
    <w:rsid w:val="00F573CC"/>
    <w:rsid w:val="00F577B7"/>
    <w:rsid w:val="00F636C2"/>
    <w:rsid w:val="00F64182"/>
    <w:rsid w:val="00F64EDC"/>
    <w:rsid w:val="00F65F17"/>
    <w:rsid w:val="00F67704"/>
    <w:rsid w:val="00F718AB"/>
    <w:rsid w:val="00F745D8"/>
    <w:rsid w:val="00F808B6"/>
    <w:rsid w:val="00F80F7F"/>
    <w:rsid w:val="00F81D8E"/>
    <w:rsid w:val="00F85E84"/>
    <w:rsid w:val="00F8746C"/>
    <w:rsid w:val="00F9058D"/>
    <w:rsid w:val="00F924D6"/>
    <w:rsid w:val="00F9262E"/>
    <w:rsid w:val="00F93F35"/>
    <w:rsid w:val="00F959D5"/>
    <w:rsid w:val="00F95EF1"/>
    <w:rsid w:val="00FA0DB5"/>
    <w:rsid w:val="00FA10CB"/>
    <w:rsid w:val="00FA1B36"/>
    <w:rsid w:val="00FA2E03"/>
    <w:rsid w:val="00FA400D"/>
    <w:rsid w:val="00FA5250"/>
    <w:rsid w:val="00FB17D0"/>
    <w:rsid w:val="00FB23AD"/>
    <w:rsid w:val="00FC0FC3"/>
    <w:rsid w:val="00FC1E10"/>
    <w:rsid w:val="00FC4057"/>
    <w:rsid w:val="00FC52AE"/>
    <w:rsid w:val="00FC7616"/>
    <w:rsid w:val="00FC793C"/>
    <w:rsid w:val="00FC7EFB"/>
    <w:rsid w:val="00FD071F"/>
    <w:rsid w:val="00FD07E6"/>
    <w:rsid w:val="00FD2270"/>
    <w:rsid w:val="00FD4817"/>
    <w:rsid w:val="00FD66AC"/>
    <w:rsid w:val="00FE08C6"/>
    <w:rsid w:val="00FE16C8"/>
    <w:rsid w:val="00FE4C7D"/>
    <w:rsid w:val="00FE6726"/>
    <w:rsid w:val="00FE68AC"/>
    <w:rsid w:val="00FF44EE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5:docId w15:val="{445CE741-2619-461C-BF37-603E1D08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967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55831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A09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A09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AA0967"/>
    <w:pPr>
      <w:spacing w:after="120"/>
      <w:ind w:firstLine="1701"/>
    </w:pPr>
  </w:style>
  <w:style w:type="paragraph" w:customStyle="1" w:styleId="Normalnumerado">
    <w:name w:val="Normal numerado"/>
    <w:basedOn w:val="Normal"/>
    <w:rsid w:val="00AA0967"/>
    <w:pPr>
      <w:numPr>
        <w:numId w:val="5"/>
      </w:numPr>
      <w:tabs>
        <w:tab w:val="clear" w:pos="705"/>
      </w:tabs>
      <w:spacing w:after="120"/>
      <w:ind w:left="0" w:firstLine="0"/>
      <w:jc w:val="both"/>
    </w:pPr>
    <w:rPr>
      <w:rFonts w:ascii="Times New Roman" w:hAnsi="Times New Roman"/>
      <w:snapToGrid w:val="0"/>
      <w:sz w:val="20"/>
    </w:rPr>
  </w:style>
  <w:style w:type="paragraph" w:styleId="Corpodetexto">
    <w:name w:val="Body Text"/>
    <w:basedOn w:val="Normal"/>
    <w:semiHidden/>
    <w:rsid w:val="00AA0967"/>
    <w:pPr>
      <w:spacing w:after="80"/>
      <w:jc w:val="both"/>
    </w:pPr>
  </w:style>
  <w:style w:type="character" w:customStyle="1" w:styleId="Ttulo1Char">
    <w:name w:val="Título 1 Char"/>
    <w:basedOn w:val="Fontepargpadro"/>
    <w:link w:val="Ttulo1"/>
    <w:rsid w:val="00455831"/>
    <w:rPr>
      <w:rFonts w:ascii="Arial" w:hAnsi="Arial"/>
      <w:b/>
      <w:sz w:val="24"/>
    </w:rPr>
  </w:style>
  <w:style w:type="character" w:styleId="Hyperlink">
    <w:name w:val="Hyperlink"/>
    <w:basedOn w:val="Fontepargpadro"/>
    <w:uiPriority w:val="99"/>
    <w:unhideWhenUsed/>
    <w:rsid w:val="00A671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9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9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85E84"/>
    <w:pPr>
      <w:ind w:left="720"/>
      <w:contextualSpacing/>
    </w:pPr>
  </w:style>
  <w:style w:type="paragraph" w:customStyle="1" w:styleId="Texto">
    <w:name w:val="Texto"/>
    <w:basedOn w:val="Normal"/>
    <w:autoRedefine/>
    <w:rsid w:val="0076674E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76" w:lineRule="auto"/>
      <w:ind w:firstLine="567"/>
      <w:jc w:val="both"/>
    </w:pPr>
    <w:rPr>
      <w:color w:val="000080"/>
      <w:sz w:val="20"/>
    </w:rPr>
  </w:style>
  <w:style w:type="paragraph" w:styleId="Corpodetexto2">
    <w:name w:val="Body Text 2"/>
    <w:basedOn w:val="Normal"/>
    <w:link w:val="Corpodetexto2Char"/>
    <w:rsid w:val="005F6E68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texto2Char">
    <w:name w:val="Corpo de texto 2 Char"/>
    <w:basedOn w:val="Fontepargpadro"/>
    <w:link w:val="Corpodetexto2"/>
    <w:rsid w:val="005F6E68"/>
  </w:style>
  <w:style w:type="character" w:customStyle="1" w:styleId="RodapChar">
    <w:name w:val="Rodapé Char"/>
    <w:basedOn w:val="Fontepargpadro"/>
    <w:link w:val="Rodap"/>
    <w:uiPriority w:val="99"/>
    <w:rsid w:val="0089205A"/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A0C21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0C21"/>
    <w:rPr>
      <w:rFonts w:ascii="Arial" w:hAnsi="Arial"/>
    </w:rPr>
  </w:style>
  <w:style w:type="character" w:styleId="Refdenotaderodap">
    <w:name w:val="footnote reference"/>
    <w:basedOn w:val="Fontepargpadro"/>
    <w:uiPriority w:val="99"/>
    <w:semiHidden/>
    <w:unhideWhenUsed/>
    <w:rsid w:val="004A0C21"/>
    <w:rPr>
      <w:vertAlign w:val="superscript"/>
    </w:rPr>
  </w:style>
  <w:style w:type="character" w:customStyle="1" w:styleId="CabealhoChar">
    <w:name w:val="Cabeçalho Char"/>
    <w:basedOn w:val="Fontepargpadro"/>
    <w:link w:val="Cabealho"/>
    <w:rsid w:val="00015EA9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4A47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902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0221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0221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02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0221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7A1BD3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105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950415"/>
    <w:pPr>
      <w:jc w:val="center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emEspaamento">
    <w:name w:val="No Spacing"/>
    <w:uiPriority w:val="1"/>
    <w:qFormat/>
    <w:rsid w:val="0095041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8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76A5-40B4-4504-83DC-2979F587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5459</Words>
  <Characters>29480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01/SGI</vt:lpstr>
    </vt:vector>
  </TitlesOfParts>
  <Company>Anp</Company>
  <LinksUpToDate>false</LinksUpToDate>
  <CharactersWithSpaces>34870</CharactersWithSpaces>
  <SharedDoc>false</SharedDoc>
  <HLinks>
    <vt:vector size="18" baseType="variant"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http://www.anp.gov.br/</vt:lpwstr>
      </vt:variant>
      <vt:variant>
        <vt:lpwstr/>
      </vt:variant>
      <vt:variant>
        <vt:i4>6684707</vt:i4>
      </vt:variant>
      <vt:variant>
        <vt:i4>3</vt:i4>
      </vt:variant>
      <vt:variant>
        <vt:i4>0</vt:i4>
      </vt:variant>
      <vt:variant>
        <vt:i4>5</vt:i4>
      </vt:variant>
      <vt:variant>
        <vt:lpwstr>http://www.anp.gov.br/</vt:lpwstr>
      </vt:variant>
      <vt:variant>
        <vt:lpwstr/>
      </vt:variant>
      <vt:variant>
        <vt:i4>6684707</vt:i4>
      </vt:variant>
      <vt:variant>
        <vt:i4>0</vt:i4>
      </vt:variant>
      <vt:variant>
        <vt:i4>0</vt:i4>
      </vt:variant>
      <vt:variant>
        <vt:i4>5</vt:i4>
      </vt:variant>
      <vt:variant>
        <vt:lpwstr>http://www.anp.gov.br/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01/SGI</dc:title>
  <dc:creator>Patricia Carvalho de Franca</dc:creator>
  <cp:lastModifiedBy>LANDERSON COSTA SILVA</cp:lastModifiedBy>
  <cp:revision>2</cp:revision>
  <cp:lastPrinted>2014-04-14T19:53:00Z</cp:lastPrinted>
  <dcterms:created xsi:type="dcterms:W3CDTF">2018-11-06T19:46:00Z</dcterms:created>
  <dcterms:modified xsi:type="dcterms:W3CDTF">2018-11-06T19:46:00Z</dcterms:modified>
</cp:coreProperties>
</file>