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AC" w:rsidRPr="00BE2B9A" w:rsidRDefault="00E31DAC" w:rsidP="00E31DAC">
      <w:pPr>
        <w:keepNext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BE2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AGÊNCIA NACIONAL DO PETRÓLEO, GÁS NATURAL E BIOCOMBUSTÍVEIS</w:t>
      </w:r>
    </w:p>
    <w:p w:rsidR="00E31DAC" w:rsidRPr="00BE2B9A" w:rsidRDefault="00E31DAC" w:rsidP="00E31DAC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2B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ANP Nº </w:t>
      </w:r>
      <w:r w:rsidRPr="00BE2B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XXX, DE XX.XX.2017 - DOU XX.XX.2017</w:t>
      </w:r>
    </w:p>
    <w:p w:rsidR="00E31DAC" w:rsidRPr="00BE2B9A" w:rsidRDefault="00E31DAC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31DAC" w:rsidRPr="00BE2B9A" w:rsidRDefault="00E31DAC" w:rsidP="00BE2B9A">
      <w:pPr>
        <w:suppressAutoHyphens/>
        <w:spacing w:before="160" w:after="0" w:line="240" w:lineRule="auto"/>
        <w:ind w:left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E2B9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Altera a Resolução ANP nº 30, de 23 de junho de 2016.</w:t>
      </w:r>
    </w:p>
    <w:p w:rsidR="00E31DAC" w:rsidRPr="00BE2B9A" w:rsidRDefault="00E31DAC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DAC" w:rsidRPr="00BE2B9A" w:rsidRDefault="00E31DAC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DIRETOR-GERAL da AGÊNCIA NACIONAL DO PETRÓLEO, GÁS NATURAL E BIOCOMBUSTÍVEIS - ANP, no uso das atribuições que lhe foram conferidas pelo art. </w:t>
      </w:r>
      <w:hyperlink r:id="rId4" w:history="1">
        <w:r w:rsidRPr="00BE2B9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pt-BR"/>
          </w:rPr>
          <w:t>9</w:t>
        </w:r>
      </w:hyperlink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º, inciso III, do Decreto nº 2455, de 14 de janeiro de 1998, de acordo com as disposições da Lei nº </w:t>
      </w:r>
      <w:hyperlink r:id="rId5" w:history="1">
        <w:r w:rsidRPr="00BE2B9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pt-BR"/>
          </w:rPr>
          <w:t>9.478</w:t>
        </w:r>
      </w:hyperlink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6 de agosto de 1997, e tendo em vista a </w:t>
      </w:r>
      <w:r w:rsidRPr="00BE2B9A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Resolução ANP de Diretoria nº xx, de xx de xx de 2017,</w:t>
      </w:r>
    </w:p>
    <w:p w:rsidR="00E31DAC" w:rsidRPr="00BE2B9A" w:rsidRDefault="00E31DAC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DAC" w:rsidRPr="00BE2B9A" w:rsidRDefault="00E31DAC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:rsidR="00E31DAC" w:rsidRPr="00BE2B9A" w:rsidRDefault="00E31DAC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2B9A" w:rsidRPr="00BE2B9A" w:rsidRDefault="00E31DAC" w:rsidP="00BE2B9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art1"/>
      <w:bookmarkEnd w:id="1"/>
      <w:r w:rsidRPr="00BE2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Alterar </w:t>
      </w:r>
      <w:r w:rsidR="00163AD0">
        <w:rPr>
          <w:rFonts w:ascii="Times New Roman" w:eastAsia="Times New Roman" w:hAnsi="Times New Roman" w:cs="Times New Roman"/>
          <w:sz w:val="24"/>
          <w:szCs w:val="24"/>
          <w:lang w:eastAsia="pt-BR"/>
        </w:rPr>
        <w:t>o limite da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característica ‘Estabilidade à Oxidação’</w:t>
      </w:r>
      <w:r w:rsidR="00163A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‘ANOTAR’</w:t>
      </w:r>
      <w:r w:rsidR="00AB23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incluir a nota 15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2327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a ‘Tabela I – Especi</w:t>
      </w:r>
      <w:r w:rsidR="003D1DD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ficação do óleo diesel BX a B30</w:t>
      </w:r>
      <w:r w:rsidR="00897D4A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do Regulamento Técnico n°2/2016</w:t>
      </w:r>
      <w:r w:rsidR="003D1DD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parte integrante da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Resolução ANP nº</w:t>
      </w:r>
      <w:r w:rsidR="003D1DD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.2016, que passa a vigorar com a seguinte redação:</w:t>
      </w:r>
    </w:p>
    <w:p w:rsidR="009857C5" w:rsidRPr="00BE2B9A" w:rsidRDefault="00BE2B9A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E2B9A">
        <w:rPr>
          <w:rFonts w:ascii="Times New Roman" w:eastAsia="Times New Roman" w:hAnsi="Times New Roman" w:cs="Times New Roman"/>
          <w:sz w:val="20"/>
          <w:szCs w:val="20"/>
          <w:lang w:eastAsia="pt-BR"/>
        </w:rPr>
        <w:t>Tabela I - Especificação do óleo diesel BX a B30.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1561"/>
        <w:gridCol w:w="829"/>
        <w:gridCol w:w="829"/>
        <w:gridCol w:w="1498"/>
        <w:gridCol w:w="1517"/>
      </w:tblGrid>
      <w:tr w:rsidR="00BE2B9A" w:rsidRPr="00BE2B9A" w:rsidTr="00BE2B9A">
        <w:tc>
          <w:tcPr>
            <w:tcW w:w="2270" w:type="dxa"/>
            <w:vMerge w:val="restart"/>
            <w:vAlign w:val="center"/>
          </w:tcPr>
          <w:p w:rsidR="00BE2B9A" w:rsidRPr="00BE2B9A" w:rsidRDefault="00BE2B9A" w:rsidP="00BE2B9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CARACTERÍSTICA</w:t>
            </w:r>
          </w:p>
        </w:tc>
        <w:tc>
          <w:tcPr>
            <w:tcW w:w="1561" w:type="dxa"/>
            <w:vMerge w:val="restart"/>
            <w:vAlign w:val="center"/>
          </w:tcPr>
          <w:p w:rsidR="00BE2B9A" w:rsidRPr="00BE2B9A" w:rsidRDefault="00BE2B9A" w:rsidP="00BE2B9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3156" w:type="dxa"/>
            <w:gridSpan w:val="3"/>
            <w:vAlign w:val="center"/>
          </w:tcPr>
          <w:p w:rsidR="00BE2B9A" w:rsidRPr="00BE2B9A" w:rsidRDefault="00BE2B9A" w:rsidP="00BE2B9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LIMITE</w:t>
            </w:r>
          </w:p>
        </w:tc>
        <w:tc>
          <w:tcPr>
            <w:tcW w:w="1517" w:type="dxa"/>
            <w:vMerge w:val="restart"/>
            <w:vAlign w:val="center"/>
          </w:tcPr>
          <w:p w:rsidR="00BE2B9A" w:rsidRPr="00BE2B9A" w:rsidRDefault="00BE2B9A" w:rsidP="00BE2B9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MÉTODO</w:t>
            </w:r>
          </w:p>
        </w:tc>
      </w:tr>
      <w:tr w:rsidR="00BE2B9A" w:rsidRPr="00BE2B9A" w:rsidTr="00BE2B9A">
        <w:tc>
          <w:tcPr>
            <w:tcW w:w="2270" w:type="dxa"/>
            <w:vMerge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1" w:type="dxa"/>
            <w:vMerge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29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S10</w:t>
            </w:r>
          </w:p>
        </w:tc>
        <w:tc>
          <w:tcPr>
            <w:tcW w:w="829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S500</w:t>
            </w:r>
          </w:p>
        </w:tc>
        <w:tc>
          <w:tcPr>
            <w:tcW w:w="1498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S1800 não rodoviário</w:t>
            </w:r>
          </w:p>
        </w:tc>
        <w:tc>
          <w:tcPr>
            <w:tcW w:w="1517" w:type="dxa"/>
            <w:vMerge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2B9A" w:rsidRPr="00BE2B9A" w:rsidTr="00BE2B9A">
        <w:tc>
          <w:tcPr>
            <w:tcW w:w="2270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1561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829" w:type="dxa"/>
          </w:tcPr>
          <w:p w:rsidR="00BE2B9A" w:rsidRPr="00BE2B9A" w:rsidRDefault="00596011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829" w:type="dxa"/>
          </w:tcPr>
          <w:p w:rsidR="00BE2B9A" w:rsidRPr="00BE2B9A" w:rsidRDefault="00596011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1498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1517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</w:tr>
      <w:tr w:rsidR="00BE2B9A" w:rsidRPr="00BE2B9A" w:rsidTr="00596011">
        <w:tc>
          <w:tcPr>
            <w:tcW w:w="2270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Estabilidade à Oxidação, min</w:t>
            </w:r>
          </w:p>
        </w:tc>
        <w:tc>
          <w:tcPr>
            <w:tcW w:w="1561" w:type="dxa"/>
            <w:vAlign w:val="center"/>
          </w:tcPr>
          <w:p w:rsidR="00BE2B9A" w:rsidRPr="00BE2B9A" w:rsidRDefault="00BE2B9A" w:rsidP="00BE2B9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proofErr w:type="gramEnd"/>
          </w:p>
        </w:tc>
        <w:tc>
          <w:tcPr>
            <w:tcW w:w="3156" w:type="dxa"/>
            <w:gridSpan w:val="3"/>
            <w:vAlign w:val="center"/>
          </w:tcPr>
          <w:p w:rsidR="00BE2B9A" w:rsidRPr="00BE2B9A" w:rsidRDefault="00BE2B9A" w:rsidP="0059601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ANOTAR</w:t>
            </w:r>
            <w:r w:rsidR="00AB23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(15)</w:t>
            </w:r>
          </w:p>
        </w:tc>
        <w:tc>
          <w:tcPr>
            <w:tcW w:w="1517" w:type="dxa"/>
            <w:vAlign w:val="center"/>
          </w:tcPr>
          <w:p w:rsidR="00BE2B9A" w:rsidRPr="00BE2B9A" w:rsidRDefault="00BE2B9A" w:rsidP="00BE2B9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 15751</w:t>
            </w:r>
          </w:p>
        </w:tc>
      </w:tr>
      <w:tr w:rsidR="00BE2B9A" w:rsidRPr="00BE2B9A" w:rsidTr="00BE2B9A">
        <w:tc>
          <w:tcPr>
            <w:tcW w:w="2270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1561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829" w:type="dxa"/>
          </w:tcPr>
          <w:p w:rsidR="00BE2B9A" w:rsidRPr="00BE2B9A" w:rsidRDefault="00596011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829" w:type="dxa"/>
          </w:tcPr>
          <w:p w:rsidR="00BE2B9A" w:rsidRPr="00BE2B9A" w:rsidRDefault="00596011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1498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  <w:tc>
          <w:tcPr>
            <w:tcW w:w="1517" w:type="dxa"/>
          </w:tcPr>
          <w:p w:rsidR="00BE2B9A" w:rsidRPr="00BE2B9A" w:rsidRDefault="00BE2B9A" w:rsidP="00E31DA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before="81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2B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(...)</w:t>
            </w:r>
          </w:p>
        </w:tc>
      </w:tr>
    </w:tbl>
    <w:p w:rsidR="009857C5" w:rsidRDefault="00AB2327" w:rsidP="00E31DA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AB2327" w:rsidRPr="00BE2B9A" w:rsidRDefault="00AB2327" w:rsidP="00163AD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(15) </w:t>
      </w:r>
      <w:r w:rsidR="00163AD0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do produto</w:t>
      </w:r>
      <w:r w:rsidR="00163A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fornecido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uso nos segmentos de máquinas agrícolas, primeiro enchimento de veículos automotivos e equipamentos de emergência para geração de energia elétrica, deve atender o limite mínimo de 20 horas, sendo permitido acordo entre as partes caso o limite seja inferior a 20 horas. </w:t>
      </w:r>
    </w:p>
    <w:p w:rsidR="00E31DAC" w:rsidRPr="00BE2B9A" w:rsidRDefault="00E31DAC" w:rsidP="009857C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art2"/>
      <w:bookmarkEnd w:id="2"/>
      <w:r w:rsidRPr="00BE2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AB23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BE2B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 w:rsidR="003D1DD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entra em vigor na data</w:t>
      </w:r>
      <w:r w:rsidR="009857C5"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publicação no Diário Oficial da União.</w:t>
      </w:r>
    </w:p>
    <w:p w:rsidR="00E31DAC" w:rsidRPr="00BE2B9A" w:rsidRDefault="00E31DAC" w:rsidP="00985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B9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857C5" w:rsidRPr="00BE2B9A" w:rsidRDefault="009857C5" w:rsidP="00985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DAC" w:rsidRPr="00BE2B9A" w:rsidRDefault="00E31DAC" w:rsidP="00E31DAC">
      <w:pPr>
        <w:snapToGrid w:val="0"/>
        <w:spacing w:before="261" w:after="4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E2B9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DÉCIO FABRICI</w:t>
      </w:r>
      <w:r w:rsidR="003D1DD5" w:rsidRPr="00BE2B9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</w:t>
      </w:r>
      <w:r w:rsidRPr="00BE2B9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ODDONE DA COSTA</w:t>
      </w:r>
    </w:p>
    <w:p w:rsidR="00A737AD" w:rsidRPr="00BE2B9A" w:rsidRDefault="00A737AD" w:rsidP="00E31DAC">
      <w:pPr>
        <w:rPr>
          <w:rFonts w:ascii="Times New Roman" w:hAnsi="Times New Roman" w:cs="Times New Roman"/>
          <w:sz w:val="24"/>
          <w:szCs w:val="24"/>
        </w:rPr>
      </w:pPr>
    </w:p>
    <w:sectPr w:rsidR="00A737AD" w:rsidRPr="00BE2B9A" w:rsidSect="00E87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AC"/>
    <w:rsid w:val="00163AD0"/>
    <w:rsid w:val="003D1DD5"/>
    <w:rsid w:val="00596011"/>
    <w:rsid w:val="00895054"/>
    <w:rsid w:val="00897D4A"/>
    <w:rsid w:val="009857C5"/>
    <w:rsid w:val="00A737AD"/>
    <w:rsid w:val="00AA681C"/>
    <w:rsid w:val="00AB2327"/>
    <w:rsid w:val="00AE3216"/>
    <w:rsid w:val="00BE2B9A"/>
    <w:rsid w:val="00E31DAC"/>
    <w:rsid w:val="00E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D80B-891B-43B0-92D2-12291374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14"/>
  </w:style>
  <w:style w:type="paragraph" w:styleId="Ttulo1">
    <w:name w:val="heading 1"/>
    <w:basedOn w:val="Normal"/>
    <w:next w:val="Normal"/>
    <w:link w:val="Ttulo1Char"/>
    <w:uiPriority w:val="9"/>
    <w:qFormat/>
    <w:rsid w:val="00E31DAC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DAC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1DAC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E31DAC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Ementa">
    <w:name w:val="Ementa"/>
    <w:rsid w:val="00E31DAC"/>
    <w:pPr>
      <w:suppressAutoHyphens/>
      <w:spacing w:before="160" w:after="0" w:line="240" w:lineRule="auto"/>
      <w:ind w:left="567"/>
      <w:jc w:val="both"/>
    </w:pPr>
    <w:rPr>
      <w:rFonts w:ascii="Arial" w:eastAsia="Times New Roman" w:hAnsi="Arial" w:cs="Times New Roman"/>
      <w:i/>
      <w:color w:val="800000"/>
      <w:sz w:val="20"/>
      <w:szCs w:val="20"/>
      <w:lang w:eastAsia="pt-BR"/>
    </w:rPr>
  </w:style>
  <w:style w:type="paragraph" w:customStyle="1" w:styleId="Norma">
    <w:name w:val="Norma"/>
    <w:rsid w:val="00E31DAC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E31DA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8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xt.anp.gov.br/NXT/gateway.dll/leg/leis/NXT/gateway.dll?f=id$id=Lei%209.478%20-%201997" TargetMode="External"/><Relationship Id="rId4" Type="http://schemas.openxmlformats.org/officeDocument/2006/relationships/hyperlink" Target="http://nxt.anp.gov.br/NXT/gateway.dll/leg/decretos/NXT/gateway.dll?f=id$id=Dec%202.455%20-%201998$an=anexoI_art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da Rosa</dc:creator>
  <cp:lastModifiedBy>SIMONE DA CUNHA ESTEVES</cp:lastModifiedBy>
  <cp:revision>2</cp:revision>
  <dcterms:created xsi:type="dcterms:W3CDTF">2018-01-18T12:19:00Z</dcterms:created>
  <dcterms:modified xsi:type="dcterms:W3CDTF">2018-01-18T12:19:00Z</dcterms:modified>
</cp:coreProperties>
</file>