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C5F9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2421B78D" w14:textId="77777777" w:rsidR="001F74A0" w:rsidRPr="00FD2C11" w:rsidRDefault="00FB71AF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10330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5775682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3C8B6ABF" w14:textId="77777777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C35B6E">
        <w:rPr>
          <w:sz w:val="26"/>
          <w:szCs w:val="26"/>
        </w:rPr>
        <w:t>19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3667A5">
        <w:rPr>
          <w:sz w:val="26"/>
          <w:szCs w:val="26"/>
        </w:rPr>
        <w:t>__</w:t>
      </w:r>
      <w:r w:rsidR="00482F43" w:rsidRPr="003667A5">
        <w:rPr>
          <w:sz w:val="26"/>
          <w:szCs w:val="26"/>
        </w:rPr>
        <w:t xml:space="preserve">__ - </w:t>
      </w:r>
      <w:r w:rsidR="00BB004F" w:rsidRPr="003667A5">
        <w:rPr>
          <w:sz w:val="26"/>
          <w:szCs w:val="26"/>
        </w:rPr>
        <w:t xml:space="preserve">DE </w:t>
      </w:r>
      <w:r w:rsidR="00CC5472" w:rsidRPr="003667A5">
        <w:rPr>
          <w:sz w:val="26"/>
          <w:szCs w:val="26"/>
        </w:rPr>
        <w:t>08</w:t>
      </w:r>
      <w:r w:rsidR="00BB004F" w:rsidRPr="003667A5">
        <w:rPr>
          <w:sz w:val="26"/>
          <w:szCs w:val="26"/>
        </w:rPr>
        <w:t>/</w:t>
      </w:r>
      <w:r w:rsidR="00452D91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 xml:space="preserve"> </w:t>
      </w:r>
      <w:r w:rsidR="00C13A89" w:rsidRPr="003667A5">
        <w:rPr>
          <w:sz w:val="26"/>
          <w:szCs w:val="26"/>
        </w:rPr>
        <w:t>a</w:t>
      </w:r>
      <w:r w:rsidR="00BB004F" w:rsidRPr="003667A5">
        <w:rPr>
          <w:sz w:val="26"/>
          <w:szCs w:val="26"/>
        </w:rPr>
        <w:t xml:space="preserve"> </w:t>
      </w:r>
      <w:r w:rsidR="00CC5472" w:rsidRPr="003667A5">
        <w:rPr>
          <w:sz w:val="26"/>
          <w:szCs w:val="26"/>
        </w:rPr>
        <w:t>14</w:t>
      </w:r>
      <w:r w:rsidR="00BB004F" w:rsidRPr="003667A5">
        <w:rPr>
          <w:sz w:val="26"/>
          <w:szCs w:val="26"/>
        </w:rPr>
        <w:t>/</w:t>
      </w:r>
      <w:r w:rsidR="00E06319" w:rsidRPr="003667A5">
        <w:rPr>
          <w:sz w:val="26"/>
          <w:szCs w:val="26"/>
        </w:rPr>
        <w:t>0</w:t>
      </w:r>
      <w:r w:rsidR="00CC5472" w:rsidRPr="003667A5">
        <w:rPr>
          <w:sz w:val="26"/>
          <w:szCs w:val="26"/>
        </w:rPr>
        <w:t>8</w:t>
      </w:r>
      <w:r w:rsidR="00BB004F" w:rsidRPr="003667A5">
        <w:rPr>
          <w:sz w:val="26"/>
          <w:szCs w:val="26"/>
        </w:rPr>
        <w:t>/</w:t>
      </w:r>
      <w:r w:rsidR="00F229D8" w:rsidRPr="003667A5">
        <w:rPr>
          <w:sz w:val="26"/>
          <w:szCs w:val="26"/>
        </w:rPr>
        <w:t>201</w:t>
      </w:r>
      <w:r w:rsidR="00CC5472" w:rsidRPr="003667A5">
        <w:rPr>
          <w:sz w:val="26"/>
          <w:szCs w:val="26"/>
        </w:rPr>
        <w:t>8</w:t>
      </w:r>
    </w:p>
    <w:p w14:paraId="4B8B0903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2FE599F3" w14:textId="7372F0BE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633B3C">
        <w:rPr>
          <w:sz w:val="26"/>
          <w:szCs w:val="26"/>
        </w:rPr>
        <w:t xml:space="preserve"> </w:t>
      </w:r>
      <w:proofErr w:type="spellStart"/>
      <w:r w:rsidR="00633B3C">
        <w:rPr>
          <w:sz w:val="26"/>
          <w:szCs w:val="26"/>
        </w:rPr>
        <w:t>Abicom</w:t>
      </w:r>
      <w:proofErr w:type="spellEnd"/>
      <w:r w:rsidR="00633B3C">
        <w:rPr>
          <w:sz w:val="26"/>
          <w:szCs w:val="26"/>
        </w:rPr>
        <w:t xml:space="preserve"> – Associação Brasileira dos Importadores de Combustíveis</w:t>
      </w:r>
    </w:p>
    <w:p w14:paraId="164FBB4C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0BD1190C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37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214"/>
        <w:gridCol w:w="3847"/>
      </w:tblGrid>
      <w:tr w:rsidR="00633B3C" w14:paraId="03B707E2" w14:textId="77777777" w:rsidTr="00996FB7">
        <w:trPr>
          <w:trHeight w:val="375"/>
        </w:trPr>
        <w:tc>
          <w:tcPr>
            <w:tcW w:w="1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772925" w14:textId="77777777" w:rsidR="00633B3C" w:rsidRPr="00BD5993" w:rsidRDefault="00633B3C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14:paraId="6BBECDBF" w14:textId="77777777" w:rsidR="00633B3C" w:rsidRPr="00BD5993" w:rsidRDefault="00633B3C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  <w:p w14:paraId="2C90CD7B" w14:textId="0DF7853A" w:rsidR="00633B3C" w:rsidRPr="00BD5993" w:rsidRDefault="00633B3C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proofErr w:type="gramStart"/>
            <w:r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 xml:space="preserve">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14:paraId="4A27B8C1" w14:textId="77777777" w:rsidR="00633B3C" w:rsidRPr="00BD5993" w:rsidRDefault="00633B3C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70E7B27B" w14:textId="77777777" w:rsidR="00633B3C" w:rsidRPr="00BD5993" w:rsidRDefault="00633B3C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25E3C8ED" w14:textId="77777777" w:rsidTr="00542AD6">
        <w:trPr>
          <w:trHeight w:val="716"/>
        </w:trPr>
        <w:tc>
          <w:tcPr>
            <w:tcW w:w="1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B60B7F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B87441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que </w:t>
            </w:r>
            <w:r w:rsidR="00CC5472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egulamenta a metodologia de cálculo do preço de referência para a concessão de subvenção econômica à comercialização de óleo diesel.</w:t>
            </w:r>
          </w:p>
        </w:tc>
      </w:tr>
      <w:tr w:rsidR="00542AD6" w14:paraId="7B758359" w14:textId="77777777" w:rsidTr="00542AD6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FF202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3FC43" w14:textId="77777777" w:rsidR="00C13A89" w:rsidRPr="004D03EC" w:rsidRDefault="00C13A89" w:rsidP="00ED7714">
            <w:pPr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</w:rPr>
            </w:pPr>
            <w:r w:rsidRPr="004D03EC">
              <w:rPr>
                <w:rFonts w:ascii="Arial Narrow" w:hAnsi="Arial Narrow" w:cs="Arial"/>
                <w:bCs/>
              </w:rPr>
              <w:t>PROPOSTA DE ALTERAÇÃO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C15F66" w14:textId="77777777" w:rsidR="00C13A89" w:rsidRPr="004D03EC" w:rsidRDefault="00C13A89" w:rsidP="00ED7714">
            <w:pPr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</w:rPr>
            </w:pPr>
            <w:r w:rsidRPr="004D03EC">
              <w:rPr>
                <w:rFonts w:ascii="Arial Narrow" w:hAnsi="Arial Narrow" w:cs="Arial"/>
                <w:bCs/>
              </w:rPr>
              <w:t>JUSTIFICATIVA</w:t>
            </w:r>
          </w:p>
        </w:tc>
      </w:tr>
      <w:tr w:rsidR="00542AD6" w14:paraId="388499AA" w14:textId="77777777" w:rsidTr="00542AD6">
        <w:trPr>
          <w:trHeight w:val="5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3CEF7B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4D03E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ABC2F27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  <w:r w:rsidR="00CC240A">
              <w:rPr>
                <w:rFonts w:ascii="Arial" w:hAnsi="Arial" w:cs="Arial"/>
                <w:b/>
                <w:bCs/>
              </w:rPr>
              <w:t xml:space="preserve">- 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69D378" w14:textId="77777777" w:rsidR="00C13A89" w:rsidRPr="004D03EC" w:rsidRDefault="00CC240A" w:rsidP="000303C4">
            <w:pPr>
              <w:rPr>
                <w:rFonts w:ascii="Arial Narrow" w:eastAsia="Arial Unicode MS" w:hAnsi="Arial Narrow" w:cs="Arial"/>
                <w:sz w:val="24"/>
                <w:szCs w:val="24"/>
              </w:rPr>
            </w:pPr>
            <w:r>
              <w:rPr>
                <w:rFonts w:ascii="Arial Narrow" w:eastAsia="Arial Unicode MS" w:hAnsi="Arial Narrow" w:cs="Arial"/>
                <w:sz w:val="24"/>
                <w:szCs w:val="24"/>
              </w:rPr>
              <w:t>Comentário Geral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27670" w14:textId="77777777" w:rsidR="00C13A89" w:rsidRPr="00CC240A" w:rsidRDefault="00C13A89" w:rsidP="00CC240A">
            <w:pPr>
              <w:jc w:val="both"/>
              <w:rPr>
                <w:rFonts w:ascii="Arial" w:hAnsi="Arial" w:cs="Arial"/>
              </w:rPr>
            </w:pPr>
            <w:r w:rsidRPr="00CC240A">
              <w:rPr>
                <w:rFonts w:ascii="Arial" w:hAnsi="Arial" w:cs="Arial"/>
              </w:rPr>
              <w:t> </w:t>
            </w:r>
            <w:r w:rsidR="004D03EC" w:rsidRPr="00CC240A">
              <w:rPr>
                <w:rFonts w:ascii="Arial" w:hAnsi="Arial" w:cs="Arial"/>
              </w:rPr>
              <w:t xml:space="preserve">A </w:t>
            </w:r>
            <w:proofErr w:type="spellStart"/>
            <w:r w:rsidR="004D03EC" w:rsidRPr="00CC240A">
              <w:rPr>
                <w:rFonts w:ascii="Arial" w:hAnsi="Arial" w:cs="Arial"/>
              </w:rPr>
              <w:t>A</w:t>
            </w:r>
            <w:r w:rsidR="00CC240A">
              <w:rPr>
                <w:rFonts w:ascii="Arial" w:hAnsi="Arial" w:cs="Arial"/>
              </w:rPr>
              <w:t>bicom</w:t>
            </w:r>
            <w:proofErr w:type="spellEnd"/>
            <w:r w:rsidR="004D03EC" w:rsidRPr="00CC240A">
              <w:rPr>
                <w:rFonts w:ascii="Arial" w:hAnsi="Arial" w:cs="Arial"/>
                <w:b/>
              </w:rPr>
              <w:t> </w:t>
            </w:r>
            <w:r w:rsidR="004D03EC" w:rsidRPr="00CC240A">
              <w:rPr>
                <w:rFonts w:ascii="Arial" w:hAnsi="Arial" w:cs="Arial"/>
              </w:rPr>
              <w:t xml:space="preserve">tem como principal objetivo </w:t>
            </w:r>
            <w:r w:rsidR="004D03EC" w:rsidRPr="00CC240A">
              <w:rPr>
                <w:rFonts w:ascii="Arial" w:hAnsi="Arial" w:cs="Arial"/>
                <w:bCs/>
              </w:rPr>
              <w:t>promover o desenvolvimento do setor de combustíveis líquidos no Brasil</w:t>
            </w:r>
            <w:r w:rsidR="004D03EC" w:rsidRPr="00CC240A">
              <w:rPr>
                <w:rFonts w:ascii="Arial" w:hAnsi="Arial" w:cs="Arial"/>
              </w:rPr>
              <w:t xml:space="preserve">, com foco na expansão e </w:t>
            </w:r>
            <w:r w:rsidR="004D03EC" w:rsidRPr="00CC240A">
              <w:rPr>
                <w:rFonts w:ascii="Arial" w:hAnsi="Arial" w:cs="Arial"/>
                <w:bCs/>
              </w:rPr>
              <w:t>garantia do abastecimento nacional</w:t>
            </w:r>
            <w:r w:rsidR="004D03EC" w:rsidRPr="00CC240A">
              <w:rPr>
                <w:rFonts w:ascii="Arial" w:hAnsi="Arial" w:cs="Arial"/>
              </w:rPr>
              <w:t xml:space="preserve">, fomentando a </w:t>
            </w:r>
            <w:r w:rsidR="004D03EC" w:rsidRPr="00CC240A">
              <w:rPr>
                <w:rFonts w:ascii="Arial" w:hAnsi="Arial" w:cs="Arial"/>
                <w:bCs/>
              </w:rPr>
              <w:t xml:space="preserve">livre concorrência </w:t>
            </w:r>
            <w:r w:rsidR="004D03EC" w:rsidRPr="00CC240A">
              <w:rPr>
                <w:rFonts w:ascii="Arial" w:hAnsi="Arial" w:cs="Arial"/>
              </w:rPr>
              <w:t xml:space="preserve">e </w:t>
            </w:r>
            <w:r w:rsidR="004D03EC" w:rsidRPr="00CC240A">
              <w:rPr>
                <w:rFonts w:ascii="Arial" w:hAnsi="Arial" w:cs="Arial"/>
                <w:bCs/>
              </w:rPr>
              <w:t>incentivando investimentos privados</w:t>
            </w:r>
            <w:r w:rsidR="004D03EC" w:rsidRPr="00CC240A">
              <w:rPr>
                <w:rFonts w:ascii="Arial" w:hAnsi="Arial" w:cs="Arial"/>
              </w:rPr>
              <w:t xml:space="preserve"> e a entrada de novos agentes no setor.</w:t>
            </w:r>
            <w:r w:rsidR="0027668F" w:rsidRPr="00CC240A">
              <w:rPr>
                <w:rFonts w:ascii="Arial" w:hAnsi="Arial" w:cs="Arial"/>
              </w:rPr>
              <w:t xml:space="preserve"> </w:t>
            </w:r>
          </w:p>
          <w:p w14:paraId="18E68A58" w14:textId="77777777" w:rsidR="00CC240A" w:rsidRPr="00CC240A" w:rsidRDefault="00CC240A" w:rsidP="00CC240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C240A">
              <w:rPr>
                <w:rFonts w:ascii="Arial" w:hAnsi="Arial" w:cs="Arial"/>
              </w:rPr>
              <w:t xml:space="preserve">Na visão da </w:t>
            </w:r>
            <w:proofErr w:type="spellStart"/>
            <w:r w:rsidRPr="00CC240A">
              <w:rPr>
                <w:rFonts w:ascii="Arial" w:hAnsi="Arial" w:cs="Arial"/>
              </w:rPr>
              <w:t>Abicom</w:t>
            </w:r>
            <w:proofErr w:type="spellEnd"/>
            <w:r w:rsidRPr="00CC240A">
              <w:rPr>
                <w:rFonts w:ascii="Arial" w:hAnsi="Arial" w:cs="Arial"/>
              </w:rPr>
              <w:t xml:space="preserve">, o Brasil deve caminhar para um modelo competitivo no </w:t>
            </w:r>
            <w:proofErr w:type="spellStart"/>
            <w:r w:rsidRPr="00CC240A">
              <w:rPr>
                <w:rFonts w:ascii="Arial" w:hAnsi="Arial" w:cs="Arial"/>
              </w:rPr>
              <w:t>downstream</w:t>
            </w:r>
            <w:proofErr w:type="spellEnd"/>
            <w:r w:rsidRPr="00CC240A">
              <w:rPr>
                <w:rFonts w:ascii="Arial" w:hAnsi="Arial" w:cs="Arial"/>
              </w:rPr>
              <w:t xml:space="preserve">, em linha com as políticas energéticas modernas, nas quais o foco é o consumidor. Nesse sentido, é necessário o objetivo central de </w:t>
            </w:r>
            <w:r w:rsidRPr="00CC240A">
              <w:rPr>
                <w:rFonts w:ascii="Arial" w:hAnsi="Arial" w:cs="Arial"/>
                <w:b/>
                <w:u w:val="single"/>
              </w:rPr>
              <w:t>promover a concorrência para beneficiar o consumidor final.</w:t>
            </w:r>
          </w:p>
          <w:p w14:paraId="5F561BC6" w14:textId="5BB5B2F6" w:rsidR="0027668F" w:rsidRDefault="0027668F" w:rsidP="00CC240A">
            <w:pPr>
              <w:jc w:val="both"/>
              <w:rPr>
                <w:rFonts w:ascii="Arial" w:eastAsia="Arial Unicode MS" w:hAnsi="Arial" w:cs="Arial"/>
              </w:rPr>
            </w:pPr>
            <w:r w:rsidRPr="00CC240A">
              <w:rPr>
                <w:rFonts w:ascii="Arial" w:eastAsia="Arial Unicode MS" w:hAnsi="Arial" w:cs="Arial"/>
              </w:rPr>
              <w:t>Considerando a necessidade de investimentos privados em infraestrutura para movimentação de combustíveis líquidos no país</w:t>
            </w:r>
            <w:r w:rsidR="00CC240A">
              <w:rPr>
                <w:rFonts w:ascii="Arial" w:eastAsia="Arial Unicode MS" w:hAnsi="Arial" w:cs="Arial"/>
              </w:rPr>
              <w:t xml:space="preserve">, </w:t>
            </w:r>
            <w:r w:rsidRPr="00CC240A">
              <w:rPr>
                <w:rFonts w:ascii="Arial" w:eastAsia="Arial Unicode MS" w:hAnsi="Arial" w:cs="Arial"/>
              </w:rPr>
              <w:t xml:space="preserve">as associadas da </w:t>
            </w:r>
            <w:proofErr w:type="spellStart"/>
            <w:r w:rsidRPr="00CC240A">
              <w:rPr>
                <w:rFonts w:ascii="Arial" w:eastAsia="Arial Unicode MS" w:hAnsi="Arial" w:cs="Arial"/>
              </w:rPr>
              <w:t>A</w:t>
            </w:r>
            <w:r w:rsidR="00CC240A">
              <w:rPr>
                <w:rFonts w:ascii="Arial" w:eastAsia="Arial Unicode MS" w:hAnsi="Arial" w:cs="Arial"/>
              </w:rPr>
              <w:t>bicom</w:t>
            </w:r>
            <w:proofErr w:type="spellEnd"/>
            <w:r w:rsidRPr="00CC240A">
              <w:rPr>
                <w:rFonts w:ascii="Arial" w:eastAsia="Arial Unicode MS" w:hAnsi="Arial" w:cs="Arial"/>
              </w:rPr>
              <w:t xml:space="preserve"> assinaram contratos de médio e longo </w:t>
            </w:r>
            <w:r w:rsidRPr="00CC240A">
              <w:rPr>
                <w:rFonts w:ascii="Arial" w:eastAsia="Arial Unicode MS" w:hAnsi="Arial" w:cs="Arial"/>
              </w:rPr>
              <w:lastRenderedPageBreak/>
              <w:t>prazos, em alguns casos com antecipação de recursos, contudo as dificuldades geradas pela situação atual (sem livre concorrência e insegurança regulatória) não fomentam novas ações nesse sentido, bem como coloca em risco os investimentos efetuados</w:t>
            </w:r>
            <w:r w:rsidR="00CC240A">
              <w:rPr>
                <w:rFonts w:ascii="Arial" w:eastAsia="Arial Unicode MS" w:hAnsi="Arial" w:cs="Arial"/>
              </w:rPr>
              <w:t>.</w:t>
            </w:r>
          </w:p>
          <w:p w14:paraId="0574518D" w14:textId="733A416A" w:rsidR="00CC240A" w:rsidRDefault="00CC240A" w:rsidP="00CC240A">
            <w:pPr>
              <w:ind w:firstLine="708"/>
              <w:jc w:val="both"/>
              <w:rPr>
                <w:rFonts w:ascii="Arial" w:eastAsia="Arial Unicode MS" w:hAnsi="Arial" w:cs="Arial"/>
              </w:rPr>
            </w:pPr>
            <w:r w:rsidRPr="00CC240A">
              <w:rPr>
                <w:rFonts w:ascii="Arial" w:eastAsia="Arial Unicode MS" w:hAnsi="Arial" w:cs="Arial"/>
              </w:rPr>
              <w:t xml:space="preserve">A ANP deu um passo muito importante nos resultados da TPC, indicando que não há que se falar na publicação de preços regionais, e sim por ponto de entrega. Essa visão atinge </w:t>
            </w:r>
            <w:r w:rsidR="007F39C8">
              <w:rPr>
                <w:rFonts w:ascii="Arial" w:eastAsia="Arial Unicode MS" w:hAnsi="Arial" w:cs="Arial"/>
              </w:rPr>
              <w:t>acertadamente</w:t>
            </w:r>
            <w:r w:rsidRPr="00CC240A">
              <w:rPr>
                <w:rFonts w:ascii="Arial" w:eastAsia="Arial Unicode MS" w:hAnsi="Arial" w:cs="Arial"/>
              </w:rPr>
              <w:t xml:space="preserve"> o </w:t>
            </w:r>
            <w:r w:rsidR="00413403">
              <w:rPr>
                <w:rFonts w:ascii="Arial" w:eastAsia="Arial Unicode MS" w:hAnsi="Arial" w:cs="Arial"/>
              </w:rPr>
              <w:t>fato</w:t>
            </w:r>
            <w:r w:rsidRPr="00CC240A">
              <w:rPr>
                <w:rFonts w:ascii="Arial" w:eastAsia="Arial Unicode MS" w:hAnsi="Arial" w:cs="Arial"/>
              </w:rPr>
              <w:t xml:space="preserve"> que o preço médio protege o monopólio.</w:t>
            </w:r>
            <w:r>
              <w:rPr>
                <w:rFonts w:ascii="Arial" w:eastAsia="Arial Unicode MS" w:hAnsi="Arial" w:cs="Arial"/>
              </w:rPr>
              <w:t xml:space="preserve"> (V</w:t>
            </w:r>
            <w:r w:rsidRPr="00CC240A">
              <w:rPr>
                <w:rFonts w:ascii="Arial" w:eastAsia="Arial Unicode MS" w:hAnsi="Arial" w:cs="Arial"/>
              </w:rPr>
              <w:t>ale ressaltar que apesar do monopólio não ser legal ele existe de fato no país e tem base econômica e regulatória</w:t>
            </w:r>
            <w:r>
              <w:rPr>
                <w:rFonts w:ascii="Arial" w:eastAsia="Arial Unicode MS" w:hAnsi="Arial" w:cs="Arial"/>
              </w:rPr>
              <w:t>.)</w:t>
            </w:r>
          </w:p>
          <w:p w14:paraId="5A6940CC" w14:textId="77777777" w:rsidR="00CC240A" w:rsidRDefault="00CC240A" w:rsidP="00CC240A">
            <w:pPr>
              <w:ind w:firstLine="708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Apesar desta linha de raciocínio e das declarações recentes da diretoria da ANP, a exemplo do trecho destacado</w:t>
            </w:r>
            <w:r w:rsidR="00AB3B6E">
              <w:rPr>
                <w:rFonts w:ascii="Arial" w:eastAsia="Arial Unicode MS" w:hAnsi="Arial" w:cs="Arial"/>
              </w:rPr>
              <w:t xml:space="preserve"> em amarelo</w:t>
            </w:r>
            <w:r>
              <w:rPr>
                <w:rFonts w:ascii="Arial" w:eastAsia="Arial Unicode MS" w:hAnsi="Arial" w:cs="Arial"/>
              </w:rPr>
              <w:t xml:space="preserve"> abaixo, a minuta proposta não é aderente ao discurso de mercado aberto e competitivo</w:t>
            </w:r>
            <w:r w:rsidR="00413403">
              <w:rPr>
                <w:rFonts w:ascii="Arial" w:eastAsia="Arial Unicode MS" w:hAnsi="Arial" w:cs="Arial"/>
              </w:rPr>
              <w:t xml:space="preserve">, já que preserva preços médios, protegendo as distorções de preços </w:t>
            </w:r>
            <w:r w:rsidR="00AB3B6E">
              <w:rPr>
                <w:rFonts w:ascii="Arial" w:eastAsia="Arial Unicode MS" w:hAnsi="Arial" w:cs="Arial"/>
              </w:rPr>
              <w:t>nos polos em que há pressão competitiva dos agentes importadores</w:t>
            </w:r>
            <w:r w:rsidR="00413403">
              <w:rPr>
                <w:rFonts w:ascii="Arial" w:eastAsia="Arial Unicode MS" w:hAnsi="Arial" w:cs="Arial"/>
              </w:rPr>
              <w:t>, além de considerar parcela fixa muito aquém dos custos reais de internação de produto nos portos brasileiros, inviabilizando as operações de importação.</w:t>
            </w:r>
          </w:p>
          <w:p w14:paraId="12E7C341" w14:textId="47597A59" w:rsidR="00CC240A" w:rsidRPr="00CC240A" w:rsidRDefault="00CC240A" w:rsidP="00CC240A">
            <w:pPr>
              <w:ind w:firstLine="708"/>
              <w:jc w:val="both"/>
              <w:rPr>
                <w:rFonts w:ascii="Arial" w:eastAsia="Arial Unicode MS" w:hAnsi="Arial" w:cs="Arial"/>
                <w:i/>
                <w:sz w:val="22"/>
              </w:rPr>
            </w:pPr>
            <w:r w:rsidRPr="00AB3B6E">
              <w:rPr>
                <w:i/>
                <w:sz w:val="22"/>
                <w:highlight w:val="yellow"/>
              </w:rPr>
              <w:t>“</w:t>
            </w:r>
            <w:r w:rsidRPr="00AB3B6E">
              <w:rPr>
                <w:i/>
                <w:sz w:val="22"/>
                <w:highlight w:val="yellow"/>
              </w:rPr>
              <w:t>Existe um monopólio de fato no setor de refino no Brasil e, nessa situação, a divulgação da média aritmética</w:t>
            </w:r>
            <w:r w:rsidR="00914067">
              <w:rPr>
                <w:i/>
                <w:sz w:val="22"/>
                <w:highlight w:val="yellow"/>
              </w:rPr>
              <w:t xml:space="preserve"> </w:t>
            </w:r>
            <w:r w:rsidRPr="00AB3B6E">
              <w:rPr>
                <w:i/>
                <w:sz w:val="22"/>
                <w:highlight w:val="yellow"/>
              </w:rPr>
              <w:t xml:space="preserve">dos preços dificulta a competição </w:t>
            </w:r>
            <w:r w:rsidR="0079776B">
              <w:rPr>
                <w:i/>
                <w:sz w:val="22"/>
                <w:highlight w:val="yellow"/>
              </w:rPr>
              <w:t xml:space="preserve">e a compreensão da dinâmica de </w:t>
            </w:r>
            <w:r w:rsidRPr="00AB3B6E">
              <w:rPr>
                <w:i/>
                <w:sz w:val="22"/>
                <w:highlight w:val="yellow"/>
              </w:rPr>
              <w:t>formação dos preços</w:t>
            </w:r>
            <w:r w:rsidRPr="00AB3B6E">
              <w:rPr>
                <w:i/>
                <w:sz w:val="22"/>
                <w:highlight w:val="yellow"/>
              </w:rPr>
              <w:t xml:space="preserve">. / </w:t>
            </w:r>
            <w:r w:rsidRPr="00AB3B6E">
              <w:rPr>
                <w:i/>
                <w:sz w:val="22"/>
                <w:highlight w:val="yellow"/>
              </w:rPr>
              <w:t>Deve haver transparênc</w:t>
            </w:r>
            <w:r w:rsidRPr="00AB3B6E">
              <w:rPr>
                <w:i/>
                <w:sz w:val="22"/>
                <w:highlight w:val="yellow"/>
              </w:rPr>
              <w:t xml:space="preserve">ia </w:t>
            </w:r>
            <w:r w:rsidRPr="00AB3B6E">
              <w:rPr>
                <w:i/>
                <w:sz w:val="22"/>
                <w:highlight w:val="yellow"/>
              </w:rPr>
              <w:t>na divulgação</w:t>
            </w:r>
            <w:r w:rsidR="0079776B">
              <w:rPr>
                <w:i/>
                <w:sz w:val="22"/>
                <w:highlight w:val="yellow"/>
              </w:rPr>
              <w:t xml:space="preserve"> </w:t>
            </w:r>
            <w:r w:rsidRPr="00AB3B6E">
              <w:rPr>
                <w:i/>
                <w:sz w:val="22"/>
                <w:highlight w:val="yellow"/>
              </w:rPr>
              <w:t xml:space="preserve">de preços para favorecer a competição e ajudar os consumidores </w:t>
            </w:r>
            <w:r w:rsidRPr="00AB3B6E">
              <w:rPr>
                <w:i/>
                <w:sz w:val="22"/>
                <w:highlight w:val="yellow"/>
              </w:rPr>
              <w:t>a</w:t>
            </w:r>
            <w:r w:rsidRPr="00AB3B6E">
              <w:rPr>
                <w:i/>
                <w:sz w:val="22"/>
                <w:highlight w:val="yellow"/>
              </w:rPr>
              <w:t xml:space="preserve"> aceitar </w:t>
            </w:r>
            <w:r w:rsidRPr="00AB3B6E">
              <w:rPr>
                <w:i/>
                <w:sz w:val="22"/>
                <w:highlight w:val="yellow"/>
              </w:rPr>
              <w:t>m</w:t>
            </w:r>
            <w:r w:rsidRPr="00AB3B6E">
              <w:rPr>
                <w:i/>
                <w:sz w:val="22"/>
                <w:highlight w:val="yellow"/>
              </w:rPr>
              <w:t>elhor as flutuações de mercado</w:t>
            </w:r>
            <w:r w:rsidRPr="00AB3B6E">
              <w:rPr>
                <w:i/>
                <w:sz w:val="22"/>
                <w:highlight w:val="yellow"/>
              </w:rPr>
              <w:t>.”</w:t>
            </w:r>
          </w:p>
          <w:p w14:paraId="603A52BA" w14:textId="77777777" w:rsidR="00CC240A" w:rsidRPr="00CC240A" w:rsidRDefault="00CC240A" w:rsidP="00CC240A">
            <w:pPr>
              <w:ind w:firstLine="708"/>
              <w:jc w:val="both"/>
              <w:rPr>
                <w:rFonts w:ascii="Arial" w:eastAsia="Arial Unicode MS" w:hAnsi="Arial" w:cs="Arial"/>
              </w:rPr>
            </w:pPr>
          </w:p>
        </w:tc>
      </w:tr>
      <w:tr w:rsidR="00542AD6" w14:paraId="55BF859E" w14:textId="77777777" w:rsidTr="00542AD6">
        <w:trPr>
          <w:trHeight w:val="7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7DE68" w14:textId="77777777" w:rsidR="00CC240A" w:rsidRPr="00542AD6" w:rsidRDefault="00CC240A" w:rsidP="00CC240A">
            <w:pPr>
              <w:rPr>
                <w:rFonts w:ascii="Arial" w:eastAsia="Arial Unicode MS" w:hAnsi="Arial" w:cs="Arial"/>
                <w:b/>
              </w:rPr>
            </w:pPr>
            <w:r w:rsidRPr="00542AD6">
              <w:rPr>
                <w:rFonts w:ascii="Arial" w:hAnsi="Arial" w:cs="Arial"/>
                <w:b/>
              </w:rPr>
              <w:lastRenderedPageBreak/>
              <w:t> </w:t>
            </w:r>
            <w:r w:rsidR="00542AD6" w:rsidRPr="00542AD6">
              <w:rPr>
                <w:rFonts w:ascii="Arial" w:hAnsi="Arial" w:cs="Arial"/>
                <w:b/>
              </w:rPr>
              <w:t xml:space="preserve">Art.1º. </w:t>
            </w:r>
          </w:p>
          <w:p w14:paraId="12EC18D8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1E0E0" w14:textId="77777777" w:rsidR="00CC240A" w:rsidRPr="004D03EC" w:rsidRDefault="00CC240A" w:rsidP="00CC240A">
            <w:pPr>
              <w:spacing w:after="120"/>
              <w:jc w:val="both"/>
              <w:rPr>
                <w:rFonts w:ascii="Arial Narrow" w:hAnsi="Arial Narrow"/>
                <w:iCs/>
                <w:sz w:val="24"/>
                <w:szCs w:val="24"/>
              </w:rPr>
            </w:pPr>
            <w:r w:rsidRPr="004D03EC">
              <w:rPr>
                <w:rFonts w:ascii="Arial Narrow" w:hAnsi="Arial Narrow" w:cs="Arial"/>
              </w:rPr>
              <w:t> </w:t>
            </w:r>
            <w:r w:rsidRPr="004D03EC">
              <w:rPr>
                <w:rFonts w:ascii="Arial Narrow" w:hAnsi="Arial Narrow"/>
                <w:b/>
                <w:sz w:val="24"/>
                <w:szCs w:val="24"/>
              </w:rPr>
              <w:t>Art. 1º</w:t>
            </w:r>
            <w:r w:rsidRPr="004D03EC">
              <w:rPr>
                <w:rFonts w:ascii="Arial Narrow" w:hAnsi="Arial Narrow"/>
                <w:sz w:val="24"/>
                <w:szCs w:val="24"/>
              </w:rPr>
              <w:t xml:space="preserve"> Fica estabelecida a fórmula de cálculo do preço de referência </w:t>
            </w:r>
            <w:r w:rsidRPr="004D03EC">
              <w:rPr>
                <w:rFonts w:ascii="Arial Narrow" w:hAnsi="Arial Narrow"/>
                <w:iCs/>
                <w:sz w:val="24"/>
                <w:szCs w:val="24"/>
              </w:rPr>
              <w:t>para a concessão de subvenção econômica à comercialização de óleo diesel:</w:t>
            </w:r>
          </w:p>
          <w:p w14:paraId="3F9CB303" w14:textId="77777777" w:rsidR="00CC240A" w:rsidRPr="00CC240A" w:rsidRDefault="00CC240A" w:rsidP="00CC240A">
            <w:pPr>
              <w:pStyle w:val="Normalnumerado"/>
              <w:numPr>
                <w:ilvl w:val="0"/>
                <w:numId w:val="0"/>
              </w:numPr>
              <w:tabs>
                <w:tab w:val="left" w:pos="1418"/>
              </w:tabs>
              <w:spacing w:afterLines="200" w:after="480"/>
              <w:rPr>
                <w:rFonts w:ascii="Arial Narrow" w:eastAsiaTheme="minorHAnsi" w:hAnsi="Arial Narrow" w:cs="Arial"/>
                <w:color w:val="FF0000"/>
                <w:sz w:val="22"/>
                <w:szCs w:val="24"/>
                <w:lang w:eastAsia="en-US"/>
              </w:rPr>
            </w:pPr>
            <w:r w:rsidRPr="00CC240A">
              <w:rPr>
                <w:rFonts w:ascii="Arial Narrow" w:hAnsi="Arial Narrow" w:cs="Arial"/>
                <w:color w:val="000000"/>
                <w:sz w:val="22"/>
                <w:szCs w:val="24"/>
              </w:rPr>
              <w:t xml:space="preserve">PR(d)=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000000"/>
                      <w:sz w:val="22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2"/>
                      <w:szCs w:val="24"/>
                    </w:rPr>
                    <m:t>(Cotação ULSD USGC  FOB – RVO 2018 + Frete Marítimo)*Txcâmbio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2"/>
                      <w:szCs w:val="24"/>
                    </w:rPr>
                    <m:t>1000</m:t>
                  </m:r>
                </m:den>
              </m:f>
            </m:oMath>
            <w:r w:rsidRPr="00CC240A">
              <w:rPr>
                <w:rFonts w:ascii="Arial Narrow" w:hAnsi="Arial Narrow" w:cs="Arial"/>
                <w:color w:val="000000"/>
                <w:sz w:val="22"/>
                <w:szCs w:val="24"/>
              </w:rPr>
              <w:t xml:space="preserve">  + Parcela Fixa </w:t>
            </w:r>
            <w:r w:rsidRPr="00CC240A">
              <w:rPr>
                <w:rFonts w:ascii="Arial Narrow" w:hAnsi="Arial Narrow" w:cs="Arial"/>
                <w:color w:val="FF0000"/>
                <w:sz w:val="22"/>
                <w:szCs w:val="24"/>
              </w:rPr>
              <w:t xml:space="preserve">+ </w:t>
            </w:r>
            <w:proofErr w:type="spellStart"/>
            <w:r w:rsidRPr="00CC240A">
              <w:rPr>
                <w:rFonts w:ascii="Arial Narrow" w:hAnsi="Arial Narrow" w:cs="Arial"/>
                <w:color w:val="FF0000"/>
                <w:sz w:val="22"/>
                <w:szCs w:val="24"/>
              </w:rPr>
              <w:t>Zt</w:t>
            </w:r>
            <w:proofErr w:type="spellEnd"/>
            <w:r w:rsidRPr="00CC240A">
              <w:rPr>
                <w:rFonts w:ascii="Arial Narrow" w:hAnsi="Arial Narrow" w:cs="Arial"/>
                <w:color w:val="FF0000"/>
                <w:sz w:val="22"/>
                <w:szCs w:val="24"/>
              </w:rPr>
              <w:t xml:space="preserve"> + Margem</w:t>
            </w:r>
          </w:p>
          <w:p w14:paraId="798C586C" w14:textId="77777777" w:rsidR="00CC240A" w:rsidRPr="004D03EC" w:rsidRDefault="00CC240A" w:rsidP="00CC240A">
            <w:pPr>
              <w:jc w:val="both"/>
              <w:rPr>
                <w:rFonts w:ascii="Arial Narrow" w:hAnsi="Arial Narrow"/>
                <w:sz w:val="24"/>
              </w:rPr>
            </w:pPr>
            <w:r w:rsidRPr="004D03EC">
              <w:rPr>
                <w:rFonts w:ascii="Arial Narrow" w:hAnsi="Arial Narrow"/>
                <w:sz w:val="24"/>
              </w:rPr>
              <w:t>Onde:</w:t>
            </w:r>
          </w:p>
          <w:p w14:paraId="18291B60" w14:textId="1AFB6D99" w:rsidR="00CC240A" w:rsidRPr="004D03EC" w:rsidRDefault="00CC240A" w:rsidP="00CC240A">
            <w:pPr>
              <w:jc w:val="both"/>
              <w:rPr>
                <w:rFonts w:ascii="Arial Narrow" w:hAnsi="Arial Narrow"/>
                <w:sz w:val="24"/>
              </w:rPr>
            </w:pPr>
            <w:r w:rsidRPr="004D03EC">
              <w:rPr>
                <w:rFonts w:ascii="Arial Narrow" w:hAnsi="Arial Narrow"/>
                <w:sz w:val="24"/>
              </w:rPr>
              <w:t xml:space="preserve">PR (d): é o preço de referência </w:t>
            </w:r>
            <w:r w:rsidR="00EB6EE2">
              <w:rPr>
                <w:rFonts w:ascii="Arial Narrow" w:hAnsi="Arial Narrow"/>
                <w:color w:val="FF0000"/>
                <w:sz w:val="24"/>
              </w:rPr>
              <w:t xml:space="preserve">por produto e por polo </w:t>
            </w:r>
            <w:r w:rsidRPr="004D03EC">
              <w:rPr>
                <w:rFonts w:ascii="Arial Narrow" w:hAnsi="Arial Narrow"/>
                <w:sz w:val="24"/>
              </w:rPr>
              <w:t>calculado para determinado dia "d", à vista e sem tributos, expresso em R$/litro com quatro casas decimais;</w:t>
            </w:r>
          </w:p>
          <w:p w14:paraId="7C0BFA54" w14:textId="660220AA" w:rsidR="00CC240A" w:rsidRPr="004D03EC" w:rsidRDefault="00CC240A" w:rsidP="00CC240A">
            <w:pPr>
              <w:jc w:val="both"/>
              <w:rPr>
                <w:rFonts w:ascii="Arial Narrow" w:hAnsi="Arial Narrow"/>
                <w:sz w:val="24"/>
              </w:rPr>
            </w:pPr>
            <w:r w:rsidRPr="004D03EC">
              <w:rPr>
                <w:rFonts w:ascii="Arial Narrow" w:hAnsi="Arial Narrow"/>
                <w:sz w:val="24"/>
              </w:rPr>
              <w:t xml:space="preserve">Cotação USG FOB: cotação do óleo diesel automotivo no Golfo Americano publicada pela 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Platts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(</w:t>
            </w:r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 xml:space="preserve">ULSD USGC </w:t>
            </w:r>
            <w:proofErr w:type="spellStart"/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>Pipe</w:t>
            </w:r>
            <w:proofErr w:type="spellEnd"/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 xml:space="preserve"> </w:t>
            </w:r>
            <w:proofErr w:type="spellStart"/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>Mid</w:t>
            </w:r>
            <w:proofErr w:type="spellEnd"/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 xml:space="preserve"> </w:t>
            </w:r>
            <w:proofErr w:type="spellStart"/>
            <w:r w:rsidRPr="00D74F3B">
              <w:rPr>
                <w:rFonts w:ascii="Arial Narrow" w:hAnsi="Arial Narrow"/>
                <w:i/>
                <w:strike/>
                <w:color w:val="FF0000"/>
                <w:sz w:val="24"/>
              </w:rPr>
              <w:t>Platts</w:t>
            </w:r>
            <w:proofErr w:type="spellEnd"/>
            <w:r w:rsidRPr="00D74F3B">
              <w:rPr>
                <w:rFonts w:ascii="Arial Narrow" w:hAnsi="Arial Narrow"/>
                <w:strike/>
                <w:color w:val="FF0000"/>
                <w:sz w:val="24"/>
              </w:rPr>
              <w:t>)</w:t>
            </w:r>
            <w:r w:rsidR="00D74F3B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D74F3B" w:rsidRPr="00D74F3B">
              <w:rPr>
                <w:rFonts w:ascii="Arial" w:eastAsia="Arial Unicode MS" w:hAnsi="Arial" w:cs="Arial"/>
                <w:color w:val="FF0000"/>
              </w:rPr>
              <w:t>Export</w:t>
            </w:r>
            <w:proofErr w:type="spellEnd"/>
            <w:r w:rsidR="00D74F3B" w:rsidRPr="00D74F3B">
              <w:rPr>
                <w:rFonts w:ascii="Arial" w:eastAsia="Arial Unicode MS" w:hAnsi="Arial" w:cs="Arial"/>
                <w:color w:val="FF0000"/>
              </w:rPr>
              <w:t xml:space="preserve"> ULSD (AAXRV00)</w:t>
            </w:r>
            <w:r w:rsidRPr="00D74F3B">
              <w:rPr>
                <w:rFonts w:ascii="Arial Narrow" w:hAnsi="Arial Narrow"/>
                <w:color w:val="FF0000"/>
                <w:sz w:val="24"/>
              </w:rPr>
              <w:t xml:space="preserve">, </w:t>
            </w:r>
            <w:r w:rsidRPr="004D03EC">
              <w:rPr>
                <w:rFonts w:ascii="Arial Narrow" w:hAnsi="Arial Narrow"/>
                <w:sz w:val="24"/>
              </w:rPr>
              <w:t xml:space="preserve">convertida de 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cpg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(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cents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por galão) para US$/m</w:t>
            </w:r>
            <w:r w:rsidRPr="004D03EC">
              <w:rPr>
                <w:rFonts w:ascii="Arial Narrow" w:hAnsi="Arial Narrow"/>
                <w:sz w:val="24"/>
                <w:vertAlign w:val="superscript"/>
              </w:rPr>
              <w:t>3</w:t>
            </w:r>
            <w:r w:rsidRPr="004D03EC">
              <w:rPr>
                <w:rFonts w:ascii="Arial Narrow" w:hAnsi="Arial Narrow"/>
                <w:sz w:val="24"/>
              </w:rPr>
              <w:t xml:space="preserve"> multiplicando-se a cotação por 2,6418 no dia “d-2”;</w:t>
            </w:r>
          </w:p>
          <w:p w14:paraId="728F5B27" w14:textId="77777777" w:rsidR="00CC240A" w:rsidRPr="004D03EC" w:rsidRDefault="00CC240A" w:rsidP="00CC240A">
            <w:pPr>
              <w:jc w:val="both"/>
              <w:rPr>
                <w:rFonts w:ascii="Arial Narrow" w:hAnsi="Arial Narrow"/>
                <w:sz w:val="24"/>
              </w:rPr>
            </w:pPr>
            <w:r w:rsidRPr="004D03EC">
              <w:rPr>
                <w:rFonts w:ascii="Arial Narrow" w:hAnsi="Arial Narrow"/>
                <w:sz w:val="24"/>
              </w:rPr>
              <w:t>RVO 2018: cotação do</w:t>
            </w:r>
            <w:r w:rsidRPr="004D03EC">
              <w:rPr>
                <w:rFonts w:ascii="Arial Narrow" w:hAnsi="Arial Narrow"/>
                <w:i/>
                <w:sz w:val="24"/>
              </w:rPr>
              <w:t xml:space="preserve"> </w:t>
            </w:r>
            <w:proofErr w:type="spellStart"/>
            <w:r w:rsidRPr="004D03EC">
              <w:rPr>
                <w:rFonts w:ascii="Arial Narrow" w:hAnsi="Arial Narrow"/>
                <w:i/>
                <w:sz w:val="24"/>
              </w:rPr>
              <w:t>Renewable</w:t>
            </w:r>
            <w:proofErr w:type="spellEnd"/>
            <w:r w:rsidRPr="004D03EC">
              <w:rPr>
                <w:rFonts w:ascii="Arial Narrow" w:hAnsi="Arial Narrow"/>
                <w:i/>
                <w:sz w:val="24"/>
              </w:rPr>
              <w:t xml:space="preserve"> Volume </w:t>
            </w:r>
            <w:proofErr w:type="spellStart"/>
            <w:r w:rsidRPr="004D03EC">
              <w:rPr>
                <w:rFonts w:ascii="Arial Narrow" w:hAnsi="Arial Narrow"/>
                <w:i/>
                <w:sz w:val="24"/>
              </w:rPr>
              <w:t>Obligation</w:t>
            </w:r>
            <w:proofErr w:type="spellEnd"/>
            <w:r w:rsidRPr="004D03EC">
              <w:rPr>
                <w:rFonts w:ascii="Arial Narrow" w:hAnsi="Arial Narrow"/>
                <w:i/>
                <w:sz w:val="24"/>
              </w:rPr>
              <w:t xml:space="preserve"> </w:t>
            </w:r>
            <w:r w:rsidRPr="004D03EC">
              <w:rPr>
                <w:rFonts w:ascii="Arial Narrow" w:hAnsi="Arial Narrow"/>
                <w:sz w:val="24"/>
              </w:rPr>
              <w:t>2018</w:t>
            </w:r>
            <w:r w:rsidRPr="004D03EC">
              <w:rPr>
                <w:rFonts w:ascii="Arial Narrow" w:hAnsi="Arial Narrow"/>
                <w:i/>
                <w:sz w:val="24"/>
              </w:rPr>
              <w:t xml:space="preserve"> -</w:t>
            </w:r>
            <w:r w:rsidRPr="004D03EC">
              <w:rPr>
                <w:rFonts w:ascii="Arial Narrow" w:hAnsi="Arial Narrow"/>
                <w:sz w:val="24"/>
              </w:rPr>
              <w:t xml:space="preserve"> </w:t>
            </w:r>
            <w:proofErr w:type="gramStart"/>
            <w:r w:rsidRPr="004D03EC">
              <w:rPr>
                <w:rFonts w:ascii="Arial Narrow" w:hAnsi="Arial Narrow"/>
                <w:sz w:val="24"/>
              </w:rPr>
              <w:t>RVO  publicada</w:t>
            </w:r>
            <w:proofErr w:type="gramEnd"/>
            <w:r w:rsidRPr="004D03EC">
              <w:rPr>
                <w:rFonts w:ascii="Arial Narrow" w:hAnsi="Arial Narrow"/>
                <w:sz w:val="24"/>
              </w:rPr>
              <w:t xml:space="preserve"> pela 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Platts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, convertida de 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cpg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(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cents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por galão) para US$/m</w:t>
            </w:r>
            <w:r w:rsidRPr="004D03EC">
              <w:rPr>
                <w:rFonts w:ascii="Arial Narrow" w:hAnsi="Arial Narrow"/>
                <w:sz w:val="24"/>
                <w:vertAlign w:val="superscript"/>
              </w:rPr>
              <w:t>3</w:t>
            </w:r>
            <w:r w:rsidRPr="004D03EC">
              <w:rPr>
                <w:rFonts w:ascii="Arial Narrow" w:hAnsi="Arial Narrow"/>
                <w:sz w:val="24"/>
              </w:rPr>
              <w:t xml:space="preserve"> multiplicando-se a cotação por 2,6418 no dia “d-2”.</w:t>
            </w:r>
          </w:p>
          <w:p w14:paraId="00A8E414" w14:textId="77777777" w:rsidR="00CC240A" w:rsidRPr="004D03EC" w:rsidRDefault="00CC240A" w:rsidP="00CC240A">
            <w:pPr>
              <w:spacing w:before="200"/>
              <w:rPr>
                <w:rFonts w:ascii="Arial Narrow" w:hAnsi="Arial Narrow"/>
                <w:sz w:val="24"/>
              </w:rPr>
            </w:pPr>
            <w:r w:rsidRPr="004D03EC">
              <w:rPr>
                <w:rFonts w:ascii="Arial Narrow" w:hAnsi="Arial Narrow"/>
                <w:sz w:val="24"/>
              </w:rPr>
              <w:t xml:space="preserve">Frete Marítimo: cotação do frete marítimo de longo curso publicado pela 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Platts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de acordo com a Tabela abaixo, convertido de US$/</w:t>
            </w:r>
            <w:proofErr w:type="spellStart"/>
            <w:r w:rsidRPr="004D03EC">
              <w:rPr>
                <w:rFonts w:ascii="Arial Narrow" w:hAnsi="Arial Narrow"/>
                <w:sz w:val="24"/>
              </w:rPr>
              <w:t>mt</w:t>
            </w:r>
            <w:proofErr w:type="spellEnd"/>
            <w:r w:rsidRPr="004D03EC">
              <w:rPr>
                <w:rFonts w:ascii="Arial Narrow" w:hAnsi="Arial Narrow"/>
                <w:sz w:val="24"/>
              </w:rPr>
              <w:t xml:space="preserve"> para US$/m3, multiplicando-se a cotação por 0,840 (massa específica do diesel A) no dia “d-2”:</w:t>
            </w:r>
          </w:p>
          <w:tbl>
            <w:tblPr>
              <w:tblStyle w:val="Tabelacomgrade"/>
              <w:tblW w:w="9159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446"/>
              <w:gridCol w:w="2452"/>
            </w:tblGrid>
            <w:tr w:rsidR="00542AD6" w:rsidRPr="00542AD6" w14:paraId="040F8471" w14:textId="77777777" w:rsidTr="00542AD6">
              <w:tc>
                <w:tcPr>
                  <w:tcW w:w="3261" w:type="dxa"/>
                  <w:shd w:val="clear" w:color="auto" w:fill="auto"/>
                  <w:vAlign w:val="center"/>
                </w:tcPr>
                <w:p w14:paraId="6A427EF2" w14:textId="77777777" w:rsidR="00CC240A" w:rsidRPr="00542AD6" w:rsidRDefault="00CC240A" w:rsidP="00CC240A">
                  <w:pPr>
                    <w:rPr>
                      <w:rFonts w:ascii="Arial Narrow" w:hAnsi="Arial Narrow"/>
                      <w:b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 xml:space="preserve">Base </w:t>
                  </w:r>
                  <w:proofErr w:type="spellStart"/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>regionalizada</w:t>
                  </w:r>
                  <w:proofErr w:type="spellEnd"/>
                </w:p>
              </w:tc>
              <w:tc>
                <w:tcPr>
                  <w:tcW w:w="3446" w:type="dxa"/>
                  <w:shd w:val="clear" w:color="auto" w:fill="auto"/>
                  <w:vAlign w:val="center"/>
                </w:tcPr>
                <w:p w14:paraId="140D0626" w14:textId="77777777" w:rsidR="00CC240A" w:rsidRPr="00542AD6" w:rsidRDefault="00CC240A" w:rsidP="00CC240A">
                  <w:pPr>
                    <w:rPr>
                      <w:rFonts w:ascii="Arial Narrow" w:hAnsi="Arial Narrow"/>
                      <w:b/>
                      <w:lang w:val="en-US"/>
                    </w:rPr>
                  </w:pPr>
                  <w:proofErr w:type="spellStart"/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>Frete</w:t>
                  </w:r>
                  <w:proofErr w:type="spellEnd"/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 xml:space="preserve"> </w:t>
                  </w:r>
                  <w:proofErr w:type="spellStart"/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>Marítimo</w:t>
                  </w:r>
                  <w:proofErr w:type="spellEnd"/>
                </w:p>
              </w:tc>
              <w:tc>
                <w:tcPr>
                  <w:tcW w:w="2452" w:type="dxa"/>
                  <w:shd w:val="clear" w:color="auto" w:fill="auto"/>
                  <w:vAlign w:val="center"/>
                </w:tcPr>
                <w:p w14:paraId="52B1A4E3" w14:textId="77777777" w:rsidR="00CC240A" w:rsidRPr="00542AD6" w:rsidRDefault="00CC240A" w:rsidP="00CC240A">
                  <w:pPr>
                    <w:rPr>
                      <w:rFonts w:ascii="Arial Narrow" w:hAnsi="Arial Narrow"/>
                      <w:b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b/>
                      <w:lang w:val="en-US"/>
                    </w:rPr>
                    <w:t>Código Platts</w:t>
                  </w:r>
                </w:p>
              </w:tc>
            </w:tr>
            <w:tr w:rsidR="00542AD6" w:rsidRPr="00542AD6" w14:paraId="2CB999D3" w14:textId="77777777" w:rsidTr="00542AD6">
              <w:tc>
                <w:tcPr>
                  <w:tcW w:w="3261" w:type="dxa"/>
                  <w:vAlign w:val="center"/>
                </w:tcPr>
                <w:p w14:paraId="62588CB6" w14:textId="77777777" w:rsidR="00CC240A" w:rsidRPr="00542AD6" w:rsidRDefault="00CC240A" w:rsidP="00CC240A">
                  <w:pPr>
                    <w:rPr>
                      <w:rFonts w:ascii="Arial Narrow" w:hAnsi="Arial Narrow"/>
                    </w:rPr>
                  </w:pPr>
                  <w:r w:rsidRPr="00542AD6">
                    <w:rPr>
                      <w:rFonts w:ascii="Arial Narrow" w:hAnsi="Arial Narrow"/>
                    </w:rPr>
                    <w:t xml:space="preserve">TO e Unidades Federadas da Região Nordeste </w:t>
                  </w:r>
                </w:p>
              </w:tc>
              <w:tc>
                <w:tcPr>
                  <w:tcW w:w="3446" w:type="dxa"/>
                  <w:vAlign w:val="center"/>
                </w:tcPr>
                <w:p w14:paraId="7A1AFBA7" w14:textId="77777777" w:rsidR="00CC240A" w:rsidRPr="00542AD6" w:rsidRDefault="00CC240A" w:rsidP="00CC240A">
                  <w:pPr>
                    <w:rPr>
                      <w:rFonts w:ascii="Arial Narrow" w:hAnsi="Arial Narrow"/>
                      <w:i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i/>
                      <w:lang w:val="en-US"/>
                    </w:rPr>
                    <w:t>Clean USGC-North Brazil 38kt MR $/Mt</w:t>
                  </w:r>
                </w:p>
              </w:tc>
              <w:tc>
                <w:tcPr>
                  <w:tcW w:w="2452" w:type="dxa"/>
                  <w:vAlign w:val="center"/>
                </w:tcPr>
                <w:p w14:paraId="78353831" w14:textId="77777777" w:rsidR="00CC240A" w:rsidRPr="00542AD6" w:rsidRDefault="00CC240A" w:rsidP="00CC240A">
                  <w:pPr>
                    <w:rPr>
                      <w:rFonts w:ascii="Arial Narrow" w:hAnsi="Arial Narrow"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lang w:val="en-US"/>
                    </w:rPr>
                    <w:t>TCAFS00</w:t>
                  </w:r>
                </w:p>
              </w:tc>
            </w:tr>
            <w:tr w:rsidR="00542AD6" w:rsidRPr="00542AD6" w14:paraId="4BB0B17E" w14:textId="77777777" w:rsidTr="00542AD6">
              <w:tc>
                <w:tcPr>
                  <w:tcW w:w="3261" w:type="dxa"/>
                  <w:vAlign w:val="center"/>
                </w:tcPr>
                <w:p w14:paraId="674F0E63" w14:textId="77777777" w:rsidR="00CC240A" w:rsidRPr="00542AD6" w:rsidRDefault="00CC240A" w:rsidP="00CC240A">
                  <w:pPr>
                    <w:rPr>
                      <w:rFonts w:ascii="Arial Narrow" w:hAnsi="Arial Narrow"/>
                    </w:rPr>
                  </w:pPr>
                  <w:r w:rsidRPr="00542AD6">
                    <w:rPr>
                      <w:rFonts w:ascii="Arial Narrow" w:hAnsi="Arial Narrow"/>
                    </w:rPr>
                    <w:t xml:space="preserve">Unidades Federadas da Região Centro-Oeste e Sudeste </w:t>
                  </w:r>
                </w:p>
              </w:tc>
              <w:tc>
                <w:tcPr>
                  <w:tcW w:w="3446" w:type="dxa"/>
                  <w:vAlign w:val="center"/>
                </w:tcPr>
                <w:p w14:paraId="5EE7EAE4" w14:textId="77777777" w:rsidR="00CC240A" w:rsidRPr="00542AD6" w:rsidRDefault="00CC240A" w:rsidP="00CC240A">
                  <w:pPr>
                    <w:rPr>
                      <w:rFonts w:ascii="Arial Narrow" w:hAnsi="Arial Narrow"/>
                      <w:i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i/>
                      <w:lang w:val="en-US"/>
                    </w:rPr>
                    <w:t>Clean USGC-Brazil 38kt MR $/Mt</w:t>
                  </w:r>
                </w:p>
              </w:tc>
              <w:tc>
                <w:tcPr>
                  <w:tcW w:w="2452" w:type="dxa"/>
                  <w:vAlign w:val="center"/>
                </w:tcPr>
                <w:p w14:paraId="022B217F" w14:textId="77777777" w:rsidR="00CC240A" w:rsidRPr="00542AD6" w:rsidRDefault="00CC240A" w:rsidP="00CC240A">
                  <w:pPr>
                    <w:rPr>
                      <w:rFonts w:ascii="Arial Narrow" w:hAnsi="Arial Narrow"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lang w:val="en-US"/>
                    </w:rPr>
                    <w:t>TCAFR00</w:t>
                  </w:r>
                </w:p>
              </w:tc>
            </w:tr>
            <w:tr w:rsidR="00542AD6" w:rsidRPr="00542AD6" w14:paraId="68C34240" w14:textId="77777777" w:rsidTr="00542AD6">
              <w:tc>
                <w:tcPr>
                  <w:tcW w:w="3261" w:type="dxa"/>
                  <w:vAlign w:val="center"/>
                </w:tcPr>
                <w:p w14:paraId="54961CFF" w14:textId="77777777" w:rsidR="00CC240A" w:rsidRPr="00542AD6" w:rsidRDefault="00CC240A" w:rsidP="00CC240A">
                  <w:pPr>
                    <w:rPr>
                      <w:rFonts w:ascii="Arial Narrow" w:hAnsi="Arial Narrow"/>
                    </w:rPr>
                  </w:pPr>
                  <w:r w:rsidRPr="00542AD6">
                    <w:rPr>
                      <w:rFonts w:ascii="Arial Narrow" w:hAnsi="Arial Narrow"/>
                    </w:rPr>
                    <w:t>Unidades Federadas da Região Norte, exceto TO</w:t>
                  </w:r>
                </w:p>
              </w:tc>
              <w:tc>
                <w:tcPr>
                  <w:tcW w:w="3446" w:type="dxa"/>
                  <w:vAlign w:val="center"/>
                </w:tcPr>
                <w:p w14:paraId="1DE33489" w14:textId="77777777" w:rsidR="00CC240A" w:rsidRPr="00542AD6" w:rsidRDefault="00CC240A" w:rsidP="00CC240A">
                  <w:pPr>
                    <w:rPr>
                      <w:rFonts w:ascii="Arial Narrow" w:hAnsi="Arial Narrow"/>
                      <w:i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i/>
                      <w:lang w:val="en-US"/>
                    </w:rPr>
                    <w:t>Clean USGC-North Brazil 38kt MR $/Mt</w:t>
                  </w:r>
                </w:p>
              </w:tc>
              <w:tc>
                <w:tcPr>
                  <w:tcW w:w="2452" w:type="dxa"/>
                  <w:vAlign w:val="center"/>
                </w:tcPr>
                <w:p w14:paraId="306333B4" w14:textId="77777777" w:rsidR="00CC240A" w:rsidRPr="00542AD6" w:rsidRDefault="00CC240A" w:rsidP="00CC240A">
                  <w:pPr>
                    <w:rPr>
                      <w:rFonts w:ascii="Arial Narrow" w:hAnsi="Arial Narrow"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lang w:val="en-US"/>
                    </w:rPr>
                    <w:t>TCAFS00</w:t>
                  </w:r>
                </w:p>
              </w:tc>
            </w:tr>
            <w:tr w:rsidR="00542AD6" w:rsidRPr="00542AD6" w14:paraId="64F17FC9" w14:textId="77777777" w:rsidTr="00542AD6">
              <w:tc>
                <w:tcPr>
                  <w:tcW w:w="3261" w:type="dxa"/>
                  <w:vAlign w:val="center"/>
                </w:tcPr>
                <w:p w14:paraId="25D1847E" w14:textId="77777777" w:rsidR="00CC240A" w:rsidRPr="00542AD6" w:rsidRDefault="00CC240A" w:rsidP="00CC240A">
                  <w:pPr>
                    <w:rPr>
                      <w:rFonts w:ascii="Arial Narrow" w:hAnsi="Arial Narrow"/>
                    </w:rPr>
                  </w:pPr>
                  <w:r w:rsidRPr="00542AD6">
                    <w:rPr>
                      <w:rFonts w:ascii="Arial Narrow" w:hAnsi="Arial Narrow"/>
                    </w:rPr>
                    <w:t xml:space="preserve">Unidades Federadas da Região Sul </w:t>
                  </w:r>
                </w:p>
              </w:tc>
              <w:tc>
                <w:tcPr>
                  <w:tcW w:w="3446" w:type="dxa"/>
                  <w:vAlign w:val="center"/>
                </w:tcPr>
                <w:p w14:paraId="71D4972F" w14:textId="77777777" w:rsidR="00CC240A" w:rsidRPr="00542AD6" w:rsidRDefault="00CC240A" w:rsidP="00CC240A">
                  <w:pPr>
                    <w:rPr>
                      <w:rFonts w:ascii="Arial Narrow" w:hAnsi="Arial Narrow"/>
                      <w:i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i/>
                      <w:lang w:val="en-US"/>
                    </w:rPr>
                    <w:t>Clean USGC-Brazil 38kt MR $/Mt</w:t>
                  </w:r>
                </w:p>
              </w:tc>
              <w:tc>
                <w:tcPr>
                  <w:tcW w:w="2452" w:type="dxa"/>
                  <w:vAlign w:val="center"/>
                </w:tcPr>
                <w:p w14:paraId="03B8D5DF" w14:textId="77777777" w:rsidR="00CC240A" w:rsidRPr="00542AD6" w:rsidRDefault="00CC240A" w:rsidP="00CC240A">
                  <w:pPr>
                    <w:rPr>
                      <w:rFonts w:ascii="Arial Narrow" w:hAnsi="Arial Narrow"/>
                      <w:lang w:val="en-US"/>
                    </w:rPr>
                  </w:pPr>
                  <w:r w:rsidRPr="00542AD6">
                    <w:rPr>
                      <w:rFonts w:ascii="Arial Narrow" w:hAnsi="Arial Narrow"/>
                      <w:lang w:val="en-US"/>
                    </w:rPr>
                    <w:t>TCAFR00</w:t>
                  </w:r>
                </w:p>
              </w:tc>
            </w:tr>
          </w:tbl>
          <w:p w14:paraId="1FC02F91" w14:textId="77777777" w:rsidR="00CC240A" w:rsidRPr="004D03EC" w:rsidRDefault="00CC240A" w:rsidP="00CC240A">
            <w:pPr>
              <w:spacing w:before="20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D03EC">
              <w:rPr>
                <w:rFonts w:ascii="Arial Narrow" w:hAnsi="Arial Narrow"/>
                <w:sz w:val="24"/>
                <w:szCs w:val="24"/>
              </w:rPr>
              <w:t>Txcâmbio</w:t>
            </w:r>
            <w:proofErr w:type="spellEnd"/>
            <w:r w:rsidRPr="004D03EC">
              <w:rPr>
                <w:rFonts w:ascii="Arial Narrow" w:hAnsi="Arial Narrow"/>
                <w:sz w:val="24"/>
                <w:szCs w:val="24"/>
              </w:rPr>
              <w:t>: cotação de venda do dólar norte-americano, publicada pelo Banco Central do Brasil, no dia “d-2”;</w:t>
            </w:r>
          </w:p>
          <w:p w14:paraId="2AED9695" w14:textId="77777777" w:rsidR="00CC240A" w:rsidRPr="004D03EC" w:rsidRDefault="00CC240A" w:rsidP="00CC240A">
            <w:pPr>
              <w:rPr>
                <w:rFonts w:ascii="Arial Narrow" w:hAnsi="Arial Narrow"/>
                <w:sz w:val="24"/>
                <w:szCs w:val="24"/>
              </w:rPr>
            </w:pPr>
            <w:r w:rsidRPr="004D03EC">
              <w:rPr>
                <w:rFonts w:ascii="Arial Narrow" w:hAnsi="Arial Narrow"/>
                <w:sz w:val="24"/>
                <w:szCs w:val="24"/>
              </w:rPr>
              <w:t xml:space="preserve">Parcela Fixa: valor fixo determinado pela ANP, </w:t>
            </w:r>
            <w:r w:rsidRPr="00725CC2">
              <w:rPr>
                <w:rFonts w:ascii="Arial Narrow" w:hAnsi="Arial Narrow"/>
                <w:strike/>
                <w:color w:val="FF0000"/>
                <w:sz w:val="24"/>
                <w:szCs w:val="24"/>
              </w:rPr>
              <w:t>válido até dezembro de 2018</w:t>
            </w:r>
            <w:r w:rsidRPr="004D03EC">
              <w:rPr>
                <w:rFonts w:ascii="Arial Narrow" w:hAnsi="Arial Narrow"/>
                <w:sz w:val="24"/>
                <w:szCs w:val="24"/>
              </w:rPr>
              <w:t xml:space="preserve">, correspondente às demais parcelas da operação, tais como seguro, perdas e </w:t>
            </w:r>
            <w:r w:rsidRPr="00725CC2">
              <w:rPr>
                <w:rFonts w:ascii="Arial Narrow" w:hAnsi="Arial Narrow"/>
                <w:strike/>
                <w:color w:val="FF0000"/>
                <w:sz w:val="24"/>
                <w:szCs w:val="24"/>
              </w:rPr>
              <w:t>outros</w:t>
            </w:r>
            <w:r w:rsidRPr="004D03EC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77B6A1D9" w14:textId="77777777" w:rsidR="00CC240A" w:rsidRPr="004D03EC" w:rsidRDefault="00CC240A" w:rsidP="00CC240A">
            <w:pPr>
              <w:rPr>
                <w:rFonts w:ascii="Arial Narrow" w:hAnsi="Arial Narrow"/>
                <w:sz w:val="24"/>
                <w:szCs w:val="24"/>
              </w:rPr>
            </w:pPr>
            <w:r w:rsidRPr="004D03EC">
              <w:rPr>
                <w:rFonts w:ascii="Arial Narrow" w:hAnsi="Arial Narrow"/>
                <w:sz w:val="24"/>
                <w:szCs w:val="24"/>
              </w:rPr>
              <w:t>O valor da parcela fixa por região está apresentado a seguir:</w:t>
            </w:r>
          </w:p>
          <w:p w14:paraId="346C0C3A" w14:textId="77777777" w:rsidR="00CC240A" w:rsidRPr="004D03EC" w:rsidRDefault="00CC240A" w:rsidP="00CC240A">
            <w:pPr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-256"/>
              <w:tblOverlap w:val="never"/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552"/>
            </w:tblGrid>
            <w:tr w:rsidR="00CC240A" w:rsidRPr="004D03EC" w14:paraId="061C533F" w14:textId="77777777" w:rsidTr="00542AD6">
              <w:tc>
                <w:tcPr>
                  <w:tcW w:w="5670" w:type="dxa"/>
                </w:tcPr>
                <w:p w14:paraId="301DD36E" w14:textId="77777777" w:rsidR="00CC240A" w:rsidRPr="004D03EC" w:rsidRDefault="00CC240A" w:rsidP="00CC240A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4D03EC">
                    <w:rPr>
                      <w:rFonts w:ascii="Arial Narrow" w:hAnsi="Arial Narrow"/>
                      <w:b/>
                      <w:sz w:val="24"/>
                    </w:rPr>
                    <w:lastRenderedPageBreak/>
                    <w:t>Base regionalizada</w:t>
                  </w:r>
                </w:p>
              </w:tc>
              <w:tc>
                <w:tcPr>
                  <w:tcW w:w="2552" w:type="dxa"/>
                </w:tcPr>
                <w:p w14:paraId="0344EBF2" w14:textId="77777777" w:rsidR="00CC240A" w:rsidRPr="004D03EC" w:rsidRDefault="00CC240A" w:rsidP="00CC240A">
                  <w:pPr>
                    <w:jc w:val="center"/>
                    <w:rPr>
                      <w:rFonts w:ascii="Arial Narrow" w:hAnsi="Arial Narrow"/>
                      <w:b/>
                      <w:sz w:val="24"/>
                    </w:rPr>
                  </w:pPr>
                  <w:proofErr w:type="gramStart"/>
                  <w:r w:rsidRPr="004D03EC">
                    <w:rPr>
                      <w:rFonts w:ascii="Arial Narrow" w:hAnsi="Arial Narrow"/>
                      <w:b/>
                      <w:sz w:val="24"/>
                    </w:rPr>
                    <w:t>Parcela Fixa</w:t>
                  </w:r>
                  <w:proofErr w:type="gramEnd"/>
                  <w:r w:rsidRPr="004D03EC">
                    <w:rPr>
                      <w:rFonts w:ascii="Arial Narrow" w:hAnsi="Arial Narrow"/>
                      <w:b/>
                      <w:sz w:val="24"/>
                    </w:rPr>
                    <w:t xml:space="preserve"> (R$/l)</w:t>
                  </w:r>
                </w:p>
              </w:tc>
            </w:tr>
            <w:tr w:rsidR="00CC240A" w:rsidRPr="004D03EC" w14:paraId="7591FF59" w14:textId="77777777" w:rsidTr="00542AD6">
              <w:tc>
                <w:tcPr>
                  <w:tcW w:w="5670" w:type="dxa"/>
                </w:tcPr>
                <w:p w14:paraId="07B25170" w14:textId="77777777" w:rsidR="00CC240A" w:rsidRPr="004D03EC" w:rsidRDefault="00CC240A" w:rsidP="00CC240A">
                  <w:pPr>
                    <w:rPr>
                      <w:rFonts w:ascii="Arial Narrow" w:hAnsi="Arial Narrow"/>
                      <w:sz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</w:rPr>
                    <w:t xml:space="preserve">TO e Unidades Federadas da Região Nordeste </w:t>
                  </w:r>
                </w:p>
              </w:tc>
              <w:tc>
                <w:tcPr>
                  <w:tcW w:w="2552" w:type="dxa"/>
                </w:tcPr>
                <w:p w14:paraId="5EEAECF9" w14:textId="77777777" w:rsidR="00CC240A" w:rsidRPr="004D03EC" w:rsidRDefault="00CC240A" w:rsidP="00CC240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  <w:szCs w:val="24"/>
                    </w:rPr>
                    <w:t>0,0390</w:t>
                  </w:r>
                </w:p>
              </w:tc>
            </w:tr>
            <w:tr w:rsidR="00CC240A" w:rsidRPr="004D03EC" w14:paraId="4B2F0A11" w14:textId="77777777" w:rsidTr="00542AD6">
              <w:tc>
                <w:tcPr>
                  <w:tcW w:w="5670" w:type="dxa"/>
                </w:tcPr>
                <w:p w14:paraId="7CFDEC0B" w14:textId="77777777" w:rsidR="00CC240A" w:rsidRPr="004D03EC" w:rsidRDefault="00CC240A" w:rsidP="00CC240A">
                  <w:pPr>
                    <w:rPr>
                      <w:rFonts w:ascii="Arial Narrow" w:hAnsi="Arial Narrow"/>
                      <w:sz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</w:rPr>
                    <w:t xml:space="preserve">Unidades Federadas da Região Centro-Oeste e Sudeste </w:t>
                  </w:r>
                </w:p>
              </w:tc>
              <w:tc>
                <w:tcPr>
                  <w:tcW w:w="2552" w:type="dxa"/>
                </w:tcPr>
                <w:p w14:paraId="345565CC" w14:textId="77777777" w:rsidR="00CC240A" w:rsidRPr="004D03EC" w:rsidRDefault="00CC240A" w:rsidP="00CC240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  <w:szCs w:val="24"/>
                    </w:rPr>
                    <w:t>0,0542</w:t>
                  </w:r>
                </w:p>
              </w:tc>
            </w:tr>
            <w:tr w:rsidR="00CC240A" w:rsidRPr="004D03EC" w14:paraId="1DE0B140" w14:textId="77777777" w:rsidTr="00542AD6">
              <w:tc>
                <w:tcPr>
                  <w:tcW w:w="5670" w:type="dxa"/>
                </w:tcPr>
                <w:p w14:paraId="66A2088A" w14:textId="77777777" w:rsidR="00CC240A" w:rsidRPr="004D03EC" w:rsidRDefault="00CC240A" w:rsidP="00CC240A">
                  <w:pPr>
                    <w:rPr>
                      <w:rFonts w:ascii="Arial Narrow" w:hAnsi="Arial Narrow"/>
                      <w:sz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</w:rPr>
                    <w:t>Unidades Federadas da Região Norte, exceto TO</w:t>
                  </w:r>
                </w:p>
              </w:tc>
              <w:tc>
                <w:tcPr>
                  <w:tcW w:w="2552" w:type="dxa"/>
                </w:tcPr>
                <w:p w14:paraId="712E7238" w14:textId="77777777" w:rsidR="00CC240A" w:rsidRPr="004D03EC" w:rsidRDefault="00CC240A" w:rsidP="00CC240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  <w:szCs w:val="24"/>
                    </w:rPr>
                    <w:t>0,0048</w:t>
                  </w:r>
                </w:p>
              </w:tc>
            </w:tr>
            <w:tr w:rsidR="00CC240A" w:rsidRPr="004D03EC" w14:paraId="50C4250D" w14:textId="77777777" w:rsidTr="00542AD6">
              <w:tc>
                <w:tcPr>
                  <w:tcW w:w="5670" w:type="dxa"/>
                </w:tcPr>
                <w:p w14:paraId="4FFCB519" w14:textId="77777777" w:rsidR="00CC240A" w:rsidRPr="004D03EC" w:rsidRDefault="00CC240A" w:rsidP="00CC240A">
                  <w:pPr>
                    <w:rPr>
                      <w:rFonts w:ascii="Arial Narrow" w:hAnsi="Arial Narrow"/>
                      <w:sz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</w:rPr>
                    <w:t xml:space="preserve">Unidades Federadas da Região Sul </w:t>
                  </w:r>
                </w:p>
              </w:tc>
              <w:tc>
                <w:tcPr>
                  <w:tcW w:w="2552" w:type="dxa"/>
                </w:tcPr>
                <w:p w14:paraId="2CBC598C" w14:textId="77777777" w:rsidR="00CC240A" w:rsidRPr="004D03EC" w:rsidRDefault="00CC240A" w:rsidP="00CC240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D03EC">
                    <w:rPr>
                      <w:rFonts w:ascii="Arial Narrow" w:hAnsi="Arial Narrow"/>
                      <w:sz w:val="24"/>
                      <w:szCs w:val="24"/>
                    </w:rPr>
                    <w:t>0,0254</w:t>
                  </w:r>
                </w:p>
              </w:tc>
            </w:tr>
          </w:tbl>
          <w:p w14:paraId="0FCE51B8" w14:textId="77777777" w:rsidR="00CC240A" w:rsidRPr="004D03EC" w:rsidRDefault="00CC240A" w:rsidP="00CC240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921CC31" w14:textId="77777777" w:rsidR="00CC240A" w:rsidRPr="00AB3B6E" w:rsidRDefault="00CC240A" w:rsidP="00CC240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AB3B6E">
              <w:rPr>
                <w:rFonts w:ascii="Arial Narrow" w:hAnsi="Arial Narrow"/>
                <w:color w:val="FF0000"/>
              </w:rPr>
              <w:fldChar w:fldCharType="begin"/>
            </w:r>
            <w:r w:rsidRPr="00AB3B6E">
              <w:rPr>
                <w:rFonts w:ascii="Arial Narrow" w:hAnsi="Arial Narrow"/>
                <w:color w:val="FF0000"/>
              </w:rPr>
              <w:instrText xml:space="preserve"> QUOTE </w:instrText>
            </w:r>
            <w:r w:rsidRPr="00AB3B6E">
              <w:rPr>
                <w:rFonts w:ascii="Arial Narrow" w:eastAsia="SimSun" w:hAnsi="Arial Narrow"/>
                <w:color w:val="FF0000"/>
                <w:position w:val="-35"/>
              </w:rPr>
              <w:pict w14:anchorId="1080ACCA">
                <v:shape id="_x0000_i1827" type="#_x0000_t75" style="width:11.25pt;height:27.75pt" equationxml="&lt;">
                  <v:imagedata r:id="rId7" o:title="" chromakey="white"/>
                </v:shape>
              </w:pict>
            </w:r>
            <w:r w:rsidRPr="00AB3B6E">
              <w:rPr>
                <w:rFonts w:ascii="Arial Narrow" w:hAnsi="Arial Narrow"/>
                <w:color w:val="FF0000"/>
              </w:rPr>
              <w:instrText xml:space="preserve"> </w:instrText>
            </w:r>
            <w:r w:rsidRPr="00AB3B6E">
              <w:rPr>
                <w:rFonts w:ascii="Arial Narrow" w:hAnsi="Arial Narrow"/>
                <w:color w:val="FF0000"/>
              </w:rPr>
              <w:fldChar w:fldCharType="separate"/>
            </w:r>
            <w:r w:rsidRPr="00AB3B6E">
              <w:rPr>
                <w:rFonts w:ascii="Arial Narrow" w:eastAsia="SimSun" w:hAnsi="Arial Narrow"/>
                <w:color w:val="FF0000"/>
                <w:position w:val="-35"/>
              </w:rPr>
              <w:pict w14:anchorId="33717CF4">
                <v:shape id="_x0000_i1828" type="#_x0000_t75" style="width:11.25pt;height:27.75pt" equationxml="&lt;">
                  <v:imagedata r:id="rId7" o:title="" chromakey="white"/>
                </v:shape>
              </w:pict>
            </w:r>
            <w:r w:rsidRPr="00AB3B6E">
              <w:rPr>
                <w:rFonts w:ascii="Arial Narrow" w:hAnsi="Arial Narrow"/>
                <w:color w:val="FF0000"/>
              </w:rPr>
              <w:fldChar w:fldCharType="end"/>
            </w:r>
            <w:r w:rsidRPr="00AB3B6E">
              <w:rPr>
                <w:rFonts w:ascii="Arial Narrow" w:hAnsi="Arial Narrow"/>
                <w:color w:val="FF0000"/>
              </w:rPr>
              <w:t xml:space="preserve"> = </w:t>
            </w:r>
            <w:r w:rsidRPr="00AB3B6E">
              <w:rPr>
                <w:rFonts w:ascii="Arial Narrow" w:eastAsia="SimSun" w:hAnsi="Arial Narrow"/>
                <w:color w:val="FF0000"/>
              </w:rPr>
              <w:t>parcela fixa a ser aplicada para fins de ajuste do preço de comercialização no período t, em reais por litro</w:t>
            </w:r>
          </w:p>
          <w:p w14:paraId="20A37787" w14:textId="77777777" w:rsidR="00CC240A" w:rsidRPr="004D03EC" w:rsidRDefault="00CC240A" w:rsidP="00CC240A">
            <w:pPr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1F6779" w14:textId="22E18352" w:rsidR="00D204F1" w:rsidRPr="00D204F1" w:rsidRDefault="00D204F1" w:rsidP="00D204F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 w:rsidRPr="00D204F1">
              <w:rPr>
                <w:rFonts w:ascii="Arial" w:eastAsia="Arial Unicode MS" w:hAnsi="Arial" w:cs="Arial"/>
                <w:b/>
              </w:rPr>
              <w:lastRenderedPageBreak/>
              <w:t>Preços de referência (PR) e preços de comercialização (PC) segregados por produto e por polo</w:t>
            </w:r>
            <w:r w:rsidR="00FB71AF">
              <w:rPr>
                <w:rFonts w:ascii="Arial" w:eastAsia="Arial Unicode MS" w:hAnsi="Arial" w:cs="Arial"/>
                <w:b/>
              </w:rPr>
              <w:t xml:space="preserve">: </w:t>
            </w:r>
            <w:r w:rsidR="00FB71AF" w:rsidRPr="00FB71AF">
              <w:rPr>
                <w:rFonts w:ascii="Arial" w:eastAsia="Arial Unicode MS" w:hAnsi="Arial" w:cs="Arial"/>
              </w:rPr>
              <w:t>além da segregação é indispensável</w:t>
            </w:r>
            <w:r w:rsidRPr="00FB71AF">
              <w:rPr>
                <w:rFonts w:ascii="Arial" w:eastAsia="Arial Unicode MS" w:hAnsi="Arial" w:cs="Arial"/>
              </w:rPr>
              <w:t xml:space="preserve"> metodologia</w:t>
            </w:r>
            <w:r w:rsidR="00FB71AF" w:rsidRPr="00FB71AF">
              <w:rPr>
                <w:rFonts w:ascii="Arial" w:eastAsia="Arial Unicode MS" w:hAnsi="Arial" w:cs="Arial"/>
              </w:rPr>
              <w:t xml:space="preserve"> </w:t>
            </w:r>
            <w:r w:rsidRPr="00FB71AF">
              <w:rPr>
                <w:rFonts w:ascii="Arial" w:eastAsia="Arial Unicode MS" w:hAnsi="Arial" w:cs="Arial"/>
              </w:rPr>
              <w:t>de cálculo transparente, devendo</w:t>
            </w:r>
            <w:r w:rsidRPr="00D204F1">
              <w:rPr>
                <w:rFonts w:ascii="Arial" w:eastAsia="Arial Unicode MS" w:hAnsi="Arial" w:cs="Arial"/>
              </w:rPr>
              <w:t xml:space="preserve"> contemplar, no mínimo, os seguintes polos, onde ocorrem regularmente internações de produtos e foram realizados investimentos e/ou contratos de armazenagem pelos agentes importadores: Itacoatiara, Itaqui, Suape, Aratu, Paulínia (Santos), Araucária (Paranaguá) e Rio Grande;</w:t>
            </w:r>
          </w:p>
          <w:p w14:paraId="703B5E54" w14:textId="7251757C" w:rsidR="00D74F3B" w:rsidRPr="00D74F3B" w:rsidRDefault="007F3496" w:rsidP="00D74F3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 w:rsidRPr="007F3496">
              <w:rPr>
                <w:rFonts w:ascii="Arial" w:eastAsia="Arial Unicode MS" w:hAnsi="Arial" w:cs="Arial"/>
                <w:b/>
              </w:rPr>
              <w:t>Cotação ULSD:</w:t>
            </w:r>
            <w:r w:rsidRPr="007F3496">
              <w:rPr>
                <w:rFonts w:ascii="Arial" w:eastAsia="Arial Unicode MS" w:hAnsi="Arial" w:cs="Arial"/>
              </w:rPr>
              <w:t xml:space="preserve"> A cotação </w:t>
            </w:r>
            <w:proofErr w:type="gramStart"/>
            <w:r w:rsidRPr="007F3496">
              <w:rPr>
                <w:rFonts w:ascii="Arial" w:eastAsia="Arial Unicode MS" w:hAnsi="Arial" w:cs="Arial"/>
              </w:rPr>
              <w:t xml:space="preserve">utilizada </w:t>
            </w:r>
            <w:r w:rsidRPr="007F3496">
              <w:rPr>
                <w:rFonts w:ascii="Arial" w:eastAsia="Arial Unicode MS" w:hAnsi="Arial" w:cs="Arial"/>
              </w:rPr>
              <w:t xml:space="preserve"> </w:t>
            </w:r>
            <w:r w:rsidR="00FB71AF">
              <w:rPr>
                <w:rFonts w:ascii="Arial" w:eastAsia="Arial Unicode MS" w:hAnsi="Arial" w:cs="Arial"/>
              </w:rPr>
              <w:t>considera</w:t>
            </w:r>
            <w:proofErr w:type="gramEnd"/>
            <w:r w:rsidR="00FB71AF">
              <w:rPr>
                <w:rFonts w:ascii="Arial" w:eastAsia="Arial Unicode MS" w:hAnsi="Arial" w:cs="Arial"/>
              </w:rPr>
              <w:t xml:space="preserve"> o custo</w:t>
            </w:r>
            <w:r w:rsidRPr="007F3496">
              <w:rPr>
                <w:rFonts w:ascii="Arial" w:eastAsia="Arial Unicode MS" w:hAnsi="Arial" w:cs="Arial"/>
              </w:rPr>
              <w:t xml:space="preserve"> para retirada do produto no “</w:t>
            </w:r>
            <w:proofErr w:type="spellStart"/>
            <w:r w:rsidRPr="007F3496">
              <w:rPr>
                <w:rFonts w:ascii="Arial" w:eastAsia="Arial Unicode MS" w:hAnsi="Arial" w:cs="Arial"/>
              </w:rPr>
              <w:t>pipe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”. </w:t>
            </w:r>
            <w:r w:rsidRPr="007F3496">
              <w:rPr>
                <w:rFonts w:ascii="Arial" w:eastAsia="Arial Unicode MS" w:hAnsi="Arial" w:cs="Arial"/>
              </w:rPr>
              <w:t>Desse modo</w:t>
            </w:r>
            <w:r w:rsidRPr="007F3496">
              <w:rPr>
                <w:rFonts w:ascii="Arial" w:eastAsia="Arial Unicode MS" w:hAnsi="Arial" w:cs="Arial"/>
              </w:rPr>
              <w:t xml:space="preserve">, </w:t>
            </w:r>
            <w:r w:rsidRPr="007F3496">
              <w:rPr>
                <w:rFonts w:ascii="Arial" w:eastAsia="Arial Unicode MS" w:hAnsi="Arial" w:cs="Arial"/>
              </w:rPr>
              <w:t xml:space="preserve">ainda é necessário </w:t>
            </w:r>
            <w:r w:rsidRPr="007F3496">
              <w:rPr>
                <w:rFonts w:ascii="Arial" w:eastAsia="Arial Unicode MS" w:hAnsi="Arial" w:cs="Arial"/>
              </w:rPr>
              <w:t xml:space="preserve">incluir </w:t>
            </w:r>
            <w:r w:rsidR="00FB71AF">
              <w:rPr>
                <w:rFonts w:ascii="Arial" w:eastAsia="Arial Unicode MS" w:hAnsi="Arial" w:cs="Arial"/>
              </w:rPr>
              <w:t xml:space="preserve">a </w:t>
            </w:r>
            <w:r w:rsidRPr="007F3496">
              <w:rPr>
                <w:rFonts w:ascii="Arial" w:eastAsia="Arial Unicode MS" w:hAnsi="Arial" w:cs="Arial"/>
              </w:rPr>
              <w:t xml:space="preserve">despesa portuária e tancagem na origem. Esse item é cotado no </w:t>
            </w:r>
            <w:proofErr w:type="spellStart"/>
            <w:r w:rsidRPr="007F3496">
              <w:rPr>
                <w:rFonts w:ascii="Arial" w:eastAsia="Arial Unicode MS" w:hAnsi="Arial" w:cs="Arial"/>
              </w:rPr>
              <w:t>P</w:t>
            </w:r>
            <w:r w:rsidRPr="007F3496">
              <w:rPr>
                <w:rFonts w:ascii="Arial" w:eastAsia="Arial Unicode MS" w:hAnsi="Arial" w:cs="Arial"/>
              </w:rPr>
              <w:t>latts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 no comentário diário denominado “ULSD - USGC - </w:t>
            </w:r>
            <w:proofErr w:type="spellStart"/>
            <w:r w:rsidRPr="007F3496">
              <w:rPr>
                <w:rFonts w:ascii="Arial" w:eastAsia="Arial Unicode MS" w:hAnsi="Arial" w:cs="Arial"/>
              </w:rPr>
              <w:t>Export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7F3496">
              <w:rPr>
                <w:rFonts w:ascii="Arial" w:eastAsia="Arial Unicode MS" w:hAnsi="Arial" w:cs="Arial"/>
              </w:rPr>
              <w:t>assessement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7F3496">
              <w:rPr>
                <w:rFonts w:ascii="Arial" w:eastAsia="Arial Unicode MS" w:hAnsi="Arial" w:cs="Arial"/>
              </w:rPr>
              <w:t>rationale</w:t>
            </w:r>
            <w:proofErr w:type="spellEnd"/>
            <w:r w:rsidRPr="007F3496">
              <w:rPr>
                <w:rFonts w:ascii="Arial" w:eastAsia="Arial Unicode MS" w:hAnsi="Arial" w:cs="Arial"/>
              </w:rPr>
              <w:t>”.</w:t>
            </w:r>
            <w:r w:rsidRPr="007F3496">
              <w:rPr>
                <w:rFonts w:ascii="Arial" w:eastAsia="Arial Unicode MS" w:hAnsi="Arial" w:cs="Arial"/>
              </w:rPr>
              <w:t xml:space="preserve"> </w:t>
            </w:r>
            <w:r w:rsidR="00D74F3B">
              <w:rPr>
                <w:rFonts w:ascii="Arial" w:eastAsia="Arial Unicode MS" w:hAnsi="Arial" w:cs="Arial"/>
              </w:rPr>
              <w:t>Ou, de forma alternativa,</w:t>
            </w:r>
            <w:bookmarkStart w:id="0" w:name="_GoBack"/>
            <w:bookmarkEnd w:id="0"/>
            <w:r w:rsidRPr="007F3496">
              <w:rPr>
                <w:rFonts w:ascii="Arial" w:eastAsia="Arial Unicode MS" w:hAnsi="Arial" w:cs="Arial"/>
              </w:rPr>
              <w:t xml:space="preserve"> existe na publicação </w:t>
            </w:r>
            <w:proofErr w:type="spellStart"/>
            <w:r w:rsidRPr="007F3496">
              <w:rPr>
                <w:rFonts w:ascii="Arial" w:eastAsia="Arial Unicode MS" w:hAnsi="Arial" w:cs="Arial"/>
              </w:rPr>
              <w:t>Platts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 o item “</w:t>
            </w:r>
            <w:proofErr w:type="spellStart"/>
            <w:r w:rsidRPr="007F3496">
              <w:rPr>
                <w:rFonts w:ascii="Arial" w:eastAsia="Arial Unicode MS" w:hAnsi="Arial" w:cs="Arial"/>
              </w:rPr>
              <w:t>Expo</w:t>
            </w:r>
            <w:r w:rsidR="00D74F3B">
              <w:rPr>
                <w:rFonts w:ascii="Arial" w:eastAsia="Arial Unicode MS" w:hAnsi="Arial" w:cs="Arial"/>
              </w:rPr>
              <w:t>r</w:t>
            </w:r>
            <w:r w:rsidRPr="007F3496">
              <w:rPr>
                <w:rFonts w:ascii="Arial" w:eastAsia="Arial Unicode MS" w:hAnsi="Arial" w:cs="Arial"/>
              </w:rPr>
              <w:t>t</w:t>
            </w:r>
            <w:proofErr w:type="spellEnd"/>
            <w:r w:rsidRPr="007F3496">
              <w:rPr>
                <w:rFonts w:ascii="Arial" w:eastAsia="Arial Unicode MS" w:hAnsi="Arial" w:cs="Arial"/>
              </w:rPr>
              <w:t xml:space="preserve"> ULSD (AAXRV00)” que reflete sinteticamente todos os elementos </w:t>
            </w:r>
            <w:r w:rsidR="00D74F3B">
              <w:rPr>
                <w:rFonts w:ascii="Arial" w:eastAsia="Arial Unicode MS" w:hAnsi="Arial" w:cs="Arial"/>
              </w:rPr>
              <w:t>descritos acima.</w:t>
            </w:r>
          </w:p>
          <w:p w14:paraId="3A2D361B" w14:textId="2249BB1B" w:rsidR="00CC240A" w:rsidRPr="00D61E1A" w:rsidRDefault="00AB3B6E" w:rsidP="00CA500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 w:rsidRPr="00D61E1A">
              <w:rPr>
                <w:rFonts w:ascii="Arial" w:hAnsi="Arial" w:cs="Arial"/>
                <w:b/>
              </w:rPr>
              <w:t xml:space="preserve">Inclusão da parcela </w:t>
            </w:r>
            <w:proofErr w:type="spellStart"/>
            <w:r w:rsidRPr="00D61E1A">
              <w:rPr>
                <w:rFonts w:ascii="Arial" w:hAnsi="Arial" w:cs="Arial"/>
                <w:b/>
              </w:rPr>
              <w:t>Zt</w:t>
            </w:r>
            <w:proofErr w:type="spellEnd"/>
            <w:r w:rsidRPr="00D61E1A">
              <w:rPr>
                <w:rFonts w:ascii="Arial" w:hAnsi="Arial" w:cs="Arial"/>
                <w:b/>
              </w:rPr>
              <w:t>:</w:t>
            </w:r>
            <w:r w:rsidRPr="00D61E1A">
              <w:rPr>
                <w:rFonts w:ascii="Arial" w:hAnsi="Arial" w:cs="Arial"/>
              </w:rPr>
              <w:t xml:space="preserve"> No texto e na fórmula não está explícito que deve ser somada a parcela fixa </w:t>
            </w:r>
            <w:proofErr w:type="spellStart"/>
            <w:r w:rsidRPr="00D61E1A">
              <w:rPr>
                <w:rFonts w:ascii="Arial" w:hAnsi="Arial" w:cs="Arial"/>
              </w:rPr>
              <w:t>Zt</w:t>
            </w:r>
            <w:proofErr w:type="spellEnd"/>
            <w:r w:rsidRPr="00D61E1A">
              <w:rPr>
                <w:rFonts w:ascii="Arial" w:hAnsi="Arial" w:cs="Arial"/>
              </w:rPr>
              <w:t xml:space="preserve">, oriunda dos </w:t>
            </w:r>
            <w:hyperlink r:id="rId8" w:tgtFrame="_blank" w:history="1">
              <w:r w:rsidRPr="00D61E1A">
                <w:rPr>
                  <w:rFonts w:ascii="Arial" w:hAnsi="Arial" w:cs="Arial"/>
                </w:rPr>
                <w:t>resíduos da conta Gráfica e do PIS/</w:t>
              </w:r>
              <w:proofErr w:type="spellStart"/>
              <w:r w:rsidRPr="00D61E1A">
                <w:rPr>
                  <w:rFonts w:ascii="Arial" w:hAnsi="Arial" w:cs="Arial"/>
                </w:rPr>
                <w:t>Cofins</w:t>
              </w:r>
              <w:proofErr w:type="spellEnd"/>
              <w:r w:rsidRPr="00D61E1A">
                <w:rPr>
                  <w:rFonts w:ascii="Arial" w:hAnsi="Arial" w:cs="Arial"/>
                </w:rPr>
                <w:t xml:space="preserve"> incidentes sobre a receita da subvenção econômica a serem aplicados no reajuste do Preço de Comercialização e do Preço de Referência </w:t>
              </w:r>
            </w:hyperlink>
            <w:r w:rsidR="00D61E1A" w:rsidRPr="00D61E1A">
              <w:rPr>
                <w:rFonts w:ascii="Arial" w:hAnsi="Arial" w:cs="Arial"/>
              </w:rPr>
              <w:t xml:space="preserve">, conforme estabelecido no </w:t>
            </w:r>
            <w:r w:rsidR="00D61E1A" w:rsidRPr="00D61E1A">
              <w:rPr>
                <w:rFonts w:ascii="Arial" w:hAnsi="Arial" w:cs="Arial"/>
                <w:color w:val="000000"/>
              </w:rPr>
              <w:t>§ 3º </w:t>
            </w:r>
            <w:r w:rsidR="00D61E1A" w:rsidRPr="00D61E1A">
              <w:rPr>
                <w:rFonts w:ascii="Arial" w:hAnsi="Arial" w:cs="Arial"/>
                <w:color w:val="000000"/>
              </w:rPr>
              <w:t xml:space="preserve">do </w:t>
            </w:r>
            <w:proofErr w:type="spellStart"/>
            <w:r w:rsidR="00D61E1A" w:rsidRPr="00D61E1A">
              <w:rPr>
                <w:rFonts w:ascii="Arial" w:hAnsi="Arial" w:cs="Arial"/>
                <w:color w:val="000000"/>
              </w:rPr>
              <w:t>art</w:t>
            </w:r>
            <w:proofErr w:type="spellEnd"/>
            <w:r w:rsidR="00D61E1A" w:rsidRPr="00D61E1A">
              <w:rPr>
                <w:rFonts w:ascii="Arial" w:hAnsi="Arial" w:cs="Arial"/>
                <w:color w:val="000000"/>
              </w:rPr>
              <w:t xml:space="preserve"> 3º. Do Decreto 9.454, de 01/08/18.</w:t>
            </w:r>
          </w:p>
          <w:p w14:paraId="73818F42" w14:textId="554C9EC7" w:rsidR="00D61E1A" w:rsidRPr="00725CC2" w:rsidRDefault="00D61E1A" w:rsidP="00CA500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</w:rPr>
              <w:t xml:space="preserve">Inclusão da </w:t>
            </w:r>
            <w:r w:rsidRPr="00D61E1A">
              <w:rPr>
                <w:rFonts w:ascii="Arial" w:hAnsi="Arial" w:cs="Arial"/>
                <w:b/>
              </w:rPr>
              <w:t>margem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725CC2" w:rsidRPr="00725CC2">
              <w:rPr>
                <w:rFonts w:ascii="Arial" w:hAnsi="Arial" w:cs="Arial"/>
              </w:rPr>
              <w:t>considerando que o volume importado é uma alternativa ao suprimento nacional</w:t>
            </w:r>
            <w:r w:rsidR="00725CC2">
              <w:rPr>
                <w:rFonts w:ascii="Arial" w:hAnsi="Arial" w:cs="Arial"/>
              </w:rPr>
              <w:t xml:space="preserve">, </w:t>
            </w:r>
            <w:r w:rsidR="00725CC2">
              <w:rPr>
                <w:rFonts w:ascii="Arial" w:hAnsi="Arial" w:cs="Arial"/>
              </w:rPr>
              <w:lastRenderedPageBreak/>
              <w:t xml:space="preserve">devem ser observados todos os parâmetros da atividade em sua cadeia de fornecimento, desde a compra até a venda ao cliente pelo custo mais </w:t>
            </w:r>
            <w:r w:rsidR="00725CC2">
              <w:rPr>
                <w:rFonts w:ascii="Arial" w:hAnsi="Arial" w:cs="Arial"/>
                <w:color w:val="000000"/>
              </w:rPr>
              <w:t>margem para remuneração dos riscos inerentes à operação</w:t>
            </w:r>
            <w:r w:rsidR="00725CC2">
              <w:rPr>
                <w:rFonts w:ascii="Arial" w:hAnsi="Arial" w:cs="Arial"/>
                <w:color w:val="000000"/>
              </w:rPr>
              <w:t>. A inclusão da margem para fins de consideração do PPI está prevista no anexo II da MP 838, de 30/05/18.</w:t>
            </w:r>
          </w:p>
          <w:p w14:paraId="4C61D4EE" w14:textId="77777777" w:rsidR="00725CC2" w:rsidRDefault="00725CC2" w:rsidP="00CA500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 w:rsidRPr="00CA5004">
              <w:rPr>
                <w:rFonts w:ascii="Arial" w:eastAsia="Arial Unicode MS" w:hAnsi="Arial" w:cs="Arial"/>
                <w:b/>
              </w:rPr>
              <w:t>Necessário possibilitar a atualização dos custos ao longo do período</w:t>
            </w:r>
            <w:r w:rsidR="00CA5004">
              <w:rPr>
                <w:rFonts w:ascii="Arial" w:eastAsia="Arial Unicode MS" w:hAnsi="Arial" w:cs="Arial"/>
              </w:rPr>
              <w:t>, inclusive caso haja alteração na legislação permitindo a determinação de Preços de Referência e de Comercialização por polo, excluindo a parte do texto que fixa os valores da minuta até dezembro/18, quando se encerra o programa de subvenção.</w:t>
            </w:r>
          </w:p>
          <w:p w14:paraId="60329556" w14:textId="7F53B401" w:rsidR="00CA5004" w:rsidRPr="00CA5004" w:rsidRDefault="00CA5004" w:rsidP="00CA5004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  <w:b/>
              </w:rPr>
            </w:pPr>
            <w:r w:rsidRPr="00CA5004">
              <w:rPr>
                <w:rFonts w:ascii="Arial" w:eastAsia="Arial Unicode MS" w:hAnsi="Arial" w:cs="Arial"/>
                <w:b/>
              </w:rPr>
              <w:t>Necessário discriminar as parcelas que compõe “outros” custos</w:t>
            </w:r>
            <w:r>
              <w:rPr>
                <w:rFonts w:ascii="Arial" w:eastAsia="Arial Unicode MS" w:hAnsi="Arial" w:cs="Arial"/>
                <w:b/>
              </w:rPr>
              <w:t>:</w:t>
            </w:r>
            <w:r>
              <w:rPr>
                <w:rFonts w:ascii="Arial" w:eastAsia="Arial Unicode MS" w:hAnsi="Arial" w:cs="Arial"/>
              </w:rPr>
              <w:t xml:space="preserve"> considerando que as ações do mercado e da agência caminham no sentido de promover uma precificação clara e transparente para os combustíveis no país não faz sentido ter parte da precificação encoberta por termos imprecisos. É fundamental que qualquer agente consiga chegar às premissas utilizadas no modelo de precificação.</w:t>
            </w:r>
          </w:p>
          <w:p w14:paraId="0F97ED25" w14:textId="77777777" w:rsidR="00CA5004" w:rsidRPr="00542AD6" w:rsidRDefault="00CA5004" w:rsidP="00CA5004">
            <w:pPr>
              <w:pStyle w:val="PargrafodaLista"/>
              <w:ind w:left="420"/>
              <w:jc w:val="both"/>
              <w:rPr>
                <w:rFonts w:ascii="Arial" w:eastAsia="Arial Unicode MS" w:hAnsi="Arial" w:cs="Arial"/>
              </w:rPr>
            </w:pPr>
            <w:r w:rsidRPr="00542AD6">
              <w:rPr>
                <w:rFonts w:ascii="Arial" w:eastAsia="Arial Unicode MS" w:hAnsi="Arial" w:cs="Arial"/>
              </w:rPr>
              <w:t xml:space="preserve">Neste ponto, vale ressaltar que de maneira alguma a </w:t>
            </w:r>
            <w:proofErr w:type="spellStart"/>
            <w:r w:rsidRPr="00542AD6">
              <w:rPr>
                <w:rFonts w:ascii="Arial" w:eastAsia="Arial Unicode MS" w:hAnsi="Arial" w:cs="Arial"/>
              </w:rPr>
              <w:t>Abicom</w:t>
            </w:r>
            <w:proofErr w:type="spellEnd"/>
            <w:r w:rsidRPr="00542AD6">
              <w:rPr>
                <w:rFonts w:ascii="Arial" w:eastAsia="Arial Unicode MS" w:hAnsi="Arial" w:cs="Arial"/>
              </w:rPr>
              <w:t xml:space="preserve"> solicita a quebra de sigilo de dados confidenciais, como por exemplo os dados do Siscomex (citação da Nota técnica GG 09/18), mas que, ao menos sejam disponibilizadas as médias de cada parcela de custo a partir dos dados do sistema de importação.</w:t>
            </w:r>
          </w:p>
          <w:p w14:paraId="5271634E" w14:textId="77777777" w:rsidR="00542AD6" w:rsidRDefault="00CA5004" w:rsidP="0067009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</w:rPr>
            </w:pPr>
            <w:r w:rsidRPr="00542AD6">
              <w:rPr>
                <w:rFonts w:ascii="Arial" w:eastAsia="Arial Unicode MS" w:hAnsi="Arial" w:cs="Arial"/>
                <w:b/>
              </w:rPr>
              <w:lastRenderedPageBreak/>
              <w:t xml:space="preserve">Inclusão de custos de internação: </w:t>
            </w:r>
            <w:r w:rsidRPr="00542AD6">
              <w:rPr>
                <w:rFonts w:ascii="Arial" w:eastAsia="Arial Unicode MS" w:hAnsi="Arial" w:cs="Arial"/>
              </w:rPr>
              <w:t xml:space="preserve">apesar do documento se propor a incluir o PPI (preço de paridade internacional), </w:t>
            </w:r>
            <w:r w:rsidR="00542AD6">
              <w:rPr>
                <w:rFonts w:ascii="Arial" w:eastAsia="Arial Unicode MS" w:hAnsi="Arial" w:cs="Arial"/>
              </w:rPr>
              <w:t>diversos</w:t>
            </w:r>
            <w:r w:rsidR="00542AD6" w:rsidRPr="00542AD6">
              <w:rPr>
                <w:rFonts w:ascii="Arial" w:eastAsia="Arial Unicode MS" w:hAnsi="Arial" w:cs="Arial"/>
              </w:rPr>
              <w:t xml:space="preserve"> custos importantes de nacionalização do produto foram desconsiderados. N</w:t>
            </w:r>
            <w:r w:rsidRPr="00542AD6">
              <w:rPr>
                <w:rFonts w:ascii="Arial" w:eastAsia="Arial Unicode MS" w:hAnsi="Arial" w:cs="Arial"/>
              </w:rPr>
              <w:t xml:space="preserve">esta minuta a parcela fixa foi obtida através da média de dados do Siscomex, entretanto </w:t>
            </w:r>
            <w:r w:rsidRPr="00542AD6">
              <w:rPr>
                <w:rFonts w:ascii="Arial" w:eastAsia="Arial Unicode MS" w:hAnsi="Arial" w:cs="Arial"/>
              </w:rPr>
              <w:t xml:space="preserve">no </w:t>
            </w:r>
            <w:r w:rsidR="00542AD6">
              <w:rPr>
                <w:rFonts w:ascii="Arial" w:eastAsia="Arial Unicode MS" w:hAnsi="Arial" w:cs="Arial"/>
              </w:rPr>
              <w:t>sistema</w:t>
            </w:r>
            <w:r w:rsidRPr="00542AD6">
              <w:rPr>
                <w:rFonts w:ascii="Arial" w:eastAsia="Arial Unicode MS" w:hAnsi="Arial" w:cs="Arial"/>
              </w:rPr>
              <w:t xml:space="preserve"> não há sequer campo para armazenagem, </w:t>
            </w:r>
            <w:proofErr w:type="spellStart"/>
            <w:r w:rsidRPr="003A0097">
              <w:rPr>
                <w:rFonts w:ascii="Arial" w:eastAsia="Arial Unicode MS" w:hAnsi="Arial" w:cs="Arial"/>
                <w:i/>
              </w:rPr>
              <w:t>demurrage</w:t>
            </w:r>
            <w:proofErr w:type="spellEnd"/>
            <w:r w:rsidRPr="00542AD6">
              <w:rPr>
                <w:rFonts w:ascii="Arial" w:eastAsia="Arial Unicode MS" w:hAnsi="Arial" w:cs="Arial"/>
              </w:rPr>
              <w:t>, supervisora, quebra, frete local, etc.</w:t>
            </w:r>
          </w:p>
          <w:p w14:paraId="62FB9062" w14:textId="77777777" w:rsidR="00542AD6" w:rsidRDefault="00CA5004" w:rsidP="00542AD6">
            <w:pPr>
              <w:pStyle w:val="PargrafodaLista"/>
              <w:ind w:left="420"/>
              <w:jc w:val="both"/>
              <w:rPr>
                <w:rFonts w:ascii="Arial" w:eastAsia="Arial Unicode MS" w:hAnsi="Arial" w:cs="Arial"/>
              </w:rPr>
            </w:pPr>
            <w:r w:rsidRPr="00542AD6">
              <w:rPr>
                <w:rFonts w:ascii="Arial" w:eastAsia="Arial Unicode MS" w:hAnsi="Arial" w:cs="Arial"/>
              </w:rPr>
              <w:t xml:space="preserve">O Siscomex inclui – na LI/DI: tarifa de utilização portuária (pago as cias docas locais, em SP chama-se TUP e no PR, </w:t>
            </w:r>
            <w:proofErr w:type="spellStart"/>
            <w:r w:rsidRPr="00542AD6">
              <w:rPr>
                <w:rFonts w:ascii="Arial" w:eastAsia="Arial Unicode MS" w:hAnsi="Arial" w:cs="Arial"/>
              </w:rPr>
              <w:t>Inframar</w:t>
            </w:r>
            <w:proofErr w:type="spellEnd"/>
            <w:r w:rsidRPr="00542AD6">
              <w:rPr>
                <w:rFonts w:ascii="Arial" w:eastAsia="Arial Unicode MS" w:hAnsi="Arial" w:cs="Arial"/>
              </w:rPr>
              <w:t>), AFRMM (se houver) e, no porto de Santos apenas, SOP (serviço de operação portuária).</w:t>
            </w:r>
          </w:p>
          <w:p w14:paraId="67DEF2C4" w14:textId="1C8D7BE5" w:rsidR="00CA5004" w:rsidRPr="00542AD6" w:rsidRDefault="00CA5004" w:rsidP="00542AD6">
            <w:pPr>
              <w:pStyle w:val="PargrafodaLista"/>
              <w:ind w:left="420"/>
              <w:jc w:val="both"/>
              <w:rPr>
                <w:rFonts w:ascii="Arial" w:eastAsia="Arial Unicode MS" w:hAnsi="Arial" w:cs="Arial"/>
              </w:rPr>
            </w:pPr>
            <w:r w:rsidRPr="00CA5004">
              <w:rPr>
                <w:rFonts w:ascii="Arial" w:eastAsia="Arial Unicode MS" w:hAnsi="Arial" w:cs="Arial"/>
              </w:rPr>
              <w:t xml:space="preserve">O SOP é parte do valor do terminal (a parcela que os terminais pagam a Codesp, como parte da concessão de área e/ou píer). Em Santos, </w:t>
            </w:r>
            <w:r w:rsidR="00C446AC">
              <w:rPr>
                <w:rFonts w:ascii="Arial" w:eastAsia="Arial Unicode MS" w:hAnsi="Arial" w:cs="Arial"/>
              </w:rPr>
              <w:t>a SOP é cerca de 25% apenas da tarifa total de armazenagem.</w:t>
            </w:r>
          </w:p>
          <w:p w14:paraId="6F142A02" w14:textId="0266690E" w:rsidR="00CA5004" w:rsidRDefault="00542AD6" w:rsidP="00542AD6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*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Abicom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propôs a ANP consulta à </w:t>
            </w:r>
            <w:r w:rsidRPr="00542AD6">
              <w:rPr>
                <w:rFonts w:ascii="Arial" w:eastAsia="Arial Unicode MS" w:hAnsi="Arial" w:cs="Arial"/>
                <w:b/>
              </w:rPr>
              <w:t xml:space="preserve">NOTA TÉCNICA emitida pela EPL em 06/06/2018, que teve como objetivo a revisão do EVTE para o processo de arrendamento </w:t>
            </w:r>
            <w:r>
              <w:rPr>
                <w:rFonts w:ascii="Arial" w:eastAsia="Arial Unicode MS" w:hAnsi="Arial" w:cs="Arial"/>
                <w:b/>
              </w:rPr>
              <w:t xml:space="preserve">de áreas portuárias de granéis líquidos. Trata-se de uma fonte do governo que realizou pesquisas com agentes e entidades do setor para se chegar a uma estimativa de tarifa de armazenagem. 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É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importante evidenciar que os custos t</w:t>
            </w:r>
            <w:r w:rsidR="00A1187B">
              <w:rPr>
                <w:rFonts w:ascii="Arial" w:eastAsia="Arial Unicode MS" w:hAnsi="Arial" w:cs="Arial"/>
                <w:b/>
              </w:rPr>
              <w:t>ê</w:t>
            </w:r>
            <w:r>
              <w:rPr>
                <w:rFonts w:ascii="Arial" w:eastAsia="Arial Unicode MS" w:hAnsi="Arial" w:cs="Arial"/>
                <w:b/>
              </w:rPr>
              <w:t>m elevada variação por Porto e que devem ser considerados</w:t>
            </w:r>
            <w:r w:rsidR="00CA57F0">
              <w:rPr>
                <w:rFonts w:ascii="Arial" w:eastAsia="Arial Unicode MS" w:hAnsi="Arial" w:cs="Arial"/>
                <w:b/>
              </w:rPr>
              <w:t xml:space="preserve"> separadamente e não como média. Na tabela citada, incluída na sugestão abaixo, para os locais em que há importações, há preços que variam de R$41 a R$132, de modo que é </w:t>
            </w:r>
            <w:r w:rsidR="00CA57F0">
              <w:rPr>
                <w:rFonts w:ascii="Arial" w:eastAsia="Arial Unicode MS" w:hAnsi="Arial" w:cs="Arial"/>
                <w:b/>
              </w:rPr>
              <w:lastRenderedPageBreak/>
              <w:t xml:space="preserve">fundamental distinguir os preços por região. </w:t>
            </w:r>
          </w:p>
          <w:p w14:paraId="739C82A3" w14:textId="77777777" w:rsidR="00CA57F0" w:rsidRDefault="00CA57F0" w:rsidP="00542AD6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** Mesmo a maior parcela fixa proposta na minuta, para a região CO+SE de R$54,20/m³ é insuficiente para cobrir apenas o custo com a armazenagem, sem considerar os demais custos de internação já citados. A manutenção desta estrutura de cálculo impossibilitará a operação dos agentes importadores até que se finalize o programa de subvenção, com retorno ao monopólio de fato do abastecimento, indo de encontro a todas as expectativas de mercado com diversificação de agentes e livre concorrência. </w:t>
            </w:r>
          </w:p>
          <w:p w14:paraId="564CA76B" w14:textId="77777777" w:rsidR="00542AD6" w:rsidRPr="00542AD6" w:rsidRDefault="00542AD6" w:rsidP="00542AD6">
            <w:pPr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542AD6" w14:paraId="01E63966" w14:textId="77777777" w:rsidTr="00542AD6">
        <w:trPr>
          <w:trHeight w:val="6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75DEC2" w14:textId="77777777" w:rsidR="00CC240A" w:rsidRDefault="00542AD6" w:rsidP="00CC240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Fonte pública de consulta de preços de armazenagem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EF8294" w14:textId="77777777" w:rsidR="00542AD6" w:rsidRDefault="00CC240A" w:rsidP="00542AD6">
            <w:pPr>
              <w:rPr>
                <w:rFonts w:ascii="Arial Narrow" w:hAnsi="Arial Narrow" w:cs="Arial"/>
              </w:rPr>
            </w:pPr>
            <w:r w:rsidRPr="004D03EC">
              <w:rPr>
                <w:rFonts w:ascii="Arial Narrow" w:hAnsi="Arial Narrow" w:cs="Arial"/>
              </w:rPr>
              <w:t> </w:t>
            </w:r>
          </w:p>
          <w:p w14:paraId="1A715A42" w14:textId="77777777" w:rsidR="00542AD6" w:rsidRPr="00542AD6" w:rsidRDefault="00542AD6" w:rsidP="00542AD6">
            <w:pPr>
              <w:rPr>
                <w:rFonts w:ascii="Arial" w:hAnsi="Arial" w:cs="Arial"/>
              </w:rPr>
            </w:pPr>
          </w:p>
          <w:p w14:paraId="09A05E70" w14:textId="77777777" w:rsidR="00542AD6" w:rsidRPr="00542AD6" w:rsidRDefault="00542AD6" w:rsidP="00542AD6">
            <w:pPr>
              <w:rPr>
                <w:rFonts w:ascii="Arial" w:hAnsi="Arial" w:cs="Arial"/>
              </w:rPr>
            </w:pPr>
            <w:r w:rsidRPr="00542AD6">
              <w:rPr>
                <w:rFonts w:ascii="Arial" w:hAnsi="Arial" w:cs="Arial"/>
              </w:rPr>
              <w:t>NOTA TÉCNICA emitida pela EPL em 06/06/2018, que teve como objetivo a revisão do EVTE para o processo de arrendamento da área portuária de Santos-SP</w:t>
            </w:r>
            <w:r>
              <w:rPr>
                <w:rFonts w:ascii="Arial" w:hAnsi="Arial" w:cs="Arial"/>
              </w:rPr>
              <w:t>.</w:t>
            </w:r>
          </w:p>
          <w:p w14:paraId="68539499" w14:textId="77777777" w:rsidR="00542AD6" w:rsidRPr="00542AD6" w:rsidRDefault="00542AD6" w:rsidP="00542AD6">
            <w:pPr>
              <w:rPr>
                <w:rFonts w:ascii="Arial" w:hAnsi="Arial" w:cs="Arial"/>
                <w:b/>
                <w:bCs/>
              </w:rPr>
            </w:pPr>
            <w:r w:rsidRPr="00542AD6">
              <w:rPr>
                <w:rFonts w:ascii="Arial" w:hAnsi="Arial" w:cs="Arial"/>
                <w:b/>
                <w:bCs/>
              </w:rPr>
              <w:t>Acreditamos que esta pode ser uma boa referência para estabelecimento do item de armazenagem na estrutura de custos logísticos para determinação da PPI.</w:t>
            </w:r>
          </w:p>
          <w:p w14:paraId="6978AE56" w14:textId="77777777" w:rsidR="00542AD6" w:rsidRPr="00542AD6" w:rsidRDefault="00542AD6" w:rsidP="00542AD6">
            <w:pPr>
              <w:rPr>
                <w:rFonts w:ascii="Arial" w:hAnsi="Arial" w:cs="Arial"/>
              </w:rPr>
            </w:pPr>
          </w:p>
          <w:p w14:paraId="55C503A4" w14:textId="77777777" w:rsidR="00542AD6" w:rsidRPr="00542AD6" w:rsidRDefault="00542AD6" w:rsidP="00542AD6">
            <w:pPr>
              <w:rPr>
                <w:rFonts w:ascii="Arial" w:hAnsi="Arial" w:cs="Arial"/>
              </w:rPr>
            </w:pPr>
            <w:r w:rsidRPr="00542AD6">
              <w:rPr>
                <w:rFonts w:ascii="Arial" w:hAnsi="Arial" w:cs="Arial"/>
              </w:rPr>
              <w:t>Note-se</w:t>
            </w:r>
            <w:r w:rsidRPr="00542AD6">
              <w:rPr>
                <w:rFonts w:ascii="Arial" w:hAnsi="Arial" w:cs="Arial"/>
              </w:rPr>
              <w:t xml:space="preserve"> a Estimativa de Preços a partir da página 26 e a tabela do item 100, da página 28. </w:t>
            </w:r>
            <w:r w:rsidRPr="00542AD6">
              <w:rPr>
                <w:rFonts w:ascii="Arial" w:hAnsi="Arial" w:cs="Arial"/>
                <w:highlight w:val="yellow"/>
              </w:rPr>
              <w:t>Os preços têm como data base NOVEMBRO DE 2017</w:t>
            </w:r>
            <w:r w:rsidRPr="00542AD6">
              <w:rPr>
                <w:rFonts w:ascii="Arial" w:hAnsi="Arial" w:cs="Arial"/>
                <w:highlight w:val="yellow"/>
              </w:rPr>
              <w:t>.</w:t>
            </w:r>
          </w:p>
          <w:p w14:paraId="022981B9" w14:textId="77777777" w:rsidR="00CC240A" w:rsidRPr="00542AD6" w:rsidRDefault="00CC240A" w:rsidP="00CC240A">
            <w:pPr>
              <w:rPr>
                <w:rFonts w:ascii="Arial" w:hAnsi="Arial" w:cs="Arial"/>
              </w:rPr>
            </w:pPr>
          </w:p>
          <w:p w14:paraId="0D625334" w14:textId="77777777" w:rsidR="00542AD6" w:rsidRPr="004D03EC" w:rsidRDefault="00542AD6" w:rsidP="00CC240A">
            <w:pPr>
              <w:rPr>
                <w:rFonts w:ascii="Arial Narrow" w:eastAsia="Arial Unicode MS" w:hAnsi="Arial Narrow" w:cs="Arial"/>
                <w:sz w:val="24"/>
                <w:szCs w:val="24"/>
              </w:rPr>
            </w:pPr>
            <w:r w:rsidRPr="00542AD6">
              <w:rPr>
                <w:rFonts w:ascii="Arial" w:hAnsi="Arial" w:cs="Arial"/>
              </w:rPr>
              <w:object w:dxaOrig="9225" w:dyaOrig="6870" w14:anchorId="23D35FA1">
                <v:shape id="_x0000_i1829" type="#_x0000_t75" style="width:461.25pt;height:343.5pt" o:ole="">
                  <v:imagedata r:id="rId9" o:title=""/>
                </v:shape>
                <o:OLEObject Type="Embed" ProgID="PBrush" ShapeID="_x0000_i1829" DrawAspect="Content" ObjectID="_1595775681" r:id="rId10"/>
              </w:objec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1E9FD4" w14:textId="77777777" w:rsidR="00CC240A" w:rsidRPr="00AB3B6E" w:rsidRDefault="00CC240A" w:rsidP="00CC240A">
            <w:pPr>
              <w:rPr>
                <w:rFonts w:ascii="Arial" w:eastAsia="Arial Unicode MS" w:hAnsi="Arial" w:cs="Arial"/>
              </w:rPr>
            </w:pPr>
            <w:r w:rsidRPr="00AB3B6E">
              <w:rPr>
                <w:rFonts w:ascii="Arial" w:hAnsi="Arial" w:cs="Arial"/>
              </w:rPr>
              <w:lastRenderedPageBreak/>
              <w:t> </w:t>
            </w:r>
          </w:p>
        </w:tc>
      </w:tr>
      <w:tr w:rsidR="00542AD6" w14:paraId="74173BB4" w14:textId="77777777" w:rsidTr="00542AD6">
        <w:trPr>
          <w:trHeight w:val="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34A610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16D3B3DF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A82663" w14:textId="77777777" w:rsidR="00CC240A" w:rsidRDefault="00CC240A" w:rsidP="00CC240A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D57C88" w14:textId="77777777" w:rsidR="00CC240A" w:rsidRPr="0027668F" w:rsidRDefault="00CC240A" w:rsidP="00CC240A">
            <w:pPr>
              <w:rPr>
                <w:rFonts w:ascii="Arial" w:eastAsia="Arial Unicode MS" w:hAnsi="Arial" w:cs="Arial"/>
              </w:rPr>
            </w:pPr>
            <w:r w:rsidRPr="0027668F">
              <w:rPr>
                <w:rFonts w:ascii="Arial" w:hAnsi="Arial" w:cs="Arial"/>
              </w:rPr>
              <w:t> </w:t>
            </w:r>
          </w:p>
        </w:tc>
      </w:tr>
      <w:tr w:rsidR="00542AD6" w14:paraId="4D88EED0" w14:textId="77777777" w:rsidTr="00542AD6">
        <w:trPr>
          <w:trHeight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5A617A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385A4D2D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4F989A" w14:textId="77777777" w:rsidR="00CC240A" w:rsidRDefault="00CC240A" w:rsidP="00CC240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E434F" w14:textId="77777777" w:rsidR="00CC240A" w:rsidRDefault="00CC240A" w:rsidP="00CC240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AD6" w14:paraId="1CBB08A4" w14:textId="77777777" w:rsidTr="00542AD6">
        <w:trPr>
          <w:trHeight w:val="6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3E757C" w14:textId="77777777" w:rsidR="00CC240A" w:rsidRDefault="00CC240A" w:rsidP="00CC240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0C2DDA4F" w14:textId="77777777" w:rsidR="00CC240A" w:rsidRDefault="00CC240A" w:rsidP="00CC240A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1CCE62" w14:textId="77777777" w:rsidR="00CC240A" w:rsidRDefault="00CC240A" w:rsidP="00CC240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65C98" w14:textId="77777777" w:rsidR="00CC240A" w:rsidRDefault="00CC240A" w:rsidP="00CC240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AD6" w14:paraId="53BEA469" w14:textId="77777777" w:rsidTr="00542AD6">
        <w:trPr>
          <w:trHeight w:val="6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4731C0" w14:textId="77777777" w:rsidR="00CC240A" w:rsidRPr="00C13A89" w:rsidRDefault="00CC240A" w:rsidP="00CC2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1C4C791B" w14:textId="77777777" w:rsidR="00CC240A" w:rsidRPr="00C13A89" w:rsidRDefault="00CC240A" w:rsidP="00CC24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CEB8EE" w14:textId="77777777" w:rsidR="00CC240A" w:rsidRPr="00C13A89" w:rsidRDefault="00CC240A" w:rsidP="00CC2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95E2C" w14:textId="77777777" w:rsidR="00CC240A" w:rsidRPr="00C13A89" w:rsidRDefault="00CC240A" w:rsidP="00CC2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3B63599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 xml:space="preserve">Este formulário deverá ser encaminhado à ANP para o endereço eletrônico: </w:t>
      </w:r>
      <w:r w:rsidR="00CC5472" w:rsidRPr="00CC5472">
        <w:rPr>
          <w:rFonts w:ascii="Arial" w:eastAsia="Arial Unicode MS" w:hAnsi="Arial" w:cs="Arial"/>
          <w:i/>
          <w:sz w:val="24"/>
          <w:szCs w:val="24"/>
        </w:rPr>
        <w:t>conspub_preco_referencia_diesel@anp.gov.br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5688"/>
    <w:multiLevelType w:val="hybridMultilevel"/>
    <w:tmpl w:val="8D124D76"/>
    <w:lvl w:ilvl="0" w:tplc="AC0617B2">
      <w:start w:val="1"/>
      <w:numFmt w:val="decimal"/>
      <w:lvlText w:val="%1)"/>
      <w:lvlJc w:val="left"/>
      <w:pPr>
        <w:ind w:left="4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312BC"/>
    <w:rsid w:val="001C5D32"/>
    <w:rsid w:val="001F74A0"/>
    <w:rsid w:val="002109D6"/>
    <w:rsid w:val="0026582D"/>
    <w:rsid w:val="0027668F"/>
    <w:rsid w:val="002808DC"/>
    <w:rsid w:val="00287B41"/>
    <w:rsid w:val="00335A11"/>
    <w:rsid w:val="003667A5"/>
    <w:rsid w:val="003A0097"/>
    <w:rsid w:val="004017EF"/>
    <w:rsid w:val="00413403"/>
    <w:rsid w:val="00452D91"/>
    <w:rsid w:val="004602FD"/>
    <w:rsid w:val="00482F43"/>
    <w:rsid w:val="00494A88"/>
    <w:rsid w:val="004C5AA8"/>
    <w:rsid w:val="004D03EC"/>
    <w:rsid w:val="004E6BA1"/>
    <w:rsid w:val="00542AD6"/>
    <w:rsid w:val="00544643"/>
    <w:rsid w:val="00570C4C"/>
    <w:rsid w:val="00586DD3"/>
    <w:rsid w:val="005E2BE6"/>
    <w:rsid w:val="0063117B"/>
    <w:rsid w:val="00633B3C"/>
    <w:rsid w:val="006C7878"/>
    <w:rsid w:val="006E69BF"/>
    <w:rsid w:val="007220DF"/>
    <w:rsid w:val="00725CC2"/>
    <w:rsid w:val="00735912"/>
    <w:rsid w:val="00754009"/>
    <w:rsid w:val="00762754"/>
    <w:rsid w:val="0079776B"/>
    <w:rsid w:val="007F3496"/>
    <w:rsid w:val="007F39C8"/>
    <w:rsid w:val="00834A5C"/>
    <w:rsid w:val="0085243A"/>
    <w:rsid w:val="00852D24"/>
    <w:rsid w:val="008C0A56"/>
    <w:rsid w:val="008C0A6C"/>
    <w:rsid w:val="008E1D4F"/>
    <w:rsid w:val="00914067"/>
    <w:rsid w:val="009A7203"/>
    <w:rsid w:val="009B4815"/>
    <w:rsid w:val="009E5AD5"/>
    <w:rsid w:val="009F4F0E"/>
    <w:rsid w:val="00A11561"/>
    <w:rsid w:val="00A1187B"/>
    <w:rsid w:val="00A225FB"/>
    <w:rsid w:val="00A8005F"/>
    <w:rsid w:val="00A94E85"/>
    <w:rsid w:val="00AB3B6E"/>
    <w:rsid w:val="00AC5BC1"/>
    <w:rsid w:val="00AF2899"/>
    <w:rsid w:val="00B4490B"/>
    <w:rsid w:val="00B47ACA"/>
    <w:rsid w:val="00B63722"/>
    <w:rsid w:val="00B74C89"/>
    <w:rsid w:val="00B87441"/>
    <w:rsid w:val="00BB004F"/>
    <w:rsid w:val="00BC59FF"/>
    <w:rsid w:val="00BD479F"/>
    <w:rsid w:val="00BD5993"/>
    <w:rsid w:val="00C13A89"/>
    <w:rsid w:val="00C35B6E"/>
    <w:rsid w:val="00C446AC"/>
    <w:rsid w:val="00C74BAD"/>
    <w:rsid w:val="00CA5004"/>
    <w:rsid w:val="00CA57F0"/>
    <w:rsid w:val="00CB4E90"/>
    <w:rsid w:val="00CC240A"/>
    <w:rsid w:val="00CC5472"/>
    <w:rsid w:val="00CD7D9E"/>
    <w:rsid w:val="00CF2605"/>
    <w:rsid w:val="00CF534B"/>
    <w:rsid w:val="00D060D3"/>
    <w:rsid w:val="00D11D93"/>
    <w:rsid w:val="00D204F1"/>
    <w:rsid w:val="00D61E1A"/>
    <w:rsid w:val="00D74F3B"/>
    <w:rsid w:val="00DC0FFA"/>
    <w:rsid w:val="00DE64B2"/>
    <w:rsid w:val="00E06319"/>
    <w:rsid w:val="00E51418"/>
    <w:rsid w:val="00EA1B67"/>
    <w:rsid w:val="00EB6EE2"/>
    <w:rsid w:val="00ED7714"/>
    <w:rsid w:val="00F026F8"/>
    <w:rsid w:val="00F229D8"/>
    <w:rsid w:val="00FB0E77"/>
    <w:rsid w:val="00FB71AF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2519EA"/>
  <w15:docId w15:val="{DEBE087B-D939-4864-91B3-51C1BE5A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46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erado">
    <w:name w:val="Normal numerado"/>
    <w:basedOn w:val="Normal"/>
    <w:rsid w:val="00544643"/>
    <w:pPr>
      <w:numPr>
        <w:numId w:val="3"/>
      </w:numPr>
      <w:spacing w:after="120"/>
      <w:jc w:val="both"/>
    </w:pPr>
    <w:rPr>
      <w:snapToGrid w:val="0"/>
    </w:rPr>
  </w:style>
  <w:style w:type="paragraph" w:styleId="PargrafodaLista">
    <w:name w:val="List Paragraph"/>
    <w:basedOn w:val="Normal"/>
    <w:uiPriority w:val="34"/>
    <w:qFormat/>
    <w:rsid w:val="00D6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images/Consultas_publicas/2018/n17/3.minuta_resolucao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1623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Milena Mansur</cp:lastModifiedBy>
  <cp:revision>19</cp:revision>
  <cp:lastPrinted>2010-12-28T18:08:00Z</cp:lastPrinted>
  <dcterms:created xsi:type="dcterms:W3CDTF">2018-08-14T19:26:00Z</dcterms:created>
  <dcterms:modified xsi:type="dcterms:W3CDTF">2018-08-14T21:14:00Z</dcterms:modified>
</cp:coreProperties>
</file>