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EBC" w:rsidRPr="008270A1" w:rsidRDefault="006A1D0E" w:rsidP="000603A8">
      <w:pPr>
        <w:spacing w:line="276" w:lineRule="auto"/>
        <w:ind w:firstLine="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__</w:t>
      </w:r>
      <w:r w:rsidR="00083EBC" w:rsidRPr="008270A1">
        <w:rPr>
          <w:b/>
          <w:bCs/>
          <w:color w:val="000000" w:themeColor="text1"/>
        </w:rPr>
        <w:t>____</w:t>
      </w:r>
      <w:r>
        <w:rPr>
          <w:b/>
          <w:bCs/>
          <w:color w:val="000000" w:themeColor="text1"/>
        </w:rPr>
        <w:t>________________________________________________________________</w:t>
      </w:r>
    </w:p>
    <w:p w:rsidR="00083EBC" w:rsidRPr="008270A1" w:rsidRDefault="004B369D" w:rsidP="000603A8">
      <w:pPr>
        <w:pBdr>
          <w:bottom w:val="single" w:sz="12" w:space="1" w:color="auto"/>
        </w:pBdr>
        <w:spacing w:line="276" w:lineRule="auto"/>
        <w:ind w:firstLine="0"/>
        <w:jc w:val="center"/>
        <w:rPr>
          <w:b/>
        </w:rPr>
      </w:pPr>
      <w:r>
        <w:rPr>
          <w:b/>
        </w:rPr>
        <w:t>REVISÃO DAS RESOLUÇÕES ANP Nº 11,</w:t>
      </w:r>
      <w:r w:rsidR="005235A0">
        <w:rPr>
          <w:b/>
        </w:rPr>
        <w:t xml:space="preserve"> </w:t>
      </w:r>
      <w:r>
        <w:rPr>
          <w:b/>
        </w:rPr>
        <w:t>DE 17.2.2011 E ANP Nº 1,</w:t>
      </w:r>
      <w:r w:rsidR="005235A0">
        <w:rPr>
          <w:b/>
        </w:rPr>
        <w:t xml:space="preserve"> </w:t>
      </w:r>
      <w:r>
        <w:rPr>
          <w:b/>
        </w:rPr>
        <w:t xml:space="preserve">DE </w:t>
      </w:r>
      <w:proofErr w:type="gramStart"/>
      <w:r>
        <w:rPr>
          <w:b/>
        </w:rPr>
        <w:t>14.1.2015</w:t>
      </w:r>
      <w:proofErr w:type="gramEnd"/>
    </w:p>
    <w:p w:rsidR="008445EE" w:rsidRPr="008270A1" w:rsidRDefault="008445EE" w:rsidP="000603A8">
      <w:pPr>
        <w:spacing w:line="276" w:lineRule="auto"/>
        <w:ind w:firstLine="0"/>
      </w:pPr>
    </w:p>
    <w:p w:rsidR="0033262F" w:rsidRPr="008270A1" w:rsidRDefault="0033262F" w:rsidP="000603A8">
      <w:pPr>
        <w:spacing w:line="276" w:lineRule="auto"/>
        <w:ind w:firstLine="0"/>
      </w:pPr>
    </w:p>
    <w:p w:rsidR="00E32228" w:rsidRPr="008270A1" w:rsidRDefault="008445EE" w:rsidP="009F2865">
      <w:pPr>
        <w:tabs>
          <w:tab w:val="right" w:pos="9354"/>
        </w:tabs>
        <w:spacing w:line="276" w:lineRule="auto"/>
        <w:ind w:firstLine="0"/>
        <w:rPr>
          <w:b/>
        </w:rPr>
      </w:pPr>
      <w:r w:rsidRPr="008270A1">
        <w:rPr>
          <w:b/>
        </w:rPr>
        <w:t xml:space="preserve">Referência: [1] Processo Administrativo nº </w:t>
      </w:r>
      <w:r w:rsidR="001924C4" w:rsidRPr="001924C4">
        <w:rPr>
          <w:b/>
        </w:rPr>
        <w:t>48610.013465/2015-63</w:t>
      </w:r>
      <w:r w:rsidR="009F2865">
        <w:rPr>
          <w:b/>
        </w:rPr>
        <w:tab/>
      </w:r>
    </w:p>
    <w:p w:rsidR="00FD441E" w:rsidRPr="008270A1" w:rsidRDefault="00FD441E" w:rsidP="000603A8">
      <w:pPr>
        <w:spacing w:line="276" w:lineRule="auto"/>
      </w:pPr>
    </w:p>
    <w:p w:rsidR="0033262F" w:rsidRPr="008270A1" w:rsidRDefault="0033262F" w:rsidP="000603A8">
      <w:pPr>
        <w:spacing w:line="276" w:lineRule="auto"/>
      </w:pPr>
    </w:p>
    <w:p w:rsidR="00030514" w:rsidRPr="008270A1" w:rsidRDefault="005F19BE" w:rsidP="000603A8">
      <w:pPr>
        <w:pStyle w:val="Ttulo1"/>
        <w:tabs>
          <w:tab w:val="clear" w:pos="432"/>
          <w:tab w:val="num" w:pos="1134"/>
        </w:tabs>
        <w:spacing w:line="276" w:lineRule="auto"/>
        <w:ind w:left="1134" w:hanging="1134"/>
      </w:pPr>
      <w:r w:rsidRPr="008270A1">
        <w:t>INTRODUÇÃO</w:t>
      </w:r>
    </w:p>
    <w:p w:rsidR="00C53E8A" w:rsidRDefault="00030514" w:rsidP="000603A8">
      <w:pPr>
        <w:spacing w:before="120" w:after="120" w:line="276" w:lineRule="auto"/>
        <w:ind w:firstLine="851"/>
      </w:pPr>
      <w:r w:rsidRPr="008270A1">
        <w:t>Est</w:t>
      </w:r>
      <w:r w:rsidR="002646AB" w:rsidRPr="008270A1">
        <w:t>a</w:t>
      </w:r>
      <w:r w:rsidR="002907EC" w:rsidRPr="008270A1">
        <w:t xml:space="preserve"> n</w:t>
      </w:r>
      <w:r w:rsidR="002646AB" w:rsidRPr="008270A1">
        <w:t>ota</w:t>
      </w:r>
      <w:r w:rsidR="002907EC" w:rsidRPr="008270A1">
        <w:t xml:space="preserve"> t</w:t>
      </w:r>
      <w:r w:rsidRPr="008270A1">
        <w:t>écnic</w:t>
      </w:r>
      <w:r w:rsidR="002646AB" w:rsidRPr="008270A1">
        <w:t>a</w:t>
      </w:r>
      <w:r w:rsidRPr="008270A1">
        <w:t xml:space="preserve"> </w:t>
      </w:r>
      <w:r w:rsidR="008445EE" w:rsidRPr="008270A1">
        <w:t xml:space="preserve">tem por objetivo </w:t>
      </w:r>
      <w:r w:rsidR="00F64B36">
        <w:t>apresentar</w:t>
      </w:r>
      <w:r w:rsidR="008445EE" w:rsidRPr="008270A1">
        <w:t xml:space="preserve"> </w:t>
      </w:r>
      <w:r w:rsidRPr="008270A1">
        <w:t>a</w:t>
      </w:r>
      <w:r w:rsidR="00AB54E1">
        <w:t xml:space="preserve"> revisão das Resoluções ANP nº 11/2011 e ANP nº 1/2015, unindo-as em um único </w:t>
      </w:r>
      <w:r w:rsidR="00C53E8A">
        <w:t xml:space="preserve">ato normativo que </w:t>
      </w:r>
      <w:r w:rsidR="00B305AD">
        <w:t>visa</w:t>
      </w:r>
      <w:r w:rsidR="00C53E8A">
        <w:t xml:space="preserve"> regulamentar as atividades de aquisição e processamento de dados, elaboração de estudo para fins de comercialização</w:t>
      </w:r>
      <w:r w:rsidR="00C060D6">
        <w:t>,</w:t>
      </w:r>
      <w:r w:rsidR="00C53E8A">
        <w:t xml:space="preserve"> </w:t>
      </w:r>
      <w:r w:rsidR="00C060D6">
        <w:t xml:space="preserve">comercialização de dados públicos </w:t>
      </w:r>
      <w:r w:rsidR="00C53E8A">
        <w:t>e o acesso aos dados e informações técnicas de exploração, produção e desenvolvimento de petróleo e gás natural nas bacias sedimentares brasileiras.</w:t>
      </w:r>
    </w:p>
    <w:p w:rsidR="00030514" w:rsidRPr="008270A1" w:rsidRDefault="00030514" w:rsidP="000603A8">
      <w:pPr>
        <w:pStyle w:val="Ttulo1"/>
        <w:tabs>
          <w:tab w:val="clear" w:pos="432"/>
          <w:tab w:val="num" w:pos="1134"/>
        </w:tabs>
        <w:spacing w:before="480" w:line="276" w:lineRule="auto"/>
        <w:ind w:left="1134" w:hanging="1134"/>
      </w:pPr>
      <w:r w:rsidRPr="008270A1">
        <w:t>HISTÓRICO</w:t>
      </w:r>
    </w:p>
    <w:p w:rsidR="00473981" w:rsidRDefault="00CD1B8F" w:rsidP="000603A8">
      <w:pPr>
        <w:spacing w:before="120" w:after="120" w:line="276" w:lineRule="auto"/>
        <w:ind w:firstLine="851"/>
      </w:pPr>
      <w:r>
        <w:t xml:space="preserve">Em 28/12/2015, </w:t>
      </w:r>
      <w:r w:rsidR="00ED1CCB">
        <w:t>a</w:t>
      </w:r>
      <w:r>
        <w:t xml:space="preserve"> </w:t>
      </w:r>
      <w:r w:rsidR="00ED1CCB">
        <w:t>Superintendência</w:t>
      </w:r>
      <w:r>
        <w:t xml:space="preserve"> de Dados Técnicos</w:t>
      </w:r>
      <w:r w:rsidR="00ED1CCB">
        <w:t xml:space="preserve"> (SDT)</w:t>
      </w:r>
      <w:r>
        <w:t xml:space="preserve"> abriu o </w:t>
      </w:r>
      <w:r w:rsidR="001729AE">
        <w:t>P</w:t>
      </w:r>
      <w:r>
        <w:t xml:space="preserve">rocesso </w:t>
      </w:r>
      <w:r w:rsidR="001729AE">
        <w:t>A</w:t>
      </w:r>
      <w:r>
        <w:t xml:space="preserve">dministrativo </w:t>
      </w:r>
      <w:r w:rsidR="001924C4">
        <w:t>nº 48610.013465/2015-63 para revisão da Resolução ANP nº</w:t>
      </w:r>
      <w:r w:rsidR="00873236">
        <w:t xml:space="preserve"> 11/2011, </w:t>
      </w:r>
      <w:r w:rsidR="001924C4">
        <w:t>consoante</w:t>
      </w:r>
      <w:r w:rsidR="006D1BE9">
        <w:t xml:space="preserve"> Ação 5.1 da</w:t>
      </w:r>
      <w:r w:rsidR="001924C4">
        <w:t xml:space="preserve"> Agend</w:t>
      </w:r>
      <w:r w:rsidR="00C20C9C">
        <w:t>a Regulatória 2015-2106</w:t>
      </w:r>
      <w:r w:rsidR="006D1BE9">
        <w:t xml:space="preserve"> da </w:t>
      </w:r>
      <w:r w:rsidR="005F4D54">
        <w:t>ANP</w:t>
      </w:r>
      <w:r w:rsidR="00C20C9C">
        <w:t xml:space="preserve"> acostada</w:t>
      </w:r>
      <w:r w:rsidR="001924C4">
        <w:t xml:space="preserve"> à</w:t>
      </w:r>
      <w:r w:rsidR="00F4784D">
        <w:t>s</w:t>
      </w:r>
      <w:r w:rsidR="001924C4">
        <w:t xml:space="preserve"> fl</w:t>
      </w:r>
      <w:r w:rsidR="00F4784D">
        <w:t>s</w:t>
      </w:r>
      <w:r w:rsidR="001924C4">
        <w:t>. 3</w:t>
      </w:r>
      <w:r w:rsidR="00473981">
        <w:t xml:space="preserve"> do processo em referência.</w:t>
      </w:r>
    </w:p>
    <w:p w:rsidR="00F656CF" w:rsidRDefault="006B23E3" w:rsidP="000603A8">
      <w:pPr>
        <w:spacing w:before="120" w:after="120" w:line="276" w:lineRule="auto"/>
        <w:ind w:firstLine="851"/>
      </w:pPr>
      <w:r>
        <w:t xml:space="preserve">Entre os dias 23/03/2016 e 13/04/2016, </w:t>
      </w:r>
      <w:r w:rsidR="00ED1CCB">
        <w:t>foram comunicados e convocados a contribuírem com sugestões de aprimoramentos à resolução vigente</w:t>
      </w:r>
      <w:r w:rsidR="003A6897">
        <w:t>,</w:t>
      </w:r>
      <w:r w:rsidR="00ED1CCB">
        <w:t xml:space="preserve"> os </w:t>
      </w:r>
      <w:r w:rsidR="00C060D6">
        <w:t>agentes regulados</w:t>
      </w:r>
      <w:r w:rsidR="00F656CF">
        <w:t xml:space="preserve">, superintendências e coordenadorias desta ANP </w:t>
      </w:r>
      <w:r w:rsidR="00F4784D">
        <w:t xml:space="preserve">(fls. 5 a </w:t>
      </w:r>
      <w:r w:rsidR="00B20076">
        <w:t>115).</w:t>
      </w:r>
    </w:p>
    <w:p w:rsidR="00E43ED4" w:rsidRDefault="00B4423A" w:rsidP="000603A8">
      <w:pPr>
        <w:spacing w:before="120" w:after="120" w:line="276" w:lineRule="auto"/>
        <w:ind w:firstLine="851"/>
      </w:pPr>
      <w:r>
        <w:t xml:space="preserve">Em </w:t>
      </w:r>
      <w:r w:rsidR="007F3482">
        <w:t>reunião realizada</w:t>
      </w:r>
      <w:r>
        <w:t xml:space="preserve"> no dia 14/04/2016</w:t>
      </w:r>
      <w:r w:rsidR="00E43ED4">
        <w:t>,</w:t>
      </w:r>
      <w:r w:rsidR="007F3482">
        <w:t xml:space="preserve"> entre os servidores da SDT</w:t>
      </w:r>
      <w:r w:rsidR="00E43ED4">
        <w:t>,</w:t>
      </w:r>
      <w:r w:rsidR="007F3482">
        <w:t xml:space="preserve"> foi identificada a necessidade de discutir e revisar </w:t>
      </w:r>
      <w:r w:rsidR="003A6897">
        <w:t>ainda a Resolução ANP nº 1/2015</w:t>
      </w:r>
      <w:r w:rsidR="007F3482">
        <w:t>, conf</w:t>
      </w:r>
      <w:r w:rsidR="004A3FB8">
        <w:t>orme registrado na ata</w:t>
      </w:r>
      <w:r w:rsidR="005235A0">
        <w:t xml:space="preserve"> d</w:t>
      </w:r>
      <w:r w:rsidR="003F23FA">
        <w:t>e</w:t>
      </w:r>
      <w:r w:rsidR="005235A0">
        <w:t xml:space="preserve"> reunião</w:t>
      </w:r>
      <w:r w:rsidR="004A3FB8">
        <w:t xml:space="preserve"> (fls. 117</w:t>
      </w:r>
      <w:r w:rsidR="007F3482">
        <w:t xml:space="preserve"> a 128). </w:t>
      </w:r>
    </w:p>
    <w:p w:rsidR="007F3482" w:rsidRDefault="00B4423A" w:rsidP="000603A8">
      <w:pPr>
        <w:spacing w:before="120" w:after="120" w:line="276" w:lineRule="auto"/>
        <w:ind w:firstLine="851"/>
      </w:pPr>
      <w:r>
        <w:t xml:space="preserve">A </w:t>
      </w:r>
      <w:r w:rsidR="00E153B6">
        <w:t>similaridade</w:t>
      </w:r>
      <w:r>
        <w:t xml:space="preserve"> dos assuntos</w:t>
      </w:r>
      <w:r w:rsidR="001131E1">
        <w:t xml:space="preserve"> abordados nas duas resoluções</w:t>
      </w:r>
      <w:r w:rsidR="00E43ED4">
        <w:t xml:space="preserve"> (ANP nº 11/2011 e ANP nº 1/2015) </w:t>
      </w:r>
      <w:r w:rsidR="004A458E">
        <w:t xml:space="preserve">também </w:t>
      </w:r>
      <w:r w:rsidR="00711E0D">
        <w:t>foi apontada</w:t>
      </w:r>
      <w:r w:rsidR="001131E1">
        <w:t xml:space="preserve"> nas contribuições realizadas pela</w:t>
      </w:r>
      <w:r>
        <w:t xml:space="preserve"> Superintendência de Definição de Blocos (SDB)</w:t>
      </w:r>
      <w:r w:rsidR="001131E1">
        <w:t>, às fls. 273,</w:t>
      </w:r>
      <w:r w:rsidR="00E43ED4">
        <w:t xml:space="preserve"> e</w:t>
      </w:r>
      <w:r w:rsidR="001131E1">
        <w:t xml:space="preserve"> pela Superintendência de Exploração (SEP), às fls. </w:t>
      </w:r>
      <w:r w:rsidR="001D66B9">
        <w:t>442</w:t>
      </w:r>
      <w:r w:rsidR="00E43ED4">
        <w:t>.</w:t>
      </w:r>
    </w:p>
    <w:p w:rsidR="004A3FB8" w:rsidRDefault="004A3FB8" w:rsidP="000603A8">
      <w:pPr>
        <w:spacing w:before="120" w:after="120" w:line="276" w:lineRule="auto"/>
        <w:ind w:firstLine="851"/>
      </w:pPr>
      <w:r>
        <w:t xml:space="preserve">Sucessivas mudanças na gestão da SDT </w:t>
      </w:r>
      <w:r w:rsidR="00DB6438">
        <w:t>ocasion</w:t>
      </w:r>
      <w:r w:rsidR="005B2098">
        <w:t>aram</w:t>
      </w:r>
      <w:r>
        <w:t xml:space="preserve"> breve interrupção das discussões </w:t>
      </w:r>
      <w:r w:rsidR="00DB6438">
        <w:t>em torno da revisão proposta</w:t>
      </w:r>
      <w:r>
        <w:t xml:space="preserve">. Os trabalhos foram retomados </w:t>
      </w:r>
      <w:r w:rsidR="00DB6438">
        <w:t>sob</w:t>
      </w:r>
      <w:r>
        <w:t xml:space="preserve"> nova agenda regulatória (fls. </w:t>
      </w:r>
      <w:r w:rsidR="002C1D83">
        <w:t>845 a 847</w:t>
      </w:r>
      <w:r>
        <w:t xml:space="preserve">) e </w:t>
      </w:r>
      <w:r w:rsidR="001D66B9">
        <w:t xml:space="preserve">agora </w:t>
      </w:r>
      <w:r>
        <w:t xml:space="preserve">contemplando como objeto </w:t>
      </w:r>
      <w:r w:rsidR="00DB6438">
        <w:t xml:space="preserve">não só </w:t>
      </w:r>
      <w:r>
        <w:t>a revisão da R</w:t>
      </w:r>
      <w:r w:rsidR="00DB6438">
        <w:t>esolução</w:t>
      </w:r>
      <w:r>
        <w:t xml:space="preserve"> ANP nº 11/2011</w:t>
      </w:r>
      <w:r w:rsidR="00DB6438">
        <w:t>, mas também da Resolução</w:t>
      </w:r>
      <w:r>
        <w:t xml:space="preserve"> ANP nº 1/2015, unindo-as em um único ato normativo.</w:t>
      </w:r>
    </w:p>
    <w:p w:rsidR="001D4F71" w:rsidRDefault="001D4F71" w:rsidP="000603A8">
      <w:pPr>
        <w:spacing w:before="120" w:after="120" w:line="276" w:lineRule="auto"/>
        <w:ind w:firstLine="851"/>
      </w:pPr>
      <w:r>
        <w:t xml:space="preserve">Sendo assim, a SDT convocou em 08/09/2017 agentes </w:t>
      </w:r>
      <w:r w:rsidR="00C060D6">
        <w:t>regulados</w:t>
      </w:r>
      <w:r>
        <w:t xml:space="preserve"> e</w:t>
      </w:r>
      <w:r w:rsidR="00C060D6">
        <w:t xml:space="preserve"> demais</w:t>
      </w:r>
      <w:r>
        <w:t xml:space="preserve"> interessados para </w:t>
      </w:r>
      <w:r w:rsidRPr="001D4F71">
        <w:rPr>
          <w:i/>
        </w:rPr>
        <w:t>workshop</w:t>
      </w:r>
      <w:r>
        <w:rPr>
          <w:i/>
        </w:rPr>
        <w:t xml:space="preserve"> </w:t>
      </w:r>
      <w:r w:rsidR="004A3FB8" w:rsidRPr="002C1D83">
        <w:t xml:space="preserve">(fls. </w:t>
      </w:r>
      <w:r w:rsidR="002C1D83" w:rsidRPr="002C1D83">
        <w:t>836</w:t>
      </w:r>
      <w:r w:rsidR="004A3FB8" w:rsidRPr="002C1D83">
        <w:t>)</w:t>
      </w:r>
      <w:r w:rsidR="003F23FA">
        <w:t>,</w:t>
      </w:r>
      <w:r w:rsidR="004A3FB8" w:rsidRPr="002C1D83">
        <w:t xml:space="preserve"> </w:t>
      </w:r>
      <w:r w:rsidRPr="002C1D83">
        <w:t>realizado</w:t>
      </w:r>
      <w:r>
        <w:t xml:space="preserve"> em 22/09/2017 (fls. 8</w:t>
      </w:r>
      <w:r w:rsidR="002C1D83">
        <w:t>49</w:t>
      </w:r>
      <w:r>
        <w:t xml:space="preserve"> a </w:t>
      </w:r>
      <w:r w:rsidR="002C1D83">
        <w:t>859</w:t>
      </w:r>
      <w:r>
        <w:t>)</w:t>
      </w:r>
      <w:r w:rsidR="003F23FA">
        <w:t>,</w:t>
      </w:r>
      <w:r>
        <w:t xml:space="preserve"> onde foram apresentadas e debatidas propostas </w:t>
      </w:r>
      <w:r w:rsidR="00DB6438">
        <w:t xml:space="preserve">que </w:t>
      </w:r>
      <w:r w:rsidR="002C1D83">
        <w:t xml:space="preserve">auxiliaram na elaboração da minuta de </w:t>
      </w:r>
      <w:r w:rsidR="002C1D83">
        <w:lastRenderedPageBreak/>
        <w:t>resolução que se encontra anexa a esta nota técnica</w:t>
      </w:r>
      <w:r w:rsidR="001D66B9">
        <w:t xml:space="preserve"> (Anexo I)</w:t>
      </w:r>
      <w:r>
        <w:t>.</w:t>
      </w:r>
    </w:p>
    <w:p w:rsidR="001D4F71" w:rsidRDefault="001D4F71" w:rsidP="001D4F71">
      <w:pPr>
        <w:spacing w:before="120" w:after="120" w:line="276" w:lineRule="auto"/>
        <w:ind w:firstLine="851"/>
      </w:pPr>
      <w:r>
        <w:t xml:space="preserve">Atas de reuniões e demais contribuições </w:t>
      </w:r>
      <w:r w:rsidR="004A3FB8">
        <w:t xml:space="preserve">que subsidiaram esta revisão </w:t>
      </w:r>
      <w:r>
        <w:t>encontram-se juntadas ao aludido processo às folhas conforme tabela</w:t>
      </w:r>
      <w:r w:rsidR="001D66B9">
        <w:t xml:space="preserve"> </w:t>
      </w:r>
      <w:r w:rsidR="003F23FA">
        <w:t>em anexo</w:t>
      </w:r>
      <w:r>
        <w:t xml:space="preserve"> </w:t>
      </w:r>
      <w:r w:rsidR="003F23FA">
        <w:t>(</w:t>
      </w:r>
      <w:r w:rsidR="001D66B9">
        <w:t>Anexo II</w:t>
      </w:r>
      <w:r w:rsidR="003F23FA">
        <w:t>)</w:t>
      </w:r>
      <w:r>
        <w:t>.</w:t>
      </w:r>
    </w:p>
    <w:p w:rsidR="00E97344" w:rsidRPr="004562C4" w:rsidRDefault="00E97344" w:rsidP="000603A8">
      <w:pPr>
        <w:pStyle w:val="Ttulo1"/>
        <w:tabs>
          <w:tab w:val="clear" w:pos="432"/>
          <w:tab w:val="num" w:pos="1134"/>
        </w:tabs>
        <w:spacing w:before="480" w:line="276" w:lineRule="auto"/>
        <w:ind w:left="1134" w:hanging="1134"/>
      </w:pPr>
      <w:r w:rsidRPr="004562C4">
        <w:t>PREVISÃO LEGAL</w:t>
      </w:r>
    </w:p>
    <w:p w:rsidR="003A322B" w:rsidRDefault="00617D20" w:rsidP="000603A8">
      <w:pPr>
        <w:spacing w:before="120" w:after="120" w:line="276" w:lineRule="auto"/>
        <w:ind w:firstLine="851"/>
      </w:pPr>
      <w:r>
        <w:t>As Resoluções ANP nº 11/2011</w:t>
      </w:r>
      <w:r w:rsidR="003D022B">
        <w:t xml:space="preserve"> </w:t>
      </w:r>
      <w:r>
        <w:t>e ANP</w:t>
      </w:r>
      <w:r w:rsidR="003A322B">
        <w:t xml:space="preserve"> nº</w:t>
      </w:r>
      <w:r>
        <w:t xml:space="preserve"> 1/2015</w:t>
      </w:r>
      <w:r w:rsidR="001E3A71">
        <w:t>,</w:t>
      </w:r>
      <w:r w:rsidR="003A322B">
        <w:t xml:space="preserve"> objetos de revisão nesta nota técnica, estão legalmente amparadas nos artigos 8º, incisos II, III, VII, XI</w:t>
      </w:r>
      <w:r w:rsidR="005235A0">
        <w:t>;</w:t>
      </w:r>
      <w:r w:rsidR="003A322B">
        <w:t xml:space="preserve"> </w:t>
      </w:r>
      <w:r w:rsidR="00081509">
        <w:t xml:space="preserve">15, inciso </w:t>
      </w:r>
      <w:r w:rsidR="005235A0">
        <w:t>V;</w:t>
      </w:r>
      <w:r w:rsidR="00081509">
        <w:t xml:space="preserve"> </w:t>
      </w:r>
      <w:r w:rsidR="003A322B">
        <w:t>e 22, da Lei nº 9.478/97 (Lei do Petróleo).</w:t>
      </w:r>
    </w:p>
    <w:p w:rsidR="002C1D83" w:rsidRDefault="002C1D83" w:rsidP="000603A8">
      <w:pPr>
        <w:spacing w:before="120" w:after="120" w:line="276" w:lineRule="auto"/>
        <w:ind w:firstLine="851"/>
      </w:pPr>
      <w:r>
        <w:t>Os referidos dispositivos estabelece</w:t>
      </w:r>
      <w:r w:rsidR="005235A0">
        <w:t>m</w:t>
      </w:r>
      <w:r w:rsidR="00645ED7">
        <w:t xml:space="preserve"> </w:t>
      </w:r>
      <w:r>
        <w:t>as atribuições da Agência Nacional do Petróleo</w:t>
      </w:r>
      <w:r w:rsidR="0077359D">
        <w:t xml:space="preserve"> (ANP)</w:t>
      </w:r>
      <w:r w:rsidR="00645ED7">
        <w:t xml:space="preserve">, das quais cabe destacar a finalidade de promover a regulação, a contratação e a fiscalização das atividades econômicas integrantes da indústria do petróleo.  </w:t>
      </w:r>
    </w:p>
    <w:p w:rsidR="00F54050" w:rsidRDefault="00F54050" w:rsidP="000603A8">
      <w:pPr>
        <w:spacing w:before="120" w:after="120" w:line="276" w:lineRule="auto"/>
        <w:ind w:firstLine="851"/>
      </w:pPr>
      <w:r>
        <w:t xml:space="preserve">Importante destacar </w:t>
      </w:r>
      <w:r w:rsidR="00C060D6">
        <w:t xml:space="preserve">também </w:t>
      </w:r>
      <w:r>
        <w:t>o Art. 20 da Portaria ANP nº 69/2011</w:t>
      </w:r>
      <w:r w:rsidR="00645ED7">
        <w:t>, que</w:t>
      </w:r>
      <w:r w:rsidR="001E3A71">
        <w:t xml:space="preserve"> estabelece as competências da Superintendência de Dados Técnicos</w:t>
      </w:r>
      <w:r w:rsidR="00645ED7">
        <w:t xml:space="preserve">, em especial seus incisos I, </w:t>
      </w:r>
      <w:r w:rsidR="005235A0">
        <w:t>IV, V e VII</w:t>
      </w:r>
      <w:r w:rsidR="004562C4">
        <w:t>.</w:t>
      </w:r>
    </w:p>
    <w:p w:rsidR="001E3A71" w:rsidRDefault="001E3A71" w:rsidP="000603A8">
      <w:pPr>
        <w:spacing w:before="120" w:after="120" w:line="276" w:lineRule="auto"/>
        <w:ind w:firstLine="851"/>
      </w:pPr>
      <w:r>
        <w:t>Sendo assim, resta evidenciad</w:t>
      </w:r>
      <w:r w:rsidR="0056056F">
        <w:t>a</w:t>
      </w:r>
      <w:r>
        <w:t xml:space="preserve"> a competência legal desta SDT para propor a revisão e edição de nova resolução que visa regulamentar as atividades de aquisição e </w:t>
      </w:r>
      <w:r w:rsidR="00C060D6">
        <w:t>processamento de dados,</w:t>
      </w:r>
      <w:r>
        <w:t xml:space="preserve"> elaboração de estudo para fins de comercialização</w:t>
      </w:r>
      <w:r w:rsidR="00C060D6">
        <w:t>,</w:t>
      </w:r>
      <w:r>
        <w:t xml:space="preserve"> </w:t>
      </w:r>
      <w:r w:rsidR="00C060D6" w:rsidRPr="00C060D6">
        <w:t>comercialização d</w:t>
      </w:r>
      <w:r w:rsidR="00C060D6">
        <w:t xml:space="preserve">e dados públicos </w:t>
      </w:r>
      <w:r>
        <w:t xml:space="preserve">e o acesso aos dados e informações técnicas de exploração, produção e desenvolvimento de petróleo e gás natural nas bacias </w:t>
      </w:r>
      <w:r w:rsidRPr="00C060D6">
        <w:t>sedimentares brasileiras.</w:t>
      </w:r>
    </w:p>
    <w:p w:rsidR="0086168A" w:rsidRPr="00C060D6" w:rsidRDefault="000563B7" w:rsidP="0086168A">
      <w:pPr>
        <w:pStyle w:val="Ttulo1"/>
        <w:tabs>
          <w:tab w:val="clear" w:pos="432"/>
          <w:tab w:val="num" w:pos="1134"/>
        </w:tabs>
        <w:spacing w:before="480" w:line="276" w:lineRule="auto"/>
        <w:ind w:left="1134" w:hanging="1134"/>
      </w:pPr>
      <w:r>
        <w:t xml:space="preserve">APRESENTAÇÃO DAS </w:t>
      </w:r>
      <w:r w:rsidR="001729AE" w:rsidRPr="00C060D6">
        <w:t>ALTERAÇÕES PROPOSTAS</w:t>
      </w:r>
    </w:p>
    <w:p w:rsidR="006D1BE9" w:rsidRDefault="003F23FA" w:rsidP="000603A8">
      <w:pPr>
        <w:spacing w:before="120" w:after="120" w:line="276" w:lineRule="auto"/>
        <w:ind w:firstLine="851"/>
      </w:pPr>
      <w:r>
        <w:t>O objetivo do</w:t>
      </w:r>
      <w:r w:rsidR="007411B1" w:rsidRPr="00C060D6">
        <w:t xml:space="preserve"> </w:t>
      </w:r>
      <w:r>
        <w:t>Processo Administrativo</w:t>
      </w:r>
      <w:r w:rsidR="007411B1" w:rsidRPr="00C060D6">
        <w:t xml:space="preserve"> que deu início a revisão da Resolução ANP nº 11/2011 </w:t>
      </w:r>
      <w:r w:rsidR="00142CEE" w:rsidRPr="00C060D6">
        <w:t>acena</w:t>
      </w:r>
      <w:r w:rsidR="007411B1" w:rsidRPr="00C060D6">
        <w:t xml:space="preserve"> </w:t>
      </w:r>
      <w:r w:rsidR="008240F6" w:rsidRPr="00C060D6">
        <w:t xml:space="preserve">para </w:t>
      </w:r>
      <w:r w:rsidR="007411B1" w:rsidRPr="00C060D6">
        <w:t>a modernização da norma vigente de modo a compatibilizá-la com os novos procedimentos internos de avaliação e armazenamento</w:t>
      </w:r>
      <w:r w:rsidR="007411B1">
        <w:t xml:space="preserve"> de dados, possibilitando ainda a atualização dos períodos de sigilo desses dados, conforme consta na </w:t>
      </w:r>
      <w:r w:rsidR="006D1BE9">
        <w:t xml:space="preserve">Ação 5.1 (Autorização para Aquisição de Dados) da </w:t>
      </w:r>
      <w:r w:rsidR="007411B1">
        <w:t>Agenda Regulatória 2015-2016</w:t>
      </w:r>
      <w:r w:rsidR="006D1BE9">
        <w:t xml:space="preserve"> da ANP, acostada às fls. 3 do processo administrativo em comento.</w:t>
      </w:r>
    </w:p>
    <w:p w:rsidR="003C786F" w:rsidRDefault="008240F6" w:rsidP="000603A8">
      <w:pPr>
        <w:spacing w:before="120" w:after="120" w:line="276" w:lineRule="auto"/>
        <w:ind w:firstLine="851"/>
      </w:pPr>
      <w:r>
        <w:t>À medida que</w:t>
      </w:r>
      <w:r w:rsidR="006D1BE9">
        <w:t xml:space="preserve"> as discussões em torno </w:t>
      </w:r>
      <w:r w:rsidR="003C786F">
        <w:t>da proferida revisão avançaram, surgiu a necessidade de abarcar</w:t>
      </w:r>
      <w:r>
        <w:t xml:space="preserve">, por afinidade de assunto, </w:t>
      </w:r>
      <w:r w:rsidR="003C786F">
        <w:t>a revisão da Resolução ANP nº 1/2015</w:t>
      </w:r>
      <w:r>
        <w:t>,</w:t>
      </w:r>
      <w:r w:rsidR="003C786F">
        <w:t xml:space="preserve"> agora visando também </w:t>
      </w:r>
      <w:r w:rsidR="00A01026">
        <w:t xml:space="preserve">a facilitar o acesso às informações e dados técnicos, de modo geral, e </w:t>
      </w:r>
      <w:r>
        <w:t>à</w:t>
      </w:r>
      <w:r w:rsidR="003C786F">
        <w:t xml:space="preserve"> </w:t>
      </w:r>
      <w:r>
        <w:t>redução</w:t>
      </w:r>
      <w:r w:rsidR="003C786F">
        <w:t xml:space="preserve"> </w:t>
      </w:r>
      <w:r>
        <w:t>d</w:t>
      </w:r>
      <w:r w:rsidR="003C786F">
        <w:t xml:space="preserve">a burocracia </w:t>
      </w:r>
      <w:r>
        <w:t>n</w:t>
      </w:r>
      <w:r w:rsidR="003C786F">
        <w:t>as autorizações para aquisição</w:t>
      </w:r>
      <w:r w:rsidR="00565838">
        <w:t>,</w:t>
      </w:r>
      <w:r w:rsidR="00352F98">
        <w:t xml:space="preserve"> processamento e elaboração de estudos</w:t>
      </w:r>
      <w:r w:rsidR="00565838" w:rsidRPr="00565838">
        <w:t xml:space="preserve"> </w:t>
      </w:r>
      <w:r w:rsidR="00565838">
        <w:t>de dados não exclusivos</w:t>
      </w:r>
      <w:r w:rsidR="003C786F">
        <w:t>.</w:t>
      </w:r>
    </w:p>
    <w:p w:rsidR="00573C21" w:rsidRDefault="00A01026" w:rsidP="000603A8">
      <w:pPr>
        <w:spacing w:before="120" w:after="120" w:line="276" w:lineRule="auto"/>
        <w:ind w:firstLine="851"/>
      </w:pPr>
      <w:r>
        <w:t>Sendo assim</w:t>
      </w:r>
      <w:r w:rsidR="004278AA">
        <w:t xml:space="preserve">, </w:t>
      </w:r>
      <w:r>
        <w:t xml:space="preserve">propõe-se aqui a união das duas resoluções (ANP nº 11/2011 e ANP nº 1/2015) em um único ato normativo, de modo a facilitar </w:t>
      </w:r>
      <w:r w:rsidR="00573C21">
        <w:t>o</w:t>
      </w:r>
      <w:r>
        <w:t xml:space="preserve"> entendimento </w:t>
      </w:r>
      <w:r w:rsidR="002B016C">
        <w:t xml:space="preserve">por </w:t>
      </w:r>
      <w:r w:rsidR="002B016C">
        <w:lastRenderedPageBreak/>
        <w:t xml:space="preserve">parte dos agentes regulados e da sociedade como um todo, </w:t>
      </w:r>
      <w:r>
        <w:t xml:space="preserve">das </w:t>
      </w:r>
      <w:r w:rsidR="00573C21">
        <w:t>normas</w:t>
      </w:r>
      <w:r>
        <w:t xml:space="preserve"> </w:t>
      </w:r>
      <w:r w:rsidR="00573C21">
        <w:t xml:space="preserve">que regem </w:t>
      </w:r>
      <w:r w:rsidR="0082645A">
        <w:t xml:space="preserve">as informações e dados técnicos, </w:t>
      </w:r>
      <w:r w:rsidR="00573C21">
        <w:t>desde sua aquisição e processamento até sua</w:t>
      </w:r>
      <w:r w:rsidR="0082645A">
        <w:t xml:space="preserve"> coleta,</w:t>
      </w:r>
      <w:r w:rsidR="00573C21">
        <w:t xml:space="preserve"> armazenamento e disponibilização</w:t>
      </w:r>
      <w:r w:rsidR="002B016C">
        <w:t xml:space="preserve"> pelo Bando de Dados de </w:t>
      </w:r>
      <w:proofErr w:type="spellStart"/>
      <w:r w:rsidR="002B016C">
        <w:t>E&amp;P</w:t>
      </w:r>
      <w:proofErr w:type="spellEnd"/>
      <w:r w:rsidR="002B016C">
        <w:t xml:space="preserve"> da ANP</w:t>
      </w:r>
      <w:r w:rsidR="00E16BB8">
        <w:t xml:space="preserve"> (BDEP)</w:t>
      </w:r>
      <w:r w:rsidR="00573C21">
        <w:t>.</w:t>
      </w:r>
    </w:p>
    <w:p w:rsidR="00352F98" w:rsidRDefault="0086168A" w:rsidP="00352F98">
      <w:pPr>
        <w:pStyle w:val="PargrafodaLista"/>
        <w:numPr>
          <w:ilvl w:val="0"/>
          <w:numId w:val="32"/>
        </w:numPr>
        <w:spacing w:before="480" w:after="120" w:line="276" w:lineRule="auto"/>
        <w:ind w:left="714" w:hanging="357"/>
        <w:rPr>
          <w:u w:val="single"/>
        </w:rPr>
      </w:pPr>
      <w:r w:rsidRPr="0086168A">
        <w:rPr>
          <w:u w:val="single"/>
        </w:rPr>
        <w:t>Da Autorização para Aquisição</w:t>
      </w:r>
      <w:r w:rsidR="00C64D23">
        <w:rPr>
          <w:u w:val="single"/>
        </w:rPr>
        <w:t xml:space="preserve">, Processamento e </w:t>
      </w:r>
      <w:r w:rsidR="004A458E">
        <w:rPr>
          <w:u w:val="single"/>
        </w:rPr>
        <w:t xml:space="preserve">Elaboração de </w:t>
      </w:r>
      <w:proofErr w:type="gramStart"/>
      <w:r w:rsidR="00C64D23">
        <w:rPr>
          <w:u w:val="single"/>
        </w:rPr>
        <w:t>Estudo</w:t>
      </w:r>
      <w:proofErr w:type="gramEnd"/>
    </w:p>
    <w:p w:rsidR="00AB324D" w:rsidRDefault="00352F98" w:rsidP="00352F98">
      <w:pPr>
        <w:spacing w:before="120" w:after="120" w:line="276" w:lineRule="auto"/>
        <w:ind w:firstLine="851"/>
      </w:pPr>
      <w:r>
        <w:t xml:space="preserve">No que tange </w:t>
      </w:r>
      <w:r w:rsidR="00FE6BD3">
        <w:t>à</w:t>
      </w:r>
      <w:r>
        <w:t xml:space="preserve"> diminuição das etapas burocráticas no processo de autorização para exercício da atividade de aquisição</w:t>
      </w:r>
      <w:r w:rsidR="00142CEE">
        <w:t>,</w:t>
      </w:r>
      <w:r>
        <w:t xml:space="preserve"> processamento </w:t>
      </w:r>
      <w:r w:rsidR="00142CEE">
        <w:t xml:space="preserve">e elaboração de estudos </w:t>
      </w:r>
      <w:r>
        <w:t>de dados</w:t>
      </w:r>
      <w:r w:rsidR="00032E2D">
        <w:t xml:space="preserve"> técnicos</w:t>
      </w:r>
      <w:r>
        <w:t xml:space="preserve"> </w:t>
      </w:r>
      <w:r w:rsidR="00142CEE">
        <w:t>de exploração e produção de petróleo e gás natural</w:t>
      </w:r>
      <w:r>
        <w:t>, a minuta</w:t>
      </w:r>
      <w:r w:rsidR="003F23FA">
        <w:t xml:space="preserve"> de resolução</w:t>
      </w:r>
      <w:r w:rsidR="00032E2D">
        <w:t xml:space="preserve"> em discussão</w:t>
      </w:r>
      <w:r w:rsidR="00AB324D">
        <w:t xml:space="preserve"> apresenta as seguintes modificações:</w:t>
      </w:r>
    </w:p>
    <w:p w:rsidR="002F0D7B" w:rsidRDefault="00B51C9D" w:rsidP="00AB324D">
      <w:pPr>
        <w:spacing w:before="120" w:after="120" w:line="276" w:lineRule="auto"/>
        <w:ind w:firstLine="0"/>
      </w:pPr>
      <w:r>
        <w:t>1 -</w:t>
      </w:r>
      <w:r w:rsidR="002F0D7B">
        <w:t xml:space="preserve"> </w:t>
      </w:r>
      <w:r w:rsidR="00BF3FDA">
        <w:t>eliminação</w:t>
      </w:r>
      <w:r w:rsidR="00AB324D">
        <w:t xml:space="preserve"> da fase de habilitação para as E</w:t>
      </w:r>
      <w:r w:rsidR="00830D65">
        <w:t xml:space="preserve">mpresas de </w:t>
      </w:r>
      <w:r w:rsidR="00AB324D">
        <w:t>A</w:t>
      </w:r>
      <w:r w:rsidR="00830D65">
        <w:t xml:space="preserve">quisição de </w:t>
      </w:r>
      <w:r w:rsidR="00AB324D">
        <w:t>D</w:t>
      </w:r>
      <w:r w:rsidR="00830D65">
        <w:t>ados (EAD)</w:t>
      </w:r>
      <w:r w:rsidR="00AB324D">
        <w:t>;</w:t>
      </w:r>
    </w:p>
    <w:p w:rsidR="00AB324D" w:rsidRDefault="00B51C9D" w:rsidP="00AB324D">
      <w:pPr>
        <w:spacing w:before="120" w:after="120" w:line="276" w:lineRule="auto"/>
        <w:ind w:firstLine="0"/>
      </w:pPr>
      <w:r>
        <w:t>2 -</w:t>
      </w:r>
      <w:r w:rsidR="002F0D7B">
        <w:t xml:space="preserve"> </w:t>
      </w:r>
      <w:r w:rsidR="00BF3FDA">
        <w:t>simplificação</w:t>
      </w:r>
      <w:r w:rsidR="00830D65">
        <w:t xml:space="preserve"> </w:t>
      </w:r>
      <w:r w:rsidR="00BF3FDA">
        <w:t>dos</w:t>
      </w:r>
      <w:r w:rsidR="00AB324D">
        <w:t xml:space="preserve"> </w:t>
      </w:r>
      <w:r w:rsidR="00565838">
        <w:t>documentos apresentado</w:t>
      </w:r>
      <w:r w:rsidR="00AB324D">
        <w:t>s na fase de outorga da autorização;</w:t>
      </w:r>
    </w:p>
    <w:p w:rsidR="00AB324D" w:rsidRPr="007E2C78" w:rsidRDefault="00B51C9D" w:rsidP="00AB324D">
      <w:pPr>
        <w:spacing w:before="120" w:after="120" w:line="276" w:lineRule="auto"/>
        <w:ind w:firstLine="0"/>
      </w:pPr>
      <w:r w:rsidRPr="007E2C78">
        <w:t>3 -</w:t>
      </w:r>
      <w:r w:rsidR="00AB324D" w:rsidRPr="007E2C78">
        <w:t xml:space="preserve"> estabelecimento de </w:t>
      </w:r>
      <w:r w:rsidR="002F0D7B" w:rsidRPr="007E2C78">
        <w:t>período</w:t>
      </w:r>
      <w:r w:rsidR="00AB324D" w:rsidRPr="007E2C78">
        <w:t xml:space="preserve"> </w:t>
      </w:r>
      <w:r w:rsidR="002F0D7B" w:rsidRPr="007E2C78">
        <w:t xml:space="preserve">único </w:t>
      </w:r>
      <w:r w:rsidR="00AB324D" w:rsidRPr="007E2C78">
        <w:t xml:space="preserve">de vigência para as autorizações, de </w:t>
      </w:r>
      <w:r w:rsidR="007E2C78" w:rsidRPr="007E2C78">
        <w:t>cinco</w:t>
      </w:r>
      <w:r w:rsidR="00AB324D" w:rsidRPr="007E2C78">
        <w:t xml:space="preserve"> anos;</w:t>
      </w:r>
    </w:p>
    <w:p w:rsidR="00AB324D" w:rsidRPr="007E2C78" w:rsidRDefault="00B51C9D" w:rsidP="00AB324D">
      <w:pPr>
        <w:spacing w:before="120" w:after="120" w:line="276" w:lineRule="auto"/>
        <w:ind w:firstLine="0"/>
      </w:pPr>
      <w:r w:rsidRPr="007E2C78">
        <w:t>4 -</w:t>
      </w:r>
      <w:r w:rsidR="00AB324D" w:rsidRPr="007E2C78">
        <w:t xml:space="preserve"> alteração do prazo para </w:t>
      </w:r>
      <w:r w:rsidR="002F0D7B" w:rsidRPr="007E2C78">
        <w:t>comunicação à ANP do</w:t>
      </w:r>
      <w:r w:rsidR="00AB324D" w:rsidRPr="007E2C78">
        <w:t xml:space="preserve"> início das </w:t>
      </w:r>
      <w:r w:rsidR="002F0D7B" w:rsidRPr="007E2C78">
        <w:t>operações (Notificação de Início)</w:t>
      </w:r>
      <w:r w:rsidR="00AB324D" w:rsidRPr="007E2C78">
        <w:t>, de dez dias</w:t>
      </w:r>
      <w:r w:rsidR="002F0D7B" w:rsidRPr="007E2C78">
        <w:t xml:space="preserve"> </w:t>
      </w:r>
      <w:r w:rsidR="00AB324D" w:rsidRPr="007E2C78">
        <w:t xml:space="preserve">para </w:t>
      </w:r>
      <w:r w:rsidR="002F0D7B" w:rsidRPr="007E2C78">
        <w:t>um</w:t>
      </w:r>
      <w:r w:rsidR="00AB324D" w:rsidRPr="007E2C78">
        <w:t xml:space="preserve"> dia de antecedência</w:t>
      </w:r>
      <w:r w:rsidR="002F0D7B" w:rsidRPr="007E2C78">
        <w:t xml:space="preserve"> do início das atividades</w:t>
      </w:r>
      <w:r w:rsidR="00AB324D" w:rsidRPr="007E2C78">
        <w:t>;</w:t>
      </w:r>
    </w:p>
    <w:p w:rsidR="00650333" w:rsidRDefault="00650333" w:rsidP="00AB324D">
      <w:pPr>
        <w:spacing w:before="120" w:after="120" w:line="276" w:lineRule="auto"/>
        <w:ind w:firstLine="0"/>
      </w:pPr>
      <w:r w:rsidRPr="007E2C78">
        <w:t>5 -</w:t>
      </w:r>
      <w:r>
        <w:t xml:space="preserve"> extensão do prazo para entrega dos dados brutos de aquisição, de 60 </w:t>
      </w:r>
      <w:r w:rsidR="007E2C78">
        <w:t xml:space="preserve">para 90 </w:t>
      </w:r>
      <w:r>
        <w:t>dias, igualmente prorrogáveis;</w:t>
      </w:r>
    </w:p>
    <w:p w:rsidR="002F0D7B" w:rsidRDefault="00650333" w:rsidP="00AB324D">
      <w:pPr>
        <w:spacing w:before="120" w:after="120" w:line="276" w:lineRule="auto"/>
        <w:ind w:firstLine="0"/>
      </w:pPr>
      <w:r>
        <w:t>6</w:t>
      </w:r>
      <w:r w:rsidR="00B51C9D">
        <w:t xml:space="preserve"> -</w:t>
      </w:r>
      <w:r w:rsidR="002F0D7B">
        <w:t xml:space="preserve"> </w:t>
      </w:r>
      <w:r w:rsidR="00032E2D">
        <w:t>eliminação</w:t>
      </w:r>
      <w:r w:rsidR="002F0D7B">
        <w:t xml:space="preserve"> do envio do relatório mensal de atividade pelas EAD durante </w:t>
      </w:r>
      <w:r w:rsidR="00142CEE">
        <w:t xml:space="preserve">o </w:t>
      </w:r>
      <w:r w:rsidR="002F0D7B">
        <w:t>período de vigência da</w:t>
      </w:r>
      <w:r w:rsidR="00142CEE">
        <w:t>s autorizações</w:t>
      </w:r>
      <w:r w:rsidR="002F0D7B">
        <w:t>;</w:t>
      </w:r>
    </w:p>
    <w:p w:rsidR="00032E2D" w:rsidRDefault="00650333" w:rsidP="00AB324D">
      <w:pPr>
        <w:spacing w:before="120" w:after="120" w:line="276" w:lineRule="auto"/>
        <w:ind w:firstLine="0"/>
      </w:pPr>
      <w:r>
        <w:t xml:space="preserve">7 - estabelece </w:t>
      </w:r>
      <w:r w:rsidR="00722E7C">
        <w:t>para as</w:t>
      </w:r>
      <w:r>
        <w:t xml:space="preserve"> EAD </w:t>
      </w:r>
      <w:r w:rsidR="0001687F">
        <w:t>o compromisso</w:t>
      </w:r>
      <w:r>
        <w:t xml:space="preserve"> de receber representantes da ANP em sito para acompanhamento das operações de aquisição</w:t>
      </w:r>
      <w:r w:rsidR="00722E7C">
        <w:t>;</w:t>
      </w:r>
    </w:p>
    <w:p w:rsidR="00AB324D" w:rsidRDefault="00722E7C" w:rsidP="00AB324D">
      <w:pPr>
        <w:spacing w:before="120" w:after="120" w:line="276" w:lineRule="auto"/>
        <w:ind w:firstLine="0"/>
      </w:pPr>
      <w:r>
        <w:t>8</w:t>
      </w:r>
      <w:r w:rsidR="00B51C9D">
        <w:t xml:space="preserve"> -</w:t>
      </w:r>
      <w:r w:rsidR="00032E2D">
        <w:t xml:space="preserve"> </w:t>
      </w:r>
      <w:r w:rsidR="00200F21">
        <w:t>desobriga a empresa responsável pela aquisição de um dado a solicitar autorização para realizar novos processamentos do mesmo, devendo apenas comunicar à ANP o seu início e término;</w:t>
      </w:r>
    </w:p>
    <w:p w:rsidR="00200F21" w:rsidRDefault="00722E7C" w:rsidP="00AB324D">
      <w:pPr>
        <w:spacing w:before="120" w:after="120" w:line="276" w:lineRule="auto"/>
        <w:ind w:firstLine="0"/>
      </w:pPr>
      <w:r w:rsidRPr="00B3693B">
        <w:t>9</w:t>
      </w:r>
      <w:r w:rsidR="00B51C9D" w:rsidRPr="00B3693B">
        <w:t xml:space="preserve"> -</w:t>
      </w:r>
      <w:r w:rsidR="00200F21">
        <w:t xml:space="preserve"> possibilita </w:t>
      </w:r>
      <w:r w:rsidR="00142CEE">
        <w:t>a aquisição de dados exclusivos fora dos limites da área contratada para exploração, produção ou desenvolvimento, desde que os pontos amostrados com cobertura total em subsuperfície pertençam à área contratada.</w:t>
      </w:r>
    </w:p>
    <w:p w:rsidR="0032199C" w:rsidRDefault="006E1793" w:rsidP="005F4D54">
      <w:pPr>
        <w:spacing w:before="120" w:after="120" w:line="276" w:lineRule="auto"/>
        <w:ind w:firstLine="851"/>
      </w:pPr>
      <w:r>
        <w:t xml:space="preserve">A </w:t>
      </w:r>
      <w:r w:rsidR="00B51C9D">
        <w:t>maior parte dessas medidas, itens 1, 2,</w:t>
      </w:r>
      <w:r w:rsidR="00722E7C">
        <w:t xml:space="preserve"> 3,</w:t>
      </w:r>
      <w:r w:rsidR="00B51C9D">
        <w:t xml:space="preserve"> </w:t>
      </w:r>
      <w:r w:rsidR="00722E7C">
        <w:t>6</w:t>
      </w:r>
      <w:r w:rsidR="00B51C9D">
        <w:t xml:space="preserve"> e </w:t>
      </w:r>
      <w:r w:rsidR="00722E7C">
        <w:t>8</w:t>
      </w:r>
      <w:r w:rsidR="00B51C9D">
        <w:t xml:space="preserve">, visa diminuir drasticamente a quantidade de documentos recebidos hoje </w:t>
      </w:r>
      <w:r w:rsidR="00B35C3E">
        <w:t>pela</w:t>
      </w:r>
      <w:r w:rsidR="00B51C9D">
        <w:t xml:space="preserve"> ANP sem que os mesmos sejam realmente alvos de fiscalização por esta agência reguladora</w:t>
      </w:r>
      <w:r w:rsidR="00FE6BD3">
        <w:t>, reduzindo o custo regulatório</w:t>
      </w:r>
      <w:r w:rsidR="006762CD">
        <w:t>.</w:t>
      </w:r>
      <w:r w:rsidR="00E153B6">
        <w:t xml:space="preserve"> </w:t>
      </w:r>
    </w:p>
    <w:p w:rsidR="00B35C3E" w:rsidRDefault="00E153B6" w:rsidP="005F4D54">
      <w:pPr>
        <w:spacing w:before="120" w:after="120" w:line="276" w:lineRule="auto"/>
        <w:ind w:firstLine="851"/>
      </w:pPr>
      <w:r>
        <w:t>Nesse sentido</w:t>
      </w:r>
      <w:r w:rsidR="003F23FA">
        <w:t>,</w:t>
      </w:r>
      <w:r>
        <w:t xml:space="preserve"> não será mais necessário </w:t>
      </w:r>
      <w:r w:rsidR="00DB0532">
        <w:t>a</w:t>
      </w:r>
      <w:r w:rsidR="00FD777C">
        <w:t xml:space="preserve"> EAD</w:t>
      </w:r>
      <w:r w:rsidR="00DB0532">
        <w:t xml:space="preserve"> </w:t>
      </w:r>
      <w:r w:rsidR="00FD777C">
        <w:t>habilita</w:t>
      </w:r>
      <w:r w:rsidR="00FE6BD3">
        <w:t>r</w:t>
      </w:r>
      <w:r w:rsidR="00FD777C">
        <w:t>-se</w:t>
      </w:r>
      <w:r>
        <w:t xml:space="preserve"> junto a ANP para que a mesma possa operar nas bacias </w:t>
      </w:r>
      <w:r w:rsidR="0032199C">
        <w:t xml:space="preserve">sedimentares brasileiras. A análise técnica e </w:t>
      </w:r>
      <w:r w:rsidR="00565838">
        <w:t xml:space="preserve">a capacidade </w:t>
      </w:r>
      <w:r w:rsidR="0032199C">
        <w:t xml:space="preserve">operacional dessas </w:t>
      </w:r>
      <w:r w:rsidR="0056056F">
        <w:t>EAD</w:t>
      </w:r>
      <w:r w:rsidR="0032199C">
        <w:t xml:space="preserve"> passa</w:t>
      </w:r>
      <w:r w:rsidR="00761D32">
        <w:t>r</w:t>
      </w:r>
      <w:r w:rsidR="00565838">
        <w:t>ão</w:t>
      </w:r>
      <w:r w:rsidR="0032199C">
        <w:t xml:space="preserve"> a ser responsabilidade única e exclusiva </w:t>
      </w:r>
      <w:r w:rsidR="00C47E84">
        <w:t>das empresas</w:t>
      </w:r>
      <w:r w:rsidR="0032199C">
        <w:t xml:space="preserve"> que </w:t>
      </w:r>
      <w:r w:rsidR="004A458E">
        <w:t>contratam</w:t>
      </w:r>
      <w:r w:rsidR="0032199C">
        <w:t xml:space="preserve"> esse tipo de serviço.</w:t>
      </w:r>
      <w:r w:rsidR="00B35C3E">
        <w:t xml:space="preserve"> </w:t>
      </w:r>
    </w:p>
    <w:p w:rsidR="00B35C3E" w:rsidRDefault="00B35C3E" w:rsidP="005F4D54">
      <w:pPr>
        <w:spacing w:before="120" w:after="120" w:line="276" w:lineRule="auto"/>
        <w:ind w:firstLine="851"/>
      </w:pPr>
      <w:r>
        <w:t>À</w:t>
      </w:r>
      <w:r w:rsidR="0032199C">
        <w:t xml:space="preserve"> ANP</w:t>
      </w:r>
      <w:r>
        <w:t xml:space="preserve"> caberá</w:t>
      </w:r>
      <w:r w:rsidR="0032199C">
        <w:t xml:space="preserve"> estritamente a análise </w:t>
      </w:r>
      <w:r>
        <w:t>da solicitação d</w:t>
      </w:r>
      <w:r w:rsidR="0032199C">
        <w:t>e autorização</w:t>
      </w:r>
      <w:r>
        <w:t xml:space="preserve"> para aquisição, processamento e/ou elaboração de estudos não exclusivos</w:t>
      </w:r>
      <w:r w:rsidR="0032199C">
        <w:t>,</w:t>
      </w:r>
      <w:r w:rsidR="00BF3FDA">
        <w:t xml:space="preserve"> que passará a </w:t>
      </w:r>
      <w:r w:rsidR="00BF3FDA">
        <w:lastRenderedPageBreak/>
        <w:t>incorporar alguns documentos antes observados na fase de habilitação,</w:t>
      </w:r>
      <w:r w:rsidR="00761D32">
        <w:t xml:space="preserve"> </w:t>
      </w:r>
      <w:r w:rsidR="007D79A7">
        <w:t>outorgando a autorização para os casos julgados procedentes</w:t>
      </w:r>
      <w:r w:rsidR="00761D32">
        <w:t>.</w:t>
      </w:r>
    </w:p>
    <w:p w:rsidR="00B223A7" w:rsidRDefault="00B223A7" w:rsidP="005F4D54">
      <w:pPr>
        <w:spacing w:before="120" w:after="120" w:line="276" w:lineRule="auto"/>
        <w:ind w:firstLine="851"/>
      </w:pPr>
      <w:r>
        <w:t xml:space="preserve">Deferida a autorização, o prazo de vigência para a realização das atividades passará a ser único, de </w:t>
      </w:r>
      <w:r w:rsidR="007E2C78">
        <w:t>cinco</w:t>
      </w:r>
      <w:r>
        <w:t xml:space="preserve"> anos</w:t>
      </w:r>
      <w:r w:rsidR="003704F7">
        <w:t>. Caso a v</w:t>
      </w:r>
      <w:r w:rsidR="00675A87">
        <w:t>igência de uma autorização findar</w:t>
      </w:r>
      <w:r w:rsidR="003704F7">
        <w:t xml:space="preserve"> durante a realização de uma atividade cuja notificação de início já tenha sido protocolada na ANP, est</w:t>
      </w:r>
      <w:r w:rsidR="00565838">
        <w:t>a</w:t>
      </w:r>
      <w:r w:rsidR="0013294D">
        <w:t xml:space="preserve"> será automaticamente prorrogada</w:t>
      </w:r>
      <w:r w:rsidR="003704F7">
        <w:t xml:space="preserve"> até a data </w:t>
      </w:r>
      <w:r w:rsidR="00722E7C">
        <w:t xml:space="preserve">de término </w:t>
      </w:r>
      <w:r w:rsidR="00565838">
        <w:t>da</w:t>
      </w:r>
      <w:r w:rsidR="003704F7">
        <w:t xml:space="preserve"> atividade</w:t>
      </w:r>
      <w:r w:rsidR="0013294D">
        <w:t xml:space="preserve"> (</w:t>
      </w:r>
      <w:r w:rsidR="0013294D" w:rsidRPr="000354E2">
        <w:t>A</w:t>
      </w:r>
      <w:r w:rsidR="003704F7" w:rsidRPr="000354E2">
        <w:t>rt. 14,</w:t>
      </w:r>
      <w:r w:rsidR="003704F7">
        <w:t xml:space="preserve"> </w:t>
      </w:r>
      <w:r w:rsidR="003704F7" w:rsidRPr="003704F7">
        <w:t>§</w:t>
      </w:r>
      <w:r w:rsidR="000354E2">
        <w:t xml:space="preserve"> 1º e</w:t>
      </w:r>
      <w:r w:rsidR="0013294D">
        <w:t xml:space="preserve"> 2º da minuta</w:t>
      </w:r>
      <w:r w:rsidR="004A458E">
        <w:t xml:space="preserve"> de resolução</w:t>
      </w:r>
      <w:r w:rsidR="0013294D">
        <w:t xml:space="preserve"> em apreço)</w:t>
      </w:r>
      <w:r w:rsidR="003704F7">
        <w:t xml:space="preserve">. </w:t>
      </w:r>
    </w:p>
    <w:p w:rsidR="0013294D" w:rsidRPr="00954FB9" w:rsidRDefault="0013294D" w:rsidP="00954FB9">
      <w:pPr>
        <w:spacing w:before="120" w:after="120" w:line="276" w:lineRule="auto"/>
        <w:ind w:firstLine="851"/>
        <w:rPr>
          <w:highlight w:val="yellow"/>
        </w:rPr>
      </w:pPr>
      <w:r>
        <w:t>Durante o período de vigência da autorização não será mais necessário o envio de relatório</w:t>
      </w:r>
      <w:r w:rsidR="00565838">
        <w:t>s</w:t>
      </w:r>
      <w:r>
        <w:t xml:space="preserve"> mensa</w:t>
      </w:r>
      <w:r w:rsidR="00565838">
        <w:t>is</w:t>
      </w:r>
      <w:r>
        <w:t xml:space="preserve"> acerca das atividades ocorridas por parte das </w:t>
      </w:r>
      <w:r w:rsidR="00675A87">
        <w:t>EAD. No entanto, a ANP não eximirá</w:t>
      </w:r>
      <w:r>
        <w:t xml:space="preserve"> as EAD de enviarem, quando solicitad</w:t>
      </w:r>
      <w:r w:rsidR="00FE6BD3">
        <w:t>o</w:t>
      </w:r>
      <w:r>
        <w:t>s, relatórios sobre as etapas das operações em curso,</w:t>
      </w:r>
      <w:r w:rsidR="00650333">
        <w:t xml:space="preserve"> inclusive estabelece</w:t>
      </w:r>
      <w:r w:rsidR="00675A87">
        <w:t>rá</w:t>
      </w:r>
      <w:r w:rsidR="00650333">
        <w:t xml:space="preserve"> </w:t>
      </w:r>
      <w:r w:rsidR="00B06671">
        <w:t>para estas empresas</w:t>
      </w:r>
      <w:r w:rsidR="00650333">
        <w:t xml:space="preserve"> </w:t>
      </w:r>
      <w:r w:rsidR="0001687F">
        <w:t>o compromisso</w:t>
      </w:r>
      <w:r w:rsidR="00650333">
        <w:t xml:space="preserve"> de receber representantes da ANP em sito para acompanhamento das operações de aquisição, em </w:t>
      </w:r>
      <w:r w:rsidR="00722E7C">
        <w:t>ações</w:t>
      </w:r>
      <w:r w:rsidR="00650333">
        <w:t xml:space="preserve"> de </w:t>
      </w:r>
      <w:r w:rsidR="00650333" w:rsidRPr="00954FB9">
        <w:t>fiscalização</w:t>
      </w:r>
      <w:r w:rsidR="00954FB9" w:rsidRPr="00954FB9">
        <w:t>.</w:t>
      </w:r>
      <w:r w:rsidR="00B06671" w:rsidRPr="00954FB9">
        <w:t xml:space="preserve"> </w:t>
      </w:r>
      <w:r w:rsidR="00954FB9" w:rsidRPr="00954FB9">
        <w:t>Estende-se assim,</w:t>
      </w:r>
      <w:r w:rsidR="00B06671" w:rsidRPr="00954FB9">
        <w:t xml:space="preserve"> para</w:t>
      </w:r>
      <w:r w:rsidR="00B06671">
        <w:t xml:space="preserve"> as Empresas de Aquisição de Dados </w:t>
      </w:r>
      <w:r w:rsidR="00B06671" w:rsidRPr="00B06671">
        <w:t>cuja autorização tenha sido concedida</w:t>
      </w:r>
      <w:r w:rsidR="00B06671">
        <w:t>, o compromisso que hoje já existe entre a ANP e as empresas que celebram contratos de concessão ou partilha (</w:t>
      </w:r>
      <w:r w:rsidR="00B06671" w:rsidRPr="000354E2">
        <w:t>Art. 15,</w:t>
      </w:r>
      <w:r w:rsidR="00B06671">
        <w:t xml:space="preserve"> inciso II e VI da minuta de resolução em análise)</w:t>
      </w:r>
      <w:r>
        <w:t>.</w:t>
      </w:r>
    </w:p>
    <w:p w:rsidR="00425DC0" w:rsidRDefault="00425DC0" w:rsidP="005F4D54">
      <w:pPr>
        <w:spacing w:before="120" w:after="120" w:line="276" w:lineRule="auto"/>
        <w:ind w:firstLine="851"/>
      </w:pPr>
      <w:r>
        <w:t xml:space="preserve">As EAD que obtiverem autorização para aquisição de dados estarão </w:t>
      </w:r>
      <w:r w:rsidR="00954FB9">
        <w:t xml:space="preserve">dispensadas de realizar nova solicitação de autorização para </w:t>
      </w:r>
      <w:r>
        <w:t>realizar o processamento</w:t>
      </w:r>
      <w:r w:rsidR="006C1B87">
        <w:t>, est</w:t>
      </w:r>
      <w:r w:rsidR="00461893">
        <w:t xml:space="preserve">udos </w:t>
      </w:r>
      <w:r w:rsidR="00954FB9">
        <w:t>e/ou</w:t>
      </w:r>
      <w:r w:rsidR="00461893">
        <w:t xml:space="preserve"> interpretação</w:t>
      </w:r>
      <w:r>
        <w:t xml:space="preserve"> dos dados </w:t>
      </w:r>
      <w:r w:rsidRPr="00954FB9">
        <w:t>adquiridos</w:t>
      </w:r>
      <w:r>
        <w:t xml:space="preserve">, desde que a atividade ocorra dentro do período de vigência da autorização outorgada, tendo apenas que comunicar à ANP o início e o término </w:t>
      </w:r>
      <w:r w:rsidR="008D252A">
        <w:t>da atividade</w:t>
      </w:r>
      <w:r>
        <w:t>.</w:t>
      </w:r>
    </w:p>
    <w:p w:rsidR="00565838" w:rsidRDefault="00565838" w:rsidP="005F4D54">
      <w:pPr>
        <w:spacing w:before="120" w:after="120" w:line="276" w:lineRule="auto"/>
        <w:ind w:firstLine="851"/>
      </w:pPr>
      <w:r>
        <w:t xml:space="preserve">Quanto </w:t>
      </w:r>
      <w:r w:rsidR="00FE6BD3">
        <w:t>à</w:t>
      </w:r>
      <w:r>
        <w:t xml:space="preserve">s </w:t>
      </w:r>
      <w:r w:rsidR="00E94202">
        <w:t>propostas de alterações de</w:t>
      </w:r>
      <w:r>
        <w:t xml:space="preserve"> prazos</w:t>
      </w:r>
      <w:r w:rsidR="00675A87">
        <w:t xml:space="preserve"> contidas</w:t>
      </w:r>
      <w:r>
        <w:t xml:space="preserve"> nos itens </w:t>
      </w:r>
      <w:proofErr w:type="gramStart"/>
      <w:r>
        <w:t>4</w:t>
      </w:r>
      <w:proofErr w:type="gramEnd"/>
      <w:r>
        <w:t xml:space="preserve"> e 5,</w:t>
      </w:r>
      <w:r w:rsidR="00A94A36">
        <w:t xml:space="preserve"> pretende-se aqui sanar demandas recorrentes por parte das EAD. Sobre </w:t>
      </w:r>
      <w:r w:rsidR="00E94202">
        <w:t>o tema</w:t>
      </w:r>
      <w:r w:rsidR="00A94A36">
        <w:t xml:space="preserve"> pronunciou-se</w:t>
      </w:r>
      <w:r w:rsidR="000563B7">
        <w:t>,</w:t>
      </w:r>
      <w:r w:rsidR="00E94202">
        <w:t xml:space="preserve"> </w:t>
      </w:r>
      <w:r w:rsidR="000563B7">
        <w:t>às fls. 464 do referido processo,</w:t>
      </w:r>
      <w:r w:rsidR="00A94A36">
        <w:t xml:space="preserve"> a Associação Internacional de Empresas de Geofísica (IAGC), representando</w:t>
      </w:r>
      <w:r w:rsidR="00E94202">
        <w:t xml:space="preserve"> cinco das </w:t>
      </w:r>
      <w:r w:rsidR="000563B7">
        <w:t>principais</w:t>
      </w:r>
      <w:r w:rsidR="00E94202">
        <w:t xml:space="preserve"> </w:t>
      </w:r>
      <w:r w:rsidR="000563B7">
        <w:t>Empresas de Aquisição de Dados</w:t>
      </w:r>
      <w:r w:rsidR="00E94202">
        <w:t xml:space="preserve"> atuantes no Brasil.</w:t>
      </w:r>
    </w:p>
    <w:p w:rsidR="00543615" w:rsidRDefault="000563B7" w:rsidP="005F4D54">
      <w:pPr>
        <w:spacing w:before="120" w:after="120" w:line="276" w:lineRule="auto"/>
        <w:ind w:firstLine="851"/>
      </w:pPr>
      <w:r>
        <w:t>Em relação à notificação de início das atividades</w:t>
      </w:r>
      <w:r w:rsidR="005662B1">
        <w:t xml:space="preserve"> </w:t>
      </w:r>
      <w:r w:rsidR="006A1C77">
        <w:t>para a</w:t>
      </w:r>
      <w:r w:rsidR="005662B1">
        <w:t xml:space="preserve"> ANP</w:t>
      </w:r>
      <w:r>
        <w:t xml:space="preserve">, </w:t>
      </w:r>
      <w:r w:rsidR="00FE6BD3">
        <w:t>essas</w:t>
      </w:r>
      <w:r w:rsidR="005662B1">
        <w:t xml:space="preserve"> empresas alega</w:t>
      </w:r>
      <w:r w:rsidR="00675A87">
        <w:t>ram</w:t>
      </w:r>
      <w:r w:rsidR="005662B1">
        <w:t xml:space="preserve"> que o prazo vigente para que tal comunicação ocorra, com dez dias de antecedência do inicio das operações, prejudica a logística operacional das EAD. Isso </w:t>
      </w:r>
      <w:r w:rsidR="00FD777C">
        <w:t>ocorre devido</w:t>
      </w:r>
      <w:r w:rsidR="005662B1">
        <w:t xml:space="preserve"> </w:t>
      </w:r>
      <w:r w:rsidR="00FD777C">
        <w:t>à</w:t>
      </w:r>
      <w:r w:rsidR="00675A87">
        <w:t xml:space="preserve"> necessidade da</w:t>
      </w:r>
      <w:r w:rsidR="005662B1">
        <w:t xml:space="preserve"> apresentação das licenças de ordem ambiental</w:t>
      </w:r>
      <w:r w:rsidR="00BF3740" w:rsidRPr="00BF3740">
        <w:t xml:space="preserve"> </w:t>
      </w:r>
      <w:r w:rsidR="00BF3740">
        <w:t>junto c</w:t>
      </w:r>
      <w:r w:rsidR="00FE6BD3">
        <w:t>om a referida notificação de iní</w:t>
      </w:r>
      <w:r w:rsidR="00BF3740">
        <w:t>cio</w:t>
      </w:r>
      <w:r w:rsidR="005662B1">
        <w:t>. Sendo assim, após a expedição de tais licenças pelo</w:t>
      </w:r>
      <w:r w:rsidR="00543615">
        <w:t xml:space="preserve">s órgãos ambientais competentes, as EAD necessitam ainda aguardar os dez dias exigidos pela ANP para </w:t>
      </w:r>
      <w:r w:rsidR="00675A87">
        <w:t>que se iniciem</w:t>
      </w:r>
      <w:r w:rsidR="00543615">
        <w:t xml:space="preserve"> as atividades exploratórias.</w:t>
      </w:r>
    </w:p>
    <w:p w:rsidR="006D20ED" w:rsidRDefault="00543615" w:rsidP="006D20ED">
      <w:pPr>
        <w:spacing w:before="120" w:after="120" w:line="276" w:lineRule="auto"/>
        <w:ind w:firstLine="851"/>
      </w:pPr>
      <w:r>
        <w:t xml:space="preserve">Para sanar tal situação, as empresas sugeriram que o prazo </w:t>
      </w:r>
      <w:r w:rsidR="00FE6BD3">
        <w:t>de</w:t>
      </w:r>
      <w:r>
        <w:t xml:space="preserve"> tal notificação </w:t>
      </w:r>
      <w:r w:rsidR="00FD777C">
        <w:t>passasse a ser de</w:t>
      </w:r>
      <w:r>
        <w:t xml:space="preserve"> até dez dias após o início da</w:t>
      </w:r>
      <w:r w:rsidR="006A1C77">
        <w:t>s</w:t>
      </w:r>
      <w:r>
        <w:t xml:space="preserve"> operaç</w:t>
      </w:r>
      <w:r w:rsidR="006A1C77">
        <w:t>ões</w:t>
      </w:r>
      <w:r>
        <w:t xml:space="preserve">, possibilitando que a aquisição </w:t>
      </w:r>
      <w:r w:rsidR="00E85F23">
        <w:t xml:space="preserve">se </w:t>
      </w:r>
      <w:r w:rsidR="006A1C77">
        <w:t>inici</w:t>
      </w:r>
      <w:r w:rsidR="00FE6BD3">
        <w:t>e</w:t>
      </w:r>
      <w:r>
        <w:t xml:space="preserve"> tão logo </w:t>
      </w:r>
      <w:r w:rsidR="00FE6BD3">
        <w:t>sejam</w:t>
      </w:r>
      <w:r w:rsidR="006A1C77">
        <w:t xml:space="preserve"> emi</w:t>
      </w:r>
      <w:r w:rsidR="00BF3740">
        <w:t>tida</w:t>
      </w:r>
      <w:r w:rsidR="00675A87">
        <w:t>s</w:t>
      </w:r>
      <w:r w:rsidR="006A1C77">
        <w:t xml:space="preserve"> </w:t>
      </w:r>
      <w:r>
        <w:t>as licenças ambientais.</w:t>
      </w:r>
    </w:p>
    <w:p w:rsidR="006A1C77" w:rsidRDefault="00543615" w:rsidP="005F4D54">
      <w:pPr>
        <w:spacing w:before="120" w:after="120" w:line="276" w:lineRule="auto"/>
        <w:ind w:firstLine="851"/>
      </w:pPr>
      <w:r>
        <w:t>No entanto, a ANP entende que a aquisiçã</w:t>
      </w:r>
      <w:r w:rsidR="00FE6BD3">
        <w:t>o de dados geofísicos, sendo ela</w:t>
      </w:r>
      <w:r>
        <w:t xml:space="preserve"> em terra, mar ou aéreo, costuma envolver grandes equipes e equipamentos, por vezes abrange grandes extensões de áreas, de tal forma </w:t>
      </w:r>
      <w:r w:rsidR="006A1C77">
        <w:t xml:space="preserve">que não se vislumbra que </w:t>
      </w:r>
      <w:r w:rsidR="002E3FFA">
        <w:t>a</w:t>
      </w:r>
      <w:r w:rsidR="006A1C77">
        <w:t xml:space="preserve"> mesm</w:t>
      </w:r>
      <w:r w:rsidR="002E3FFA">
        <w:t>a</w:t>
      </w:r>
      <w:r w:rsidR="006A1C77">
        <w:t xml:space="preserve"> </w:t>
      </w:r>
      <w:r w:rsidR="006A1C77">
        <w:lastRenderedPageBreak/>
        <w:t>possa iniciar sem o conhecimento imediato d</w:t>
      </w:r>
      <w:r w:rsidR="00BF3740">
        <w:t xml:space="preserve">esta </w:t>
      </w:r>
      <w:r w:rsidR="006A1C77">
        <w:t xml:space="preserve">agência </w:t>
      </w:r>
      <w:r w:rsidR="00BF3740">
        <w:t>reguladora</w:t>
      </w:r>
      <w:r w:rsidR="006A1C77">
        <w:t>.</w:t>
      </w:r>
    </w:p>
    <w:p w:rsidR="006A1C77" w:rsidRDefault="006A1C77" w:rsidP="005F4D54">
      <w:pPr>
        <w:spacing w:before="120" w:after="120" w:line="276" w:lineRule="auto"/>
        <w:ind w:firstLine="851"/>
      </w:pPr>
      <w:r>
        <w:t xml:space="preserve">Sendo assim, a proposta </w:t>
      </w:r>
      <w:r w:rsidR="00675A87">
        <w:t>apresentada</w:t>
      </w:r>
      <w:r>
        <w:t xml:space="preserve"> na minuta de resolução em </w:t>
      </w:r>
      <w:r w:rsidR="009073C1">
        <w:t>estudo</w:t>
      </w:r>
      <w:r>
        <w:t xml:space="preserve"> altera o prazo para</w:t>
      </w:r>
      <w:r w:rsidR="00F53968">
        <w:t xml:space="preserve"> que a</w:t>
      </w:r>
      <w:r>
        <w:t xml:space="preserve"> </w:t>
      </w:r>
      <w:r w:rsidR="00F53968">
        <w:t xml:space="preserve">comunicação do início das atividades ocorra </w:t>
      </w:r>
      <w:r w:rsidR="007E2C78">
        <w:t>com</w:t>
      </w:r>
      <w:r w:rsidR="00F53968">
        <w:t xml:space="preserve"> </w:t>
      </w:r>
      <w:r w:rsidR="00E85F23">
        <w:t>no mínimo</w:t>
      </w:r>
      <w:r w:rsidR="00F53968">
        <w:t xml:space="preserve"> </w:t>
      </w:r>
      <w:r w:rsidR="007E2C78">
        <w:t>um</w:t>
      </w:r>
      <w:r w:rsidR="00F53968">
        <w:t xml:space="preserve"> dia</w:t>
      </w:r>
      <w:r w:rsidR="007E2C78">
        <w:t xml:space="preserve"> de antecedência</w:t>
      </w:r>
      <w:r w:rsidR="00F53968">
        <w:t xml:space="preserve"> do início das operações, reduzindo significativamente o </w:t>
      </w:r>
      <w:r w:rsidR="005B4A28">
        <w:t>prejuízo alegado</w:t>
      </w:r>
      <w:r w:rsidR="00F53968">
        <w:t xml:space="preserve"> pelas EAD</w:t>
      </w:r>
      <w:r w:rsidR="007E2C78">
        <w:t>, mas</w:t>
      </w:r>
      <w:r w:rsidR="00F53968">
        <w:t xml:space="preserve"> garantindo </w:t>
      </w:r>
      <w:r w:rsidR="00BF3740">
        <w:t>o entendimento desta ANP.</w:t>
      </w:r>
      <w:r w:rsidR="00F53968">
        <w:t xml:space="preserve"> </w:t>
      </w:r>
      <w:r>
        <w:t xml:space="preserve"> </w:t>
      </w:r>
    </w:p>
    <w:p w:rsidR="006A1C77" w:rsidRDefault="007E2C78" w:rsidP="005F4D54">
      <w:pPr>
        <w:spacing w:before="120" w:after="120" w:line="276" w:lineRule="auto"/>
        <w:ind w:firstLine="851"/>
      </w:pPr>
      <w:r>
        <w:t>Quanto ao prazo para o envio à ANP dos dados brutos de</w:t>
      </w:r>
      <w:r w:rsidR="00FE6BD3">
        <w:t xml:space="preserve"> uma aquisição, foi acatada na í</w:t>
      </w:r>
      <w:r>
        <w:t xml:space="preserve">ntegra a proposta proferida pela IAGC, adequando a norma a uma prática por vezes </w:t>
      </w:r>
      <w:r w:rsidR="00A1091D">
        <w:t xml:space="preserve">já </w:t>
      </w:r>
      <w:r>
        <w:t>recorrente, passando</w:t>
      </w:r>
      <w:r w:rsidR="00675A87">
        <w:t xml:space="preserve"> o prazo</w:t>
      </w:r>
      <w:r>
        <w:t xml:space="preserve"> de 60 para até 90 dias após o término das operações, </w:t>
      </w:r>
      <w:r w:rsidR="00A1091D">
        <w:t>podendo ser prorrogado</w:t>
      </w:r>
      <w:r>
        <w:t xml:space="preserve"> quando </w:t>
      </w:r>
      <w:r w:rsidR="00675A87">
        <w:t xml:space="preserve">houver </w:t>
      </w:r>
      <w:r>
        <w:t>solicita</w:t>
      </w:r>
      <w:r w:rsidR="00675A87">
        <w:t xml:space="preserve">ção </w:t>
      </w:r>
      <w:r>
        <w:t>motivada.</w:t>
      </w:r>
    </w:p>
    <w:p w:rsidR="007E2C78" w:rsidRDefault="00A1091D" w:rsidP="00B3693B">
      <w:pPr>
        <w:spacing w:before="120" w:after="120" w:line="276" w:lineRule="auto"/>
        <w:ind w:firstLine="851"/>
      </w:pPr>
      <w:r>
        <w:t>A presente minuta</w:t>
      </w:r>
      <w:r w:rsidR="003B1769">
        <w:t xml:space="preserve"> de resolução</w:t>
      </w:r>
      <w:r>
        <w:t xml:space="preserve"> percebe ainda a possibilidade </w:t>
      </w:r>
      <w:r w:rsidR="00B3693B">
        <w:t>de o concessionário estender para além dos limites da concessão as operações de aquisição</w:t>
      </w:r>
      <w:r w:rsidR="002F1C4B">
        <w:t xml:space="preserve"> de dados</w:t>
      </w:r>
      <w:r w:rsidR="00B3693B">
        <w:t>, desde que os pontos amostrados com cobertura total em subsuperfície pertençam à área contratada.</w:t>
      </w:r>
      <w:r w:rsidR="002F1C4B">
        <w:t xml:space="preserve"> Essa alteração visa</w:t>
      </w:r>
      <w:r w:rsidR="00FE6BD3">
        <w:t xml:space="preserve"> a</w:t>
      </w:r>
      <w:r w:rsidR="002F1C4B">
        <w:t xml:space="preserve"> um alinhamento da norma a um entendimento já difundido nesta ANP, inclusive previsto em contratos de concessão recentes.</w:t>
      </w:r>
      <w:r w:rsidR="00B3693B">
        <w:t xml:space="preserve"> </w:t>
      </w:r>
    </w:p>
    <w:p w:rsidR="00C64D23" w:rsidRDefault="00C64D23" w:rsidP="00B3693B">
      <w:pPr>
        <w:pStyle w:val="PargrafodaLista"/>
        <w:numPr>
          <w:ilvl w:val="0"/>
          <w:numId w:val="32"/>
        </w:numPr>
        <w:spacing w:before="480" w:after="120" w:line="276" w:lineRule="auto"/>
        <w:ind w:left="714" w:hanging="357"/>
        <w:rPr>
          <w:u w:val="single"/>
        </w:rPr>
      </w:pPr>
      <w:r>
        <w:rPr>
          <w:u w:val="single"/>
        </w:rPr>
        <w:t>Do Sigilo</w:t>
      </w:r>
    </w:p>
    <w:p w:rsidR="005F5370" w:rsidRDefault="00C6261E" w:rsidP="00D907D3">
      <w:pPr>
        <w:spacing w:before="120" w:after="120" w:line="276" w:lineRule="auto"/>
      </w:pPr>
      <w:r>
        <w:t xml:space="preserve">Em relação aos períodos de sigilo dos dados exclusivos e não exclusivos, as alterações </w:t>
      </w:r>
      <w:r w:rsidR="005F5370">
        <w:t xml:space="preserve">foram no sentido de uniformizá-los e </w:t>
      </w:r>
      <w:r w:rsidR="00D907D3">
        <w:t xml:space="preserve">dirimir as dúvidas existentes </w:t>
      </w:r>
      <w:r w:rsidR="005F5370">
        <w:t xml:space="preserve">na </w:t>
      </w:r>
      <w:r w:rsidR="00D907D3">
        <w:t>aplicação</w:t>
      </w:r>
      <w:r w:rsidR="005F5370">
        <w:t xml:space="preserve"> da resolução em vigor. </w:t>
      </w:r>
    </w:p>
    <w:p w:rsidR="00BF683D" w:rsidRDefault="005F5370" w:rsidP="00D907D3">
      <w:pPr>
        <w:spacing w:before="120" w:after="120" w:line="276" w:lineRule="auto"/>
      </w:pPr>
      <w:r>
        <w:t>Nesse sentido, tanto os dados exclusivos como os dados não exclusivos de levantamentos geofísicos e geoquímicos, de aquisição e processamento, assim como os estudos</w:t>
      </w:r>
      <w:r w:rsidR="00BF683D">
        <w:t xml:space="preserve">, igualmente exclusivos e não exclusivos, </w:t>
      </w:r>
      <w:r w:rsidR="004F0351">
        <w:t xml:space="preserve">passarão a </w:t>
      </w:r>
      <w:r w:rsidR="00BF683D">
        <w:t>ter período de sigilo de 10 anos garantidos ao seu titular.</w:t>
      </w:r>
    </w:p>
    <w:p w:rsidR="00BF683D" w:rsidRDefault="00BF683D" w:rsidP="00D907D3">
      <w:pPr>
        <w:spacing w:before="120" w:after="120" w:line="276" w:lineRule="auto"/>
      </w:pPr>
      <w:r>
        <w:t xml:space="preserve">Em relação aos dados de poço, a nova resolução mantém o sigilo de dois anos a contar da data de conclusão do poço, mas esclarece que para os dados adquiridos em reentrada de poço, o prazo de dois anos de sigilo </w:t>
      </w:r>
      <w:r w:rsidR="004F0351">
        <w:t>passará a ser</w:t>
      </w:r>
      <w:r>
        <w:t xml:space="preserve"> contado a partir do término da intervenção.</w:t>
      </w:r>
    </w:p>
    <w:p w:rsidR="00E52BAC" w:rsidRDefault="00D907D3" w:rsidP="00D907D3">
      <w:pPr>
        <w:spacing w:before="120" w:after="120" w:line="276" w:lineRule="auto"/>
      </w:pPr>
      <w:r>
        <w:t>Ainda foram incluídos os prazos de cinco anos de sigilo para as amostras de rocha, sedimento ou fluido, e de dois anos de sigilo para as análises de amostras</w:t>
      </w:r>
      <w:r w:rsidR="006D20ED">
        <w:t>, a contar da conclusão da análise</w:t>
      </w:r>
      <w:r>
        <w:t>.</w:t>
      </w:r>
    </w:p>
    <w:p w:rsidR="000E4A87" w:rsidRDefault="000E4A87" w:rsidP="00D907D3">
      <w:pPr>
        <w:spacing w:before="120" w:after="120" w:line="276" w:lineRule="auto"/>
      </w:pPr>
      <w:r>
        <w:t xml:space="preserve">Outra mudança importante diz respeito ao tratamento dos dados exclusivos </w:t>
      </w:r>
      <w:r w:rsidR="00A37734">
        <w:t>em</w:t>
      </w:r>
      <w:r>
        <w:t xml:space="preserve"> período de sigilo quando da devolução parcial de área pela empresa concessionária. Estes não serão mais considerados públicos no momento da devolução</w:t>
      </w:r>
      <w:r w:rsidR="00A37734">
        <w:t xml:space="preserve"> parcial da área</w:t>
      </w:r>
      <w:r>
        <w:t>. A alteração precoce da classificação de sigilo, de sigiloso para público, só ocorrerá quando do encerramento do contrato. Nos casos em que o dado se sobreponha a mais de uma área contratada,</w:t>
      </w:r>
      <w:r w:rsidR="00A37734">
        <w:t xml:space="preserve"> prevalecerá sempre o sigilo relativo ao contrato de maior duração.</w:t>
      </w:r>
    </w:p>
    <w:p w:rsidR="00D907D3" w:rsidRDefault="00E52BAC" w:rsidP="00D907D3">
      <w:pPr>
        <w:spacing w:before="120" w:after="120" w:line="276" w:lineRule="auto"/>
      </w:pPr>
      <w:r>
        <w:lastRenderedPageBreak/>
        <w:t xml:space="preserve">Os demais prazos de sigilo, relativos aos metadados, dados de fomento e aos dados exclusivos provenientes de interpretação e que </w:t>
      </w:r>
      <w:r w:rsidR="005168EA">
        <w:t xml:space="preserve">comportam nítido conhecimento prático das empresas, </w:t>
      </w:r>
      <w:r>
        <w:t>não sofreram alterações.</w:t>
      </w:r>
    </w:p>
    <w:p w:rsidR="00C64D23" w:rsidRDefault="00C64D23" w:rsidP="0008160A">
      <w:pPr>
        <w:pStyle w:val="PargrafodaLista"/>
        <w:numPr>
          <w:ilvl w:val="0"/>
          <w:numId w:val="32"/>
        </w:numPr>
        <w:spacing w:before="480" w:after="120" w:line="276" w:lineRule="auto"/>
        <w:ind w:left="714" w:hanging="357"/>
        <w:rPr>
          <w:u w:val="single"/>
        </w:rPr>
      </w:pPr>
      <w:r>
        <w:rPr>
          <w:u w:val="single"/>
        </w:rPr>
        <w:t>Da Titularidade do Dado</w:t>
      </w:r>
      <w:r w:rsidR="008B7CD7">
        <w:rPr>
          <w:u w:val="single"/>
        </w:rPr>
        <w:t xml:space="preserve"> e Da Comercialização de Dados Públicos</w:t>
      </w:r>
    </w:p>
    <w:p w:rsidR="0043769E" w:rsidRDefault="0043769E" w:rsidP="0043769E">
      <w:pPr>
        <w:spacing w:before="120" w:after="120" w:line="276" w:lineRule="auto"/>
      </w:pPr>
      <w:r>
        <w:t>Consta na pre</w:t>
      </w:r>
      <w:r w:rsidR="00665F53">
        <w:t>sente proposta de resolução que</w:t>
      </w:r>
      <w:r>
        <w:t xml:space="preserve"> o titular do dado, isto é, a empresa responsável por sua aquisição, processamento ou criação, durante seu período de sigilo, estará autorizado a divulgar e</w:t>
      </w:r>
      <w:r w:rsidR="00AF0FF0">
        <w:t>/ou</w:t>
      </w:r>
      <w:r>
        <w:t xml:space="preserve"> compartilhar livremente o mesmo,</w:t>
      </w:r>
      <w:r w:rsidRPr="008E4B30">
        <w:t xml:space="preserve"> </w:t>
      </w:r>
      <w:r>
        <w:t>devendo apenas comunicar tal fato à ANP.</w:t>
      </w:r>
    </w:p>
    <w:p w:rsidR="0043769E" w:rsidRDefault="0043769E" w:rsidP="0043769E">
      <w:pPr>
        <w:spacing w:before="120" w:after="120" w:line="276" w:lineRule="auto"/>
      </w:pPr>
      <w:r>
        <w:t xml:space="preserve">É indicado </w:t>
      </w:r>
      <w:r w:rsidRPr="000354E2">
        <w:t>no art. 8º</w:t>
      </w:r>
      <w:r>
        <w:t xml:space="preserve"> da minuta de resolução </w:t>
      </w:r>
      <w:r w:rsidR="006D20ED">
        <w:t>em anexo</w:t>
      </w:r>
      <w:r>
        <w:t xml:space="preserve"> que após o período de sigilo do dado, sua titularidade passará em definitivo para a ANP e a empresa responsável por sua aquisição/criação passará a exercer a condição de usuária do mesmo, não podendo mais disponibilizá-los a terceiros, salvo exceções previstas no </w:t>
      </w:r>
      <w:r w:rsidR="000354E2">
        <w:t>art. 30</w:t>
      </w:r>
      <w:r>
        <w:t xml:space="preserve"> da referida minuta.</w:t>
      </w:r>
    </w:p>
    <w:p w:rsidR="0043769E" w:rsidRDefault="0043769E" w:rsidP="0043769E">
      <w:pPr>
        <w:spacing w:before="120" w:after="120" w:line="276" w:lineRule="auto"/>
      </w:pPr>
      <w:r>
        <w:t>Estas propos</w:t>
      </w:r>
      <w:r w:rsidR="00665F53">
        <w:t>ições tornam menos rígida</w:t>
      </w:r>
      <w:r>
        <w:t xml:space="preserve">s </w:t>
      </w:r>
      <w:proofErr w:type="gramStart"/>
      <w:r>
        <w:t>a</w:t>
      </w:r>
      <w:proofErr w:type="gramEnd"/>
      <w:r>
        <w:t xml:space="preserve"> gestão d</w:t>
      </w:r>
      <w:r w:rsidR="00E4769D">
        <w:t>o</w:t>
      </w:r>
      <w:r>
        <w:t xml:space="preserve"> acesso aos dados que se encontram em período de sigilo, facultando, em parte, ao ente regulado titular desse dado,</w:t>
      </w:r>
      <w:r w:rsidRPr="00523534">
        <w:t xml:space="preserve"> </w:t>
      </w:r>
      <w:r>
        <w:t xml:space="preserve">sua administração. </w:t>
      </w:r>
    </w:p>
    <w:p w:rsidR="0043769E" w:rsidRPr="0043769E" w:rsidRDefault="0043769E" w:rsidP="0043769E">
      <w:pPr>
        <w:spacing w:before="120" w:after="120" w:line="276" w:lineRule="auto"/>
      </w:pPr>
      <w:r>
        <w:t xml:space="preserve">A presente minuta de resolução acena ainda para a possibilidade de a ANP vir a credenciar empresas para que estas possam comercializar dados públicos, mas, no entanto, esclarece que os critérios e procedimentos para tal credenciamento será alvo de resolução específica, que </w:t>
      </w:r>
      <w:r w:rsidR="004F0351">
        <w:t>se encontra</w:t>
      </w:r>
      <w:r>
        <w:t xml:space="preserve"> no prelo.</w:t>
      </w:r>
    </w:p>
    <w:p w:rsidR="0043769E" w:rsidRPr="00CA30AD" w:rsidRDefault="0043769E" w:rsidP="0008160A">
      <w:pPr>
        <w:pStyle w:val="PargrafodaLista"/>
        <w:numPr>
          <w:ilvl w:val="0"/>
          <w:numId w:val="32"/>
        </w:numPr>
        <w:spacing w:before="480" w:after="120" w:line="276" w:lineRule="auto"/>
        <w:ind w:left="714" w:hanging="357"/>
        <w:rPr>
          <w:u w:val="single"/>
        </w:rPr>
      </w:pPr>
      <w:r w:rsidRPr="00CA30AD">
        <w:rPr>
          <w:u w:val="single"/>
        </w:rPr>
        <w:t>Do Acesso aos Dados</w:t>
      </w:r>
    </w:p>
    <w:p w:rsidR="0008160A" w:rsidRDefault="008944F7" w:rsidP="0043769E">
      <w:pPr>
        <w:spacing w:before="120" w:after="120" w:line="276" w:lineRule="auto"/>
      </w:pPr>
      <w:r>
        <w:t xml:space="preserve">Quanto ao acesso aos dados armazenados no BDEP, foram </w:t>
      </w:r>
      <w:r w:rsidR="009073C1">
        <w:t>propostas</w:t>
      </w:r>
      <w:r>
        <w:t xml:space="preserve"> as seguintes modificações</w:t>
      </w:r>
      <w:r w:rsidR="009073C1">
        <w:t xml:space="preserve"> na minuta de resolução em apreço</w:t>
      </w:r>
      <w:r>
        <w:t>:</w:t>
      </w:r>
    </w:p>
    <w:p w:rsidR="00561BA9" w:rsidRDefault="008944F7" w:rsidP="0056789C">
      <w:pPr>
        <w:ind w:firstLine="0"/>
      </w:pPr>
      <w:r>
        <w:t>1 –</w:t>
      </w:r>
      <w:r w:rsidR="00E76723">
        <w:t xml:space="preserve"> </w:t>
      </w:r>
      <w:r w:rsidR="00561BA9">
        <w:t>extin</w:t>
      </w:r>
      <w:r w:rsidR="009073C1">
        <w:t>ção</w:t>
      </w:r>
      <w:r w:rsidR="00A37734">
        <w:t xml:space="preserve"> </w:t>
      </w:r>
      <w:r w:rsidR="009073C1">
        <w:t>d</w:t>
      </w:r>
      <w:r w:rsidR="00A37734">
        <w:t>as exigências relativas às pessoas físicas e jurídicas serem residentes no Brasil e constituídas sob as lei</w:t>
      </w:r>
      <w:r w:rsidR="00561BA9">
        <w:t>s brasileiras, respectivamente;</w:t>
      </w:r>
    </w:p>
    <w:p w:rsidR="00561BA9" w:rsidRDefault="00E76723" w:rsidP="008944F7">
      <w:pPr>
        <w:spacing w:before="120" w:after="120" w:line="276" w:lineRule="auto"/>
        <w:ind w:firstLine="0"/>
      </w:pPr>
      <w:r>
        <w:t xml:space="preserve">2 – substituição do “Termo de Autorização de Uso do Banco de Dados de Exploração e Produção” por modelo de </w:t>
      </w:r>
      <w:r w:rsidR="00561BA9">
        <w:t>“</w:t>
      </w:r>
      <w:r>
        <w:t>adesão</w:t>
      </w:r>
      <w:r w:rsidR="00561BA9">
        <w:t>”</w:t>
      </w:r>
      <w:r>
        <w:t xml:space="preserve"> ao BDEP;</w:t>
      </w:r>
    </w:p>
    <w:p w:rsidR="00E76723" w:rsidRDefault="001B4974" w:rsidP="008944F7">
      <w:pPr>
        <w:spacing w:before="120" w:after="120" w:line="276" w:lineRule="auto"/>
        <w:ind w:firstLine="0"/>
      </w:pPr>
      <w:r>
        <w:t xml:space="preserve">3 </w:t>
      </w:r>
      <w:r w:rsidR="00E76723">
        <w:t xml:space="preserve">– redução da quantidade necessária de documentos apresentados </w:t>
      </w:r>
      <w:r w:rsidR="00561BA9">
        <w:t xml:space="preserve">por usuários eventuais </w:t>
      </w:r>
      <w:r w:rsidR="003B623C">
        <w:t>para acesso ao</w:t>
      </w:r>
      <w:r w:rsidR="00561BA9">
        <w:t>s</w:t>
      </w:r>
      <w:r w:rsidR="003B623C">
        <w:t xml:space="preserve"> dado</w:t>
      </w:r>
      <w:r w:rsidR="00561BA9">
        <w:t>s</w:t>
      </w:r>
      <w:r w:rsidR="00E76723">
        <w:t>;</w:t>
      </w:r>
    </w:p>
    <w:p w:rsidR="001B4974" w:rsidRDefault="009073C1" w:rsidP="008944F7">
      <w:pPr>
        <w:spacing w:before="120" w:after="120" w:line="276" w:lineRule="auto"/>
        <w:ind w:firstLine="0"/>
      </w:pPr>
      <w:r>
        <w:t>4</w:t>
      </w:r>
      <w:r w:rsidR="001B4974">
        <w:t xml:space="preserve"> </w:t>
      </w:r>
      <w:r w:rsidR="003B623C">
        <w:t>–</w:t>
      </w:r>
      <w:r w:rsidR="001B4974">
        <w:t xml:space="preserve"> </w:t>
      </w:r>
      <w:r w:rsidR="003B623C">
        <w:t>simplificação e aumento das cotas de dados destinadas às universidades e instituição de pesquisa;</w:t>
      </w:r>
    </w:p>
    <w:p w:rsidR="003B623C" w:rsidRDefault="009073C1" w:rsidP="008944F7">
      <w:pPr>
        <w:spacing w:before="120" w:after="120" w:line="276" w:lineRule="auto"/>
        <w:ind w:firstLine="0"/>
      </w:pPr>
      <w:r>
        <w:t>5</w:t>
      </w:r>
      <w:r w:rsidR="003B623C">
        <w:t xml:space="preserve"> – simplificação dos tramites necessários para liberação de dados técnicos públicos às universidades e instituições de pesquisa</w:t>
      </w:r>
      <w:r w:rsidR="00561BA9">
        <w:t>.</w:t>
      </w:r>
    </w:p>
    <w:p w:rsidR="00561BA9" w:rsidRDefault="009073C1" w:rsidP="008944F7">
      <w:pPr>
        <w:spacing w:before="120" w:after="120" w:line="276" w:lineRule="auto"/>
        <w:ind w:firstLine="0"/>
      </w:pPr>
      <w:r>
        <w:tab/>
      </w:r>
      <w:r w:rsidR="0056789C">
        <w:t>Todas e</w:t>
      </w:r>
      <w:r>
        <w:t>ssas alterações</w:t>
      </w:r>
      <w:r w:rsidR="0056789C">
        <w:t xml:space="preserve"> visam</w:t>
      </w:r>
      <w:r w:rsidR="009518AF">
        <w:t xml:space="preserve"> a</w:t>
      </w:r>
      <w:r w:rsidR="0056789C">
        <w:t xml:space="preserve"> universalizar o acesso aos dados públicos </w:t>
      </w:r>
      <w:r w:rsidR="0056789C">
        <w:lastRenderedPageBreak/>
        <w:t xml:space="preserve">armazenados no Banco de Dados de Exploração e Produção da ANP. </w:t>
      </w:r>
      <w:r w:rsidR="009518AF">
        <w:t>Espera-se com isso difundir o conhecimento sobre as bacias sedimentares brasileiras e, ato contínuo, despertar interesse d</w:t>
      </w:r>
      <w:r w:rsidR="00E85F23">
        <w:t>e</w:t>
      </w:r>
      <w:r w:rsidR="009518AF">
        <w:t xml:space="preserve"> empresas nas rodadas de licitação </w:t>
      </w:r>
      <w:r w:rsidR="009C1151">
        <w:t>da ANP</w:t>
      </w:r>
      <w:r w:rsidR="009518AF">
        <w:t>.</w:t>
      </w:r>
    </w:p>
    <w:p w:rsidR="005F7EB4" w:rsidRPr="008270A1" w:rsidRDefault="001729AE" w:rsidP="000603A8">
      <w:pPr>
        <w:pStyle w:val="Ttulo1"/>
        <w:tabs>
          <w:tab w:val="clear" w:pos="432"/>
          <w:tab w:val="num" w:pos="1134"/>
        </w:tabs>
        <w:spacing w:before="480" w:line="276" w:lineRule="auto"/>
        <w:ind w:left="1134" w:hanging="1134"/>
      </w:pPr>
      <w:r>
        <w:t>INTERESSE DA ADMINISTRAÇÃO</w:t>
      </w:r>
      <w:r w:rsidR="00214042" w:rsidRPr="008270A1">
        <w:t xml:space="preserve"> </w:t>
      </w:r>
    </w:p>
    <w:p w:rsidR="00CB09F4" w:rsidRDefault="00497974" w:rsidP="00497974">
      <w:pPr>
        <w:tabs>
          <w:tab w:val="left" w:pos="851"/>
        </w:tabs>
        <w:spacing w:before="120" w:after="120" w:line="276" w:lineRule="auto"/>
        <w:ind w:firstLine="0"/>
      </w:pPr>
      <w:r w:rsidRPr="008270A1">
        <w:tab/>
      </w:r>
      <w:r w:rsidR="005B1217">
        <w:t>As r</w:t>
      </w:r>
      <w:r w:rsidR="002D64B6">
        <w:t xml:space="preserve">esoluções ANP </w:t>
      </w:r>
      <w:r w:rsidR="00CB09F4">
        <w:t>nº 11/2011 e ANP nº 1/2015 se complementam e juntas são de fundamental importância para o ordenamento do setor de exploração, produção e desenvolvimento de petróleo e gás natural no Brasil.</w:t>
      </w:r>
    </w:p>
    <w:p w:rsidR="008B1DA9" w:rsidRDefault="00FF6FA8" w:rsidP="00497974">
      <w:pPr>
        <w:tabs>
          <w:tab w:val="left" w:pos="851"/>
        </w:tabs>
        <w:spacing w:before="120" w:after="120" w:line="276" w:lineRule="auto"/>
        <w:ind w:firstLine="0"/>
      </w:pPr>
      <w:r>
        <w:tab/>
      </w:r>
      <w:r w:rsidR="008B1DA9">
        <w:t>O modo</w:t>
      </w:r>
      <w:r>
        <w:t xml:space="preserve"> como estes assuntos encontram-se dispostos hoje, </w:t>
      </w:r>
      <w:r w:rsidR="00F0461F">
        <w:t>com</w:t>
      </w:r>
      <w:r>
        <w:t xml:space="preserve"> a</w:t>
      </w:r>
      <w:r w:rsidR="003B373A">
        <w:t>s diretrizes à autorização para</w:t>
      </w:r>
      <w:r>
        <w:t xml:space="preserve"> aquisição</w:t>
      </w:r>
      <w:r w:rsidR="003B373A">
        <w:t xml:space="preserve"> de dados na Res. 11/2011</w:t>
      </w:r>
      <w:r w:rsidR="00F0461F">
        <w:t xml:space="preserve"> e</w:t>
      </w:r>
      <w:r w:rsidR="002F1C4B">
        <w:t xml:space="preserve"> </w:t>
      </w:r>
      <w:r w:rsidR="003B373A">
        <w:t xml:space="preserve">as instruções </w:t>
      </w:r>
      <w:r w:rsidR="00F0461F">
        <w:t>à</w:t>
      </w:r>
      <w:r w:rsidR="003B373A">
        <w:t xml:space="preserve"> autorização para rep</w:t>
      </w:r>
      <w:r w:rsidR="00F0461F">
        <w:t>rocessamento,</w:t>
      </w:r>
      <w:r w:rsidR="003B373A">
        <w:t xml:space="preserve"> elaboração de estudos e</w:t>
      </w:r>
      <w:r w:rsidR="00F0461F">
        <w:t xml:space="preserve"> </w:t>
      </w:r>
      <w:r w:rsidR="003B373A">
        <w:t xml:space="preserve">acesso às informações e dados técnicos na Res. 1/2015, </w:t>
      </w:r>
      <w:r w:rsidR="008B1DA9">
        <w:t>cria obstáculos desnecessários à compreensão da matéria, por vezes confundindo a correta aplicação da norma.</w:t>
      </w:r>
    </w:p>
    <w:p w:rsidR="00501496" w:rsidRDefault="008B1DA9" w:rsidP="00497974">
      <w:pPr>
        <w:tabs>
          <w:tab w:val="left" w:pos="851"/>
        </w:tabs>
        <w:spacing w:before="120" w:after="120" w:line="276" w:lineRule="auto"/>
        <w:ind w:firstLine="0"/>
      </w:pPr>
      <w:r>
        <w:tab/>
        <w:t>É cediço</w:t>
      </w:r>
      <w:r w:rsidR="00501496">
        <w:t xml:space="preserve"> </w:t>
      </w:r>
      <w:r>
        <w:t>que a administração pública</w:t>
      </w:r>
      <w:r w:rsidR="00501496">
        <w:t xml:space="preserve"> vem</w:t>
      </w:r>
      <w:r>
        <w:t xml:space="preserve"> busca</w:t>
      </w:r>
      <w:r w:rsidR="00501496">
        <w:t>n</w:t>
      </w:r>
      <w:r>
        <w:t>do cada vez mais se desburocratizar</w:t>
      </w:r>
      <w:r w:rsidR="00501496">
        <w:t>, não diminuindo suas prerrogativas, mas modernizando sua gestão em busca de eficiência.</w:t>
      </w:r>
    </w:p>
    <w:p w:rsidR="00881160" w:rsidRDefault="00881160" w:rsidP="00881160">
      <w:pPr>
        <w:tabs>
          <w:tab w:val="left" w:pos="851"/>
        </w:tabs>
        <w:spacing w:before="120" w:after="120" w:line="276" w:lineRule="auto"/>
        <w:ind w:firstLine="0"/>
      </w:pPr>
      <w:r>
        <w:tab/>
        <w:t>Nesse sentido, torna-se imperativ</w:t>
      </w:r>
      <w:r w:rsidR="00665F53">
        <w:t>a</w:t>
      </w:r>
      <w:r>
        <w:t xml:space="preserve"> a revisão das resoluções em comento, motivo pelo qual essa tarefa foi incluída na proposta da Agenda Regulatória da ANP. Trata-se não só de demanda interna, mas </w:t>
      </w:r>
      <w:r w:rsidR="006D20ED">
        <w:t>d</w:t>
      </w:r>
      <w:r w:rsidR="009753FB">
        <w:t>as empresas</w:t>
      </w:r>
      <w:r>
        <w:t xml:space="preserve"> </w:t>
      </w:r>
      <w:r w:rsidR="009753FB">
        <w:t>d</w:t>
      </w:r>
      <w:r>
        <w:t>o setor de petróleo e gás</w:t>
      </w:r>
      <w:r w:rsidR="002F1C4B">
        <w:t xml:space="preserve"> natural</w:t>
      </w:r>
      <w:r>
        <w:t xml:space="preserve"> e</w:t>
      </w:r>
      <w:r w:rsidR="009753FB">
        <w:t>nvolvidas</w:t>
      </w:r>
      <w:r>
        <w:t xml:space="preserve"> com a aquisição, comercialização e utilização dos dados e informações técnicas</w:t>
      </w:r>
      <w:r w:rsidR="00C70FAE">
        <w:t xml:space="preserve"> de exploração e produção</w:t>
      </w:r>
      <w:r w:rsidR="00956AD0">
        <w:t xml:space="preserve"> de petróleo e gás natural</w:t>
      </w:r>
      <w:r>
        <w:t xml:space="preserve">, </w:t>
      </w:r>
      <w:r w:rsidR="009753FB">
        <w:t>a julgar pela</w:t>
      </w:r>
      <w:r>
        <w:t xml:space="preserve"> grande participação </w:t>
      </w:r>
      <w:r w:rsidR="009753FB">
        <w:t>dessas</w:t>
      </w:r>
      <w:r>
        <w:t xml:space="preserve"> empresas ao longo de todo o processo (vide relação das contribuições no Anexo II).</w:t>
      </w:r>
    </w:p>
    <w:p w:rsidR="00CB09F4" w:rsidRDefault="005B1217" w:rsidP="00497974">
      <w:pPr>
        <w:tabs>
          <w:tab w:val="left" w:pos="851"/>
        </w:tabs>
        <w:spacing w:before="120" w:after="120" w:line="276" w:lineRule="auto"/>
        <w:ind w:firstLine="0"/>
      </w:pPr>
      <w:r>
        <w:tab/>
      </w:r>
      <w:r w:rsidR="000E39B3">
        <w:t>Ante o exposto</w:t>
      </w:r>
      <w:r>
        <w:t xml:space="preserve">, consideramos que o presente trabalho de revisão, que resultou na união das resoluções ANP nº 11/2011 e ANP nº 1/2015, imprime celeridade e clareza </w:t>
      </w:r>
      <w:r w:rsidR="00881160">
        <w:t>às</w:t>
      </w:r>
      <w:r>
        <w:t xml:space="preserve"> etapas burocráticas que envolvem os processos de autorizações, tornando </w:t>
      </w:r>
      <w:r w:rsidR="000E39B3">
        <w:t>su</w:t>
      </w:r>
      <w:r>
        <w:t>a fiscalização mais efetiva</w:t>
      </w:r>
      <w:r w:rsidR="000E39B3">
        <w:t xml:space="preserve"> por esta agência reguladora</w:t>
      </w:r>
      <w:r>
        <w:t xml:space="preserve">, e ainda facilita o acesso aos dados e informações técnicas, possibilitando maior geração de conhecimento sobre as bacias sedimentares brasileiras.  </w:t>
      </w:r>
    </w:p>
    <w:p w:rsidR="00BD22E3" w:rsidRPr="008270A1" w:rsidRDefault="0056056F" w:rsidP="000603A8">
      <w:pPr>
        <w:pStyle w:val="Ttulo1"/>
        <w:tabs>
          <w:tab w:val="clear" w:pos="432"/>
          <w:tab w:val="num" w:pos="1134"/>
        </w:tabs>
        <w:spacing w:before="480" w:line="276" w:lineRule="auto"/>
        <w:ind w:left="1134" w:hanging="1134"/>
      </w:pPr>
      <w:r>
        <w:t>IMPA</w:t>
      </w:r>
      <w:r w:rsidR="001729AE">
        <w:t>CTO REGULATÓRIO</w:t>
      </w:r>
    </w:p>
    <w:p w:rsidR="000E39B3" w:rsidRDefault="005C0911" w:rsidP="00A17568">
      <w:pPr>
        <w:spacing w:before="120" w:after="120" w:line="276" w:lineRule="auto"/>
        <w:ind w:firstLine="851"/>
      </w:pPr>
      <w:r>
        <w:t>As alterações propostas na presente minuta de resolução visam, de modo geral, uma sim</w:t>
      </w:r>
      <w:r w:rsidR="00665F53">
        <w:t>plificação dos trâ</w:t>
      </w:r>
      <w:r>
        <w:t>mites administrativos relacionados às autorizações para aquisição de dados, processamento e elaboração de estudos com fins</w:t>
      </w:r>
      <w:r w:rsidR="006F6C4E">
        <w:t xml:space="preserve"> de comercialização</w:t>
      </w:r>
      <w:r>
        <w:t>, e ainda a facilitar o acesso aos dados e informações técnicas pelos entes regulados, universidades</w:t>
      </w:r>
      <w:r w:rsidR="006F6C4E">
        <w:t xml:space="preserve"> e</w:t>
      </w:r>
      <w:r>
        <w:t xml:space="preserve"> instituições de pesquisa</w:t>
      </w:r>
      <w:r w:rsidR="006F6C4E">
        <w:t>, e pela sociedade como um todo</w:t>
      </w:r>
      <w:r w:rsidR="000E39B3">
        <w:t>.</w:t>
      </w:r>
    </w:p>
    <w:p w:rsidR="006F6C4E" w:rsidRDefault="006F6C4E" w:rsidP="00A17568">
      <w:pPr>
        <w:spacing w:before="120" w:after="120" w:line="276" w:lineRule="auto"/>
        <w:ind w:firstLine="851"/>
      </w:pPr>
      <w:r>
        <w:t xml:space="preserve">Destarte, entende-se que o impacto causado pelas mudanças aqui propostas é </w:t>
      </w:r>
      <w:r>
        <w:lastRenderedPageBreak/>
        <w:t xml:space="preserve">positivo, tanto para a ANP, que </w:t>
      </w:r>
      <w:r w:rsidR="00560AC1">
        <w:t xml:space="preserve">passará </w:t>
      </w:r>
      <w:r>
        <w:t>a ter uma fiscalização m</w:t>
      </w:r>
      <w:r w:rsidR="00560AC1">
        <w:t>ais efetiva e eficiente sobre os processos de autorizações, quanto para</w:t>
      </w:r>
      <w:r>
        <w:t xml:space="preserve"> os </w:t>
      </w:r>
      <w:r w:rsidR="008D252A">
        <w:t>ag</w:t>
      </w:r>
      <w:r>
        <w:t>entes regulados, que serão desonerados de uma série de etapas identificadas como desnecessárias por esta ANP</w:t>
      </w:r>
      <w:r w:rsidR="00560AC1">
        <w:t>.</w:t>
      </w:r>
    </w:p>
    <w:p w:rsidR="00A46013" w:rsidRDefault="00560AC1" w:rsidP="00A17568">
      <w:pPr>
        <w:spacing w:before="120" w:after="120" w:line="276" w:lineRule="auto"/>
        <w:ind w:firstLine="851"/>
      </w:pPr>
      <w:r>
        <w:t xml:space="preserve">Espera-se ainda </w:t>
      </w:r>
      <w:r w:rsidR="00392F67">
        <w:t>possibilitar</w:t>
      </w:r>
      <w:r>
        <w:t xml:space="preserve"> maior </w:t>
      </w:r>
      <w:r w:rsidR="00392F67">
        <w:t>acesso</w:t>
      </w:r>
      <w:r>
        <w:t xml:space="preserve"> aos dados e informações técnicas, seja pela </w:t>
      </w:r>
      <w:proofErr w:type="gramStart"/>
      <w:r>
        <w:t>flexibilização</w:t>
      </w:r>
      <w:proofErr w:type="gramEnd"/>
      <w:r>
        <w:t xml:space="preserve"> conferida às empresas titulares do dado</w:t>
      </w:r>
      <w:r w:rsidR="006D20ED">
        <w:t>,</w:t>
      </w:r>
      <w:r w:rsidR="00A46013">
        <w:t xml:space="preserve"> durante seu período de sigilo</w:t>
      </w:r>
      <w:r>
        <w:t>,</w:t>
      </w:r>
      <w:r w:rsidR="006D20ED">
        <w:t xml:space="preserve"> seja</w:t>
      </w:r>
      <w:r>
        <w:t xml:space="preserve"> pelo aumento e simplificação das cotas destinadas às universidades e instituições de pesquisa</w:t>
      </w:r>
      <w:r w:rsidR="00A46013">
        <w:t>, ou ainda pela possibilidade da</w:t>
      </w:r>
      <w:r>
        <w:t xml:space="preserve"> comercialização de dados públicos</w:t>
      </w:r>
      <w:r w:rsidR="00A46013">
        <w:t xml:space="preserve"> por empresas credenciadas, cujas condições serão alvo de resolução específica </w:t>
      </w:r>
      <w:r w:rsidR="004D1DDD">
        <w:t>em breve.</w:t>
      </w:r>
      <w:r w:rsidR="00A46013">
        <w:t xml:space="preserve"> </w:t>
      </w:r>
      <w:r w:rsidR="004D1DDD">
        <w:t>C</w:t>
      </w:r>
      <w:r w:rsidR="00A46013">
        <w:t>om isso, ambiciona-se</w:t>
      </w:r>
      <w:r w:rsidR="004D1DDD">
        <w:t xml:space="preserve"> fomentar, em alguma escala, o conhecimento sobre </w:t>
      </w:r>
      <w:r w:rsidR="00A46013">
        <w:t xml:space="preserve">as bacias sedimentares brasileiras, </w:t>
      </w:r>
      <w:r w:rsidR="004D1DDD">
        <w:t xml:space="preserve">ativo </w:t>
      </w:r>
      <w:r w:rsidR="00A46013">
        <w:t>fundamental</w:t>
      </w:r>
      <w:r w:rsidR="004D1DDD">
        <w:t xml:space="preserve"> </w:t>
      </w:r>
      <w:r w:rsidR="006D20ED">
        <w:t xml:space="preserve">na </w:t>
      </w:r>
      <w:r w:rsidR="00A46013">
        <w:t>exploração d</w:t>
      </w:r>
      <w:r w:rsidR="004D1DDD">
        <w:t>e</w:t>
      </w:r>
      <w:r w:rsidR="00A46013">
        <w:t xml:space="preserve"> petróleo e gás natural.   </w:t>
      </w:r>
    </w:p>
    <w:p w:rsidR="00434817" w:rsidRDefault="00434817" w:rsidP="00A17568">
      <w:pPr>
        <w:spacing w:before="120" w:after="120" w:line="276" w:lineRule="auto"/>
        <w:ind w:firstLine="851"/>
      </w:pPr>
      <w:r>
        <w:t>Entende-se que efeitos contraproducentes decorrentes de adequações necessárias à nova resolução por parte das empresas reguladas tenham sido minimizados devido à ampla participação destas ao longo de todo o processo de revisão.</w:t>
      </w:r>
    </w:p>
    <w:p w:rsidR="009753FB" w:rsidRDefault="006F6C4E" w:rsidP="009753FB">
      <w:pPr>
        <w:spacing w:before="120" w:after="120" w:line="276" w:lineRule="auto"/>
        <w:ind w:firstLine="851"/>
      </w:pPr>
      <w:r>
        <w:t>Em restando implicaç</w:t>
      </w:r>
      <w:r w:rsidR="009753FB">
        <w:t>ões</w:t>
      </w:r>
      <w:r>
        <w:t xml:space="preserve"> negativa</w:t>
      </w:r>
      <w:r w:rsidR="009753FB">
        <w:t>s</w:t>
      </w:r>
      <w:r w:rsidR="00D17C38">
        <w:t xml:space="preserve"> </w:t>
      </w:r>
      <w:r w:rsidR="009753FB">
        <w:t>não identificadas</w:t>
      </w:r>
      <w:r w:rsidR="00055A38">
        <w:t xml:space="preserve"> aqui, </w:t>
      </w:r>
      <w:r w:rsidR="00D17C38">
        <w:t>espera-se que essas possam ser le</w:t>
      </w:r>
      <w:r w:rsidR="009753FB">
        <w:t xml:space="preserve">vantadas e analisadas durante o período </w:t>
      </w:r>
      <w:r w:rsidR="00D17C38">
        <w:t>de consulta e audiência pública</w:t>
      </w:r>
      <w:r w:rsidR="00055A38">
        <w:t>.</w:t>
      </w:r>
    </w:p>
    <w:p w:rsidR="00BB2F10" w:rsidRPr="008270A1" w:rsidRDefault="00BB2F10" w:rsidP="000603A8">
      <w:pPr>
        <w:pStyle w:val="Ttulo1"/>
        <w:tabs>
          <w:tab w:val="clear" w:pos="432"/>
          <w:tab w:val="num" w:pos="1134"/>
        </w:tabs>
        <w:spacing w:before="480" w:line="276" w:lineRule="auto"/>
        <w:ind w:left="1134" w:hanging="1134"/>
      </w:pPr>
      <w:r w:rsidRPr="008270A1">
        <w:t>CONCLUSÃO</w:t>
      </w:r>
    </w:p>
    <w:p w:rsidR="00F50067" w:rsidRPr="008270A1" w:rsidRDefault="00676B57" w:rsidP="00584658">
      <w:pPr>
        <w:pStyle w:val="Cabealho"/>
        <w:tabs>
          <w:tab w:val="left" w:pos="851"/>
        </w:tabs>
        <w:spacing w:before="120" w:after="120" w:line="276" w:lineRule="auto"/>
        <w:ind w:firstLine="851"/>
        <w:rPr>
          <w:noProof/>
        </w:rPr>
      </w:pPr>
      <w:r>
        <w:rPr>
          <w:noProof/>
        </w:rPr>
        <w:t>Por</w:t>
      </w:r>
      <w:r w:rsidR="00B34846">
        <w:rPr>
          <w:noProof/>
        </w:rPr>
        <w:t xml:space="preserve"> todo </w:t>
      </w:r>
      <w:r w:rsidR="00E53ABF">
        <w:rPr>
          <w:noProof/>
        </w:rPr>
        <w:t>e</w:t>
      </w:r>
      <w:r w:rsidR="00B34846">
        <w:rPr>
          <w:noProof/>
        </w:rPr>
        <w:t>xposto</w:t>
      </w:r>
      <w:r w:rsidR="00F50067" w:rsidRPr="008270A1">
        <w:rPr>
          <w:noProof/>
        </w:rPr>
        <w:t xml:space="preserve">, fica caracterizada a relevância </w:t>
      </w:r>
      <w:r w:rsidR="00DD0971" w:rsidRPr="008270A1">
        <w:rPr>
          <w:noProof/>
        </w:rPr>
        <w:t xml:space="preserve">da </w:t>
      </w:r>
      <w:r w:rsidR="00165066">
        <w:rPr>
          <w:noProof/>
        </w:rPr>
        <w:t>revisão das resoluções</w:t>
      </w:r>
      <w:r w:rsidR="00B34846">
        <w:rPr>
          <w:noProof/>
        </w:rPr>
        <w:t xml:space="preserve"> ANP nº 11/2011 e ANP nº 1/2015</w:t>
      </w:r>
      <w:r w:rsidR="00AC0164">
        <w:rPr>
          <w:noProof/>
        </w:rPr>
        <w:t>,</w:t>
      </w:r>
      <w:r w:rsidR="0093294B">
        <w:rPr>
          <w:noProof/>
        </w:rPr>
        <w:t xml:space="preserve"> que resulta na min</w:t>
      </w:r>
      <w:r w:rsidR="00083912">
        <w:rPr>
          <w:noProof/>
        </w:rPr>
        <w:t>uta de resolução em anexo (Anexo I)</w:t>
      </w:r>
      <w:r w:rsidR="00B34846">
        <w:rPr>
          <w:noProof/>
        </w:rPr>
        <w:t>, bem como seus benefícios para a Administração e Agentes Regulados. Recomenda-se</w:t>
      </w:r>
      <w:r w:rsidR="00E53ABF">
        <w:rPr>
          <w:noProof/>
        </w:rPr>
        <w:t xml:space="preserve"> </w:t>
      </w:r>
      <w:r w:rsidR="00584658">
        <w:rPr>
          <w:noProof/>
        </w:rPr>
        <w:t xml:space="preserve">submetê-la à </w:t>
      </w:r>
      <w:r w:rsidR="00083912">
        <w:rPr>
          <w:noProof/>
        </w:rPr>
        <w:t>PRG</w:t>
      </w:r>
      <w:r w:rsidR="00584658">
        <w:rPr>
          <w:noProof/>
        </w:rPr>
        <w:t xml:space="preserve"> para análise</w:t>
      </w:r>
      <w:r w:rsidR="00083912">
        <w:rPr>
          <w:noProof/>
        </w:rPr>
        <w:t>. Após, consulta e audiência pública.</w:t>
      </w:r>
    </w:p>
    <w:p w:rsidR="00F50067" w:rsidRPr="008270A1" w:rsidRDefault="00F50067" w:rsidP="000603A8">
      <w:pPr>
        <w:spacing w:line="276" w:lineRule="auto"/>
      </w:pPr>
    </w:p>
    <w:p w:rsidR="009A6835" w:rsidRPr="008270A1" w:rsidRDefault="009A6835" w:rsidP="000603A8">
      <w:pPr>
        <w:spacing w:before="120" w:after="120" w:line="276" w:lineRule="auto"/>
        <w:ind w:firstLine="851"/>
      </w:pPr>
      <w:bookmarkStart w:id="0" w:name="_Toc360722736"/>
      <w:r w:rsidRPr="008270A1">
        <w:t xml:space="preserve">Rio de Janeiro, </w:t>
      </w:r>
      <w:r w:rsidR="00415C90">
        <w:t>09</w:t>
      </w:r>
      <w:r w:rsidR="00242FAD" w:rsidRPr="008270A1">
        <w:t xml:space="preserve"> </w:t>
      </w:r>
      <w:r w:rsidRPr="008270A1">
        <w:t xml:space="preserve">de </w:t>
      </w:r>
      <w:r w:rsidR="00566B47">
        <w:t>janeiro</w:t>
      </w:r>
      <w:r w:rsidRPr="008270A1">
        <w:t xml:space="preserve"> de 201</w:t>
      </w:r>
      <w:r w:rsidR="00566B47">
        <w:t>8</w:t>
      </w:r>
      <w:r w:rsidRPr="008270A1">
        <w:t>.</w:t>
      </w:r>
    </w:p>
    <w:p w:rsidR="00DD0971" w:rsidRDefault="00DD0971" w:rsidP="00165066">
      <w:pPr>
        <w:spacing w:before="120" w:after="120" w:line="276" w:lineRule="auto"/>
        <w:ind w:firstLine="0"/>
        <w:contextualSpacing/>
        <w:rPr>
          <w:b/>
        </w:rPr>
      </w:pPr>
    </w:p>
    <w:p w:rsidR="00681399" w:rsidRDefault="00681399" w:rsidP="00165066">
      <w:pPr>
        <w:spacing w:before="120" w:after="120" w:line="276" w:lineRule="auto"/>
        <w:ind w:firstLine="0"/>
        <w:contextualSpacing/>
        <w:rPr>
          <w:b/>
        </w:rPr>
      </w:pPr>
    </w:p>
    <w:p w:rsidR="00CF4B20" w:rsidRPr="008270A1" w:rsidRDefault="00CF4B20" w:rsidP="00165066">
      <w:pPr>
        <w:spacing w:before="120" w:after="120" w:line="276" w:lineRule="auto"/>
        <w:ind w:firstLine="0"/>
        <w:contextualSpacing/>
        <w:rPr>
          <w:b/>
        </w:rPr>
        <w:sectPr w:rsidR="00CF4B20" w:rsidRPr="008270A1" w:rsidSect="00F07F5B">
          <w:headerReference w:type="default" r:id="rId8"/>
          <w:footerReference w:type="default" r:id="rId9"/>
          <w:pgSz w:w="11906" w:h="16838"/>
          <w:pgMar w:top="1418" w:right="851" w:bottom="1418" w:left="1701" w:header="708" w:footer="708" w:gutter="0"/>
          <w:cols w:space="708"/>
          <w:docGrid w:linePitch="360"/>
        </w:sectPr>
      </w:pPr>
    </w:p>
    <w:p w:rsidR="00385D75" w:rsidRPr="008270A1" w:rsidRDefault="00165066" w:rsidP="00385D75">
      <w:pPr>
        <w:spacing w:before="120" w:after="120" w:line="276" w:lineRule="auto"/>
        <w:ind w:firstLine="0"/>
        <w:contextualSpacing/>
        <w:jc w:val="center"/>
        <w:rPr>
          <w:b/>
        </w:rPr>
      </w:pPr>
      <w:r>
        <w:rPr>
          <w:b/>
        </w:rPr>
        <w:lastRenderedPageBreak/>
        <w:t>Daniel Brito de Araújo</w:t>
      </w:r>
    </w:p>
    <w:p w:rsidR="00385D75" w:rsidRPr="008270A1" w:rsidRDefault="000B7A94" w:rsidP="00385D75">
      <w:pPr>
        <w:spacing w:before="120" w:after="120" w:line="276" w:lineRule="auto"/>
        <w:ind w:firstLine="0"/>
        <w:contextualSpacing/>
        <w:jc w:val="center"/>
      </w:pPr>
      <w:r>
        <w:t>Coordenador de Conformidade de Dados Técnicos</w:t>
      </w:r>
    </w:p>
    <w:p w:rsidR="00586C0D" w:rsidRDefault="00586C0D" w:rsidP="00C65010">
      <w:pPr>
        <w:pStyle w:val="Rodap"/>
        <w:tabs>
          <w:tab w:val="left" w:pos="2880"/>
        </w:tabs>
        <w:spacing w:line="276" w:lineRule="auto"/>
        <w:ind w:right="-81"/>
        <w:jc w:val="center"/>
        <w:rPr>
          <w:b/>
          <w:color w:val="000000" w:themeColor="text1"/>
        </w:rPr>
      </w:pPr>
    </w:p>
    <w:p w:rsidR="00681399" w:rsidRDefault="00681399" w:rsidP="00C65010">
      <w:pPr>
        <w:pStyle w:val="Rodap"/>
        <w:tabs>
          <w:tab w:val="left" w:pos="2880"/>
        </w:tabs>
        <w:spacing w:line="276" w:lineRule="auto"/>
        <w:ind w:right="-81"/>
        <w:jc w:val="center"/>
        <w:rPr>
          <w:b/>
          <w:color w:val="000000" w:themeColor="text1"/>
        </w:rPr>
      </w:pPr>
    </w:p>
    <w:p w:rsidR="007F5B4E" w:rsidRPr="008270A1" w:rsidRDefault="00165066" w:rsidP="00150D0C">
      <w:pPr>
        <w:pStyle w:val="Rodap"/>
        <w:tabs>
          <w:tab w:val="left" w:pos="2880"/>
        </w:tabs>
        <w:spacing w:line="276" w:lineRule="auto"/>
        <w:ind w:right="-81" w:firstLine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Luciano </w:t>
      </w:r>
      <w:r w:rsidR="004B3F28">
        <w:rPr>
          <w:b/>
          <w:color w:val="000000" w:themeColor="text1"/>
        </w:rPr>
        <w:t xml:space="preserve">Ricardo da Silva </w:t>
      </w:r>
      <w:r>
        <w:rPr>
          <w:b/>
          <w:color w:val="000000" w:themeColor="text1"/>
        </w:rPr>
        <w:t>Lobo</w:t>
      </w:r>
    </w:p>
    <w:p w:rsidR="007F5B4E" w:rsidRDefault="00165066" w:rsidP="00150D0C">
      <w:pPr>
        <w:pStyle w:val="Rodap"/>
        <w:tabs>
          <w:tab w:val="left" w:pos="2880"/>
        </w:tabs>
        <w:spacing w:line="276" w:lineRule="auto"/>
        <w:ind w:right="-81" w:firstLine="0"/>
        <w:jc w:val="center"/>
        <w:rPr>
          <w:color w:val="000000" w:themeColor="text1"/>
        </w:rPr>
      </w:pPr>
      <w:r>
        <w:rPr>
          <w:color w:val="000000" w:themeColor="text1"/>
        </w:rPr>
        <w:t>Superintendente Adjunto de Dados Técnicos</w:t>
      </w:r>
    </w:p>
    <w:p w:rsidR="001D2EBF" w:rsidRDefault="001D2EBF" w:rsidP="00150D0C">
      <w:pPr>
        <w:pStyle w:val="Rodap"/>
        <w:tabs>
          <w:tab w:val="left" w:pos="2880"/>
        </w:tabs>
        <w:spacing w:line="276" w:lineRule="auto"/>
        <w:ind w:right="-81" w:firstLine="0"/>
        <w:jc w:val="center"/>
        <w:rPr>
          <w:color w:val="000000" w:themeColor="text1"/>
        </w:rPr>
      </w:pPr>
    </w:p>
    <w:bookmarkEnd w:id="0"/>
    <w:p w:rsidR="00681399" w:rsidRDefault="00681399" w:rsidP="00150D0C">
      <w:pPr>
        <w:pStyle w:val="Rodap"/>
        <w:tabs>
          <w:tab w:val="left" w:pos="2880"/>
        </w:tabs>
        <w:spacing w:line="276" w:lineRule="auto"/>
        <w:ind w:right="-81" w:firstLine="0"/>
        <w:jc w:val="center"/>
        <w:rPr>
          <w:color w:val="000000" w:themeColor="text1"/>
        </w:rPr>
      </w:pPr>
    </w:p>
    <w:p w:rsidR="009C1151" w:rsidRPr="009C1151" w:rsidRDefault="009C1151" w:rsidP="009C1151">
      <w:pPr>
        <w:pStyle w:val="Rodap"/>
        <w:tabs>
          <w:tab w:val="left" w:pos="2880"/>
        </w:tabs>
        <w:spacing w:line="276" w:lineRule="auto"/>
        <w:ind w:right="-81" w:firstLine="0"/>
        <w:jc w:val="left"/>
        <w:rPr>
          <w:b/>
          <w:color w:val="000000" w:themeColor="text1"/>
          <w:sz w:val="20"/>
          <w:szCs w:val="20"/>
        </w:rPr>
      </w:pPr>
      <w:r w:rsidRPr="009C1151">
        <w:rPr>
          <w:b/>
          <w:color w:val="000000" w:themeColor="text1"/>
          <w:sz w:val="20"/>
          <w:szCs w:val="20"/>
        </w:rPr>
        <w:t>Anexo</w:t>
      </w:r>
      <w:r>
        <w:rPr>
          <w:b/>
          <w:color w:val="000000" w:themeColor="text1"/>
          <w:sz w:val="20"/>
          <w:szCs w:val="20"/>
        </w:rPr>
        <w:t>s</w:t>
      </w:r>
      <w:r w:rsidRPr="009C1151">
        <w:rPr>
          <w:b/>
          <w:color w:val="000000" w:themeColor="text1"/>
          <w:sz w:val="20"/>
          <w:szCs w:val="20"/>
        </w:rPr>
        <w:t>: [1] Minuta de Resolução</w:t>
      </w:r>
    </w:p>
    <w:p w:rsidR="009C1151" w:rsidRDefault="009C1151" w:rsidP="009C1151">
      <w:pPr>
        <w:pStyle w:val="Rodap"/>
        <w:tabs>
          <w:tab w:val="left" w:pos="2880"/>
        </w:tabs>
        <w:spacing w:line="276" w:lineRule="auto"/>
        <w:ind w:right="-81" w:firstLine="0"/>
        <w:jc w:val="left"/>
        <w:rPr>
          <w:color w:val="000000" w:themeColor="text1"/>
        </w:rPr>
        <w:sectPr w:rsidR="009C1151" w:rsidSect="00DD0971">
          <w:type w:val="continuous"/>
          <w:pgSz w:w="11906" w:h="16838"/>
          <w:pgMar w:top="1418" w:right="851" w:bottom="1418" w:left="1701" w:header="708" w:footer="708" w:gutter="0"/>
          <w:cols w:space="708"/>
          <w:docGrid w:linePitch="360"/>
        </w:sectPr>
      </w:pPr>
      <w:r w:rsidRPr="009C1151">
        <w:rPr>
          <w:b/>
          <w:color w:val="000000" w:themeColor="text1"/>
          <w:sz w:val="20"/>
          <w:szCs w:val="20"/>
        </w:rPr>
        <w:t xml:space="preserve">          </w:t>
      </w:r>
      <w:r>
        <w:rPr>
          <w:b/>
          <w:color w:val="000000" w:themeColor="text1"/>
          <w:sz w:val="20"/>
          <w:szCs w:val="20"/>
        </w:rPr>
        <w:t xml:space="preserve">  </w:t>
      </w:r>
      <w:r w:rsidR="006A1D0E">
        <w:rPr>
          <w:b/>
          <w:color w:val="000000" w:themeColor="text1"/>
          <w:sz w:val="20"/>
          <w:szCs w:val="20"/>
        </w:rPr>
        <w:t xml:space="preserve"> </w:t>
      </w:r>
      <w:r>
        <w:rPr>
          <w:b/>
          <w:color w:val="000000" w:themeColor="text1"/>
          <w:sz w:val="20"/>
          <w:szCs w:val="20"/>
        </w:rPr>
        <w:t xml:space="preserve">  </w:t>
      </w:r>
      <w:r w:rsidRPr="009C1151">
        <w:rPr>
          <w:b/>
          <w:color w:val="000000" w:themeColor="text1"/>
          <w:sz w:val="20"/>
          <w:szCs w:val="20"/>
        </w:rPr>
        <w:t>[2] Tabela com Contribuições e Atas de Reuniõe</w:t>
      </w:r>
      <w:r w:rsidR="00B3003C">
        <w:rPr>
          <w:b/>
          <w:color w:val="000000" w:themeColor="text1"/>
          <w:sz w:val="20"/>
          <w:szCs w:val="20"/>
        </w:rPr>
        <w:t>s</w:t>
      </w:r>
    </w:p>
    <w:p w:rsidR="009C1151" w:rsidRDefault="009C1151" w:rsidP="00B3003C">
      <w:pPr>
        <w:pStyle w:val="Rodap"/>
        <w:tabs>
          <w:tab w:val="left" w:pos="2880"/>
        </w:tabs>
        <w:spacing w:line="276" w:lineRule="auto"/>
        <w:ind w:right="-81" w:firstLine="0"/>
        <w:rPr>
          <w:color w:val="000000" w:themeColor="text1"/>
        </w:rPr>
      </w:pPr>
    </w:p>
    <w:sectPr w:rsidR="009C1151" w:rsidSect="009C1151">
      <w:pgSz w:w="11906" w:h="16838"/>
      <w:pgMar w:top="1418" w:right="85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C48" w:rsidRDefault="00936C48" w:rsidP="003E6ECE">
      <w:pPr>
        <w:spacing w:line="240" w:lineRule="auto"/>
      </w:pPr>
      <w:r>
        <w:separator/>
      </w:r>
    </w:p>
  </w:endnote>
  <w:endnote w:type="continuationSeparator" w:id="0">
    <w:p w:rsidR="00936C48" w:rsidRDefault="00936C48" w:rsidP="003E6EC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1019379938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1019379939"/>
          <w:docPartObj>
            <w:docPartGallery w:val="Page Numbers (Top of Page)"/>
            <w:docPartUnique/>
          </w:docPartObj>
        </w:sdtPr>
        <w:sdtContent>
          <w:p w:rsidR="00F14EBB" w:rsidRPr="009073C1" w:rsidRDefault="00F14EBB" w:rsidP="009073C1">
            <w:pPr>
              <w:pStyle w:val="Rodap"/>
              <w:ind w:firstLine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DBA/TMR/2018</w:t>
            </w:r>
            <w:r>
              <w:rPr>
                <w:i/>
                <w:sz w:val="16"/>
                <w:szCs w:val="16"/>
              </w:rPr>
              <w:tab/>
              <w:t>SID: 00610.002867/2018-59/SDT</w:t>
            </w:r>
            <w:r w:rsidRPr="009073C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ab/>
            </w:r>
            <w:r w:rsidRPr="009073C1">
              <w:rPr>
                <w:sz w:val="16"/>
                <w:szCs w:val="16"/>
              </w:rPr>
              <w:t xml:space="preserve">Página </w:t>
            </w:r>
            <w:r w:rsidR="0028148E" w:rsidRPr="009073C1">
              <w:rPr>
                <w:b/>
                <w:sz w:val="16"/>
                <w:szCs w:val="16"/>
              </w:rPr>
              <w:fldChar w:fldCharType="begin"/>
            </w:r>
            <w:r w:rsidRPr="009073C1">
              <w:rPr>
                <w:b/>
                <w:sz w:val="16"/>
                <w:szCs w:val="16"/>
              </w:rPr>
              <w:instrText>PAGE</w:instrText>
            </w:r>
            <w:r w:rsidR="0028148E" w:rsidRPr="009073C1">
              <w:rPr>
                <w:b/>
                <w:sz w:val="16"/>
                <w:szCs w:val="16"/>
              </w:rPr>
              <w:fldChar w:fldCharType="separate"/>
            </w:r>
            <w:r w:rsidR="00B3003C">
              <w:rPr>
                <w:b/>
                <w:noProof/>
                <w:sz w:val="16"/>
                <w:szCs w:val="16"/>
              </w:rPr>
              <w:t>8</w:t>
            </w:r>
            <w:r w:rsidR="0028148E" w:rsidRPr="009073C1">
              <w:rPr>
                <w:b/>
                <w:sz w:val="16"/>
                <w:szCs w:val="16"/>
              </w:rPr>
              <w:fldChar w:fldCharType="end"/>
            </w:r>
            <w:r w:rsidRPr="009073C1">
              <w:rPr>
                <w:sz w:val="16"/>
                <w:szCs w:val="16"/>
              </w:rPr>
              <w:t xml:space="preserve"> de </w:t>
            </w:r>
            <w:proofErr w:type="gramStart"/>
            <w:r>
              <w:rPr>
                <w:b/>
                <w:sz w:val="16"/>
                <w:szCs w:val="16"/>
              </w:rPr>
              <w:t>8</w:t>
            </w:r>
            <w:proofErr w:type="gramEnd"/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C48" w:rsidRDefault="00936C48" w:rsidP="003E6ECE">
      <w:pPr>
        <w:spacing w:line="240" w:lineRule="auto"/>
      </w:pPr>
      <w:r>
        <w:separator/>
      </w:r>
    </w:p>
  </w:footnote>
  <w:footnote w:type="continuationSeparator" w:id="0">
    <w:p w:rsidR="00936C48" w:rsidRDefault="00936C48" w:rsidP="003E6EC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EBB" w:rsidRDefault="00F14EBB">
    <w:pPr>
      <w:pStyle w:val="Cabealho"/>
    </w:pPr>
  </w:p>
  <w:p w:rsidR="00F14EBB" w:rsidRDefault="00F14EBB" w:rsidP="00A00162">
    <w:pPr>
      <w:pStyle w:val="Cabealho"/>
      <w:tabs>
        <w:tab w:val="left" w:pos="1134"/>
      </w:tabs>
      <w:ind w:firstLine="1701"/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317500</wp:posOffset>
          </wp:positionH>
          <wp:positionV relativeFrom="paragraph">
            <wp:posOffset>-258445</wp:posOffset>
          </wp:positionV>
          <wp:extent cx="495300" cy="781050"/>
          <wp:effectExtent l="19050" t="0" r="0" b="0"/>
          <wp:wrapNone/>
          <wp:docPr id="17" name="Imagem 2" descr="logoANP_v_simp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ANP_v_simpl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E0F33">
      <w:rPr>
        <w:b/>
      </w:rPr>
      <w:t xml:space="preserve">SUPERINTENDÊNCIA DE </w:t>
    </w:r>
    <w:r>
      <w:rPr>
        <w:b/>
      </w:rPr>
      <w:t>DADOS TÉCNICOS</w:t>
    </w:r>
  </w:p>
  <w:p w:rsidR="00F14EBB" w:rsidRDefault="00F14EBB" w:rsidP="00A00162">
    <w:pPr>
      <w:pStyle w:val="Cabealho"/>
      <w:tabs>
        <w:tab w:val="left" w:pos="1134"/>
      </w:tabs>
      <w:ind w:firstLine="1701"/>
      <w:jc w:val="center"/>
      <w:rPr>
        <w:b/>
      </w:rPr>
    </w:pPr>
    <w:r w:rsidRPr="00FE0F33">
      <w:rPr>
        <w:b/>
      </w:rPr>
      <w:t xml:space="preserve"> NOTA TÉCNICA Nº </w:t>
    </w:r>
    <w:r>
      <w:rPr>
        <w:b/>
      </w:rPr>
      <w:t>002/</w:t>
    </w:r>
    <w:r w:rsidRPr="00FE0F33">
      <w:rPr>
        <w:b/>
      </w:rPr>
      <w:t>201</w:t>
    </w:r>
    <w:r>
      <w:rPr>
        <w:b/>
      </w:rPr>
      <w:t>8</w:t>
    </w:r>
    <w:r w:rsidRPr="00FE0F33">
      <w:rPr>
        <w:b/>
      </w:rPr>
      <w:t>/S</w:t>
    </w:r>
    <w:r>
      <w:rPr>
        <w:b/>
      </w:rPr>
      <w:t>DT/ANP-RJ</w:t>
    </w:r>
  </w:p>
  <w:p w:rsidR="00F14EBB" w:rsidRPr="00FE0F33" w:rsidRDefault="00F14EBB" w:rsidP="00A00162">
    <w:pPr>
      <w:pStyle w:val="Cabealho"/>
      <w:tabs>
        <w:tab w:val="left" w:pos="1134"/>
      </w:tabs>
      <w:ind w:firstLine="1701"/>
      <w:jc w:val="center"/>
      <w:rPr>
        <w:b/>
      </w:rPr>
    </w:pPr>
  </w:p>
  <w:p w:rsidR="00F14EBB" w:rsidRDefault="00F14E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A331C"/>
    <w:multiLevelType w:val="hybridMultilevel"/>
    <w:tmpl w:val="8C503A84"/>
    <w:lvl w:ilvl="0" w:tplc="BC4EB72C">
      <w:start w:val="1"/>
      <w:numFmt w:val="lowerRoman"/>
      <w:lvlText w:val="%1."/>
      <w:lvlJc w:val="left"/>
      <w:pPr>
        <w:ind w:left="12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226065C4"/>
    <w:multiLevelType w:val="hybridMultilevel"/>
    <w:tmpl w:val="B53899B4"/>
    <w:lvl w:ilvl="0" w:tplc="27DA1B6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C235E"/>
    <w:multiLevelType w:val="hybridMultilevel"/>
    <w:tmpl w:val="1B642E3A"/>
    <w:lvl w:ilvl="0" w:tplc="8EF2741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765FF"/>
    <w:multiLevelType w:val="hybridMultilevel"/>
    <w:tmpl w:val="E2E4FBA2"/>
    <w:lvl w:ilvl="0" w:tplc="0CB2434C">
      <w:start w:val="1"/>
      <w:numFmt w:val="decimal"/>
      <w:pStyle w:val="Corpodetexto"/>
      <w:lvlText w:val="%1."/>
      <w:lvlJc w:val="left"/>
      <w:pPr>
        <w:tabs>
          <w:tab w:val="num" w:pos="360"/>
        </w:tabs>
        <w:ind w:left="0" w:firstLine="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98B34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762692"/>
    <w:multiLevelType w:val="multilevel"/>
    <w:tmpl w:val="430C92F8"/>
    <w:lvl w:ilvl="0">
      <w:start w:val="5"/>
      <w:numFmt w:val="decimal"/>
      <w:lvlText w:val="%1"/>
      <w:lvlJc w:val="left"/>
      <w:pPr>
        <w:ind w:left="1770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5">
    <w:nsid w:val="2B767D09"/>
    <w:multiLevelType w:val="multilevel"/>
    <w:tmpl w:val="F36AAD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2C240E26"/>
    <w:multiLevelType w:val="hybridMultilevel"/>
    <w:tmpl w:val="B06229AA"/>
    <w:lvl w:ilvl="0" w:tplc="EBD03C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12055"/>
    <w:multiLevelType w:val="hybridMultilevel"/>
    <w:tmpl w:val="150CCE0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B15F56"/>
    <w:multiLevelType w:val="multilevel"/>
    <w:tmpl w:val="F12CAEB8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1432"/>
        </w:tabs>
        <w:ind w:left="1432" w:hanging="864"/>
      </w:pPr>
      <w:rPr>
        <w:rFonts w:ascii="Arial" w:hAnsi="Arial" w:hint="default"/>
        <w:sz w:val="24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  <w:rPr>
        <w:rFonts w:hint="default"/>
      </w:rPr>
    </w:lvl>
  </w:abstractNum>
  <w:abstractNum w:abstractNumId="9">
    <w:nsid w:val="4BB22399"/>
    <w:multiLevelType w:val="hybridMultilevel"/>
    <w:tmpl w:val="31560CB0"/>
    <w:lvl w:ilvl="0" w:tplc="456C96A2">
      <w:start w:val="1"/>
      <w:numFmt w:val="lowerRoman"/>
      <w:lvlText w:val="%1."/>
      <w:lvlJc w:val="left"/>
      <w:pPr>
        <w:ind w:left="12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51527358"/>
    <w:multiLevelType w:val="hybridMultilevel"/>
    <w:tmpl w:val="76E83930"/>
    <w:lvl w:ilvl="0" w:tplc="0B4256C2">
      <w:start w:val="1"/>
      <w:numFmt w:val="decimal"/>
      <w:pStyle w:val="Ttulo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D85C25"/>
    <w:multiLevelType w:val="hybridMultilevel"/>
    <w:tmpl w:val="80F8244E"/>
    <w:lvl w:ilvl="0" w:tplc="3A867540">
      <w:start w:val="1"/>
      <w:numFmt w:val="upperRoman"/>
      <w:lvlText w:val="%1."/>
      <w:lvlJc w:val="right"/>
      <w:pPr>
        <w:ind w:left="2628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CEB6091"/>
    <w:multiLevelType w:val="hybridMultilevel"/>
    <w:tmpl w:val="334A09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1A3706"/>
    <w:multiLevelType w:val="hybridMultilevel"/>
    <w:tmpl w:val="A2F4E47C"/>
    <w:lvl w:ilvl="0" w:tplc="E17A893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BBF143C"/>
    <w:multiLevelType w:val="hybridMultilevel"/>
    <w:tmpl w:val="9F3AF466"/>
    <w:lvl w:ilvl="0" w:tplc="65CA95D6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D230E88"/>
    <w:multiLevelType w:val="hybridMultilevel"/>
    <w:tmpl w:val="72105198"/>
    <w:lvl w:ilvl="0" w:tplc="68A63A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5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10"/>
  </w:num>
  <w:num w:numId="11">
    <w:abstractNumId w:val="8"/>
  </w:num>
  <w:num w:numId="12">
    <w:abstractNumId w:val="8"/>
  </w:num>
  <w:num w:numId="13">
    <w:abstractNumId w:val="8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9"/>
  </w:num>
  <w:num w:numId="19">
    <w:abstractNumId w:val="0"/>
  </w:num>
  <w:num w:numId="20">
    <w:abstractNumId w:val="2"/>
  </w:num>
  <w:num w:numId="21">
    <w:abstractNumId w:val="1"/>
  </w:num>
  <w:num w:numId="22">
    <w:abstractNumId w:val="8"/>
  </w:num>
  <w:num w:numId="23">
    <w:abstractNumId w:val="14"/>
  </w:num>
  <w:num w:numId="24">
    <w:abstractNumId w:val="10"/>
  </w:num>
  <w:num w:numId="25">
    <w:abstractNumId w:val="10"/>
  </w:num>
  <w:num w:numId="26">
    <w:abstractNumId w:val="8"/>
  </w:num>
  <w:num w:numId="27">
    <w:abstractNumId w:val="6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4"/>
  </w:num>
  <w:num w:numId="31">
    <w:abstractNumId w:val="10"/>
  </w:num>
  <w:num w:numId="32">
    <w:abstractNumId w:val="7"/>
  </w:num>
  <w:num w:numId="33">
    <w:abstractNumId w:val="15"/>
  </w:num>
  <w:num w:numId="34">
    <w:abstractNumId w:val="11"/>
  </w:num>
  <w:num w:numId="3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3906"/>
  </w:hdrShapeDefaults>
  <w:footnotePr>
    <w:footnote w:id="-1"/>
    <w:footnote w:id="0"/>
  </w:footnotePr>
  <w:endnotePr>
    <w:endnote w:id="-1"/>
    <w:endnote w:id="0"/>
  </w:endnotePr>
  <w:compat/>
  <w:rsids>
    <w:rsidRoot w:val="0069327E"/>
    <w:rsid w:val="00001FC2"/>
    <w:rsid w:val="0000270B"/>
    <w:rsid w:val="00003195"/>
    <w:rsid w:val="00015D62"/>
    <w:rsid w:val="0001687F"/>
    <w:rsid w:val="00022145"/>
    <w:rsid w:val="00022F79"/>
    <w:rsid w:val="000258CE"/>
    <w:rsid w:val="00026596"/>
    <w:rsid w:val="00027995"/>
    <w:rsid w:val="00030514"/>
    <w:rsid w:val="000320B5"/>
    <w:rsid w:val="00032E2D"/>
    <w:rsid w:val="0003397B"/>
    <w:rsid w:val="00034092"/>
    <w:rsid w:val="000354E2"/>
    <w:rsid w:val="000360E5"/>
    <w:rsid w:val="00042A07"/>
    <w:rsid w:val="00046854"/>
    <w:rsid w:val="0005115B"/>
    <w:rsid w:val="00052FB0"/>
    <w:rsid w:val="00054D9A"/>
    <w:rsid w:val="00055633"/>
    <w:rsid w:val="00055972"/>
    <w:rsid w:val="00055A38"/>
    <w:rsid w:val="000560A1"/>
    <w:rsid w:val="000563B7"/>
    <w:rsid w:val="000603A8"/>
    <w:rsid w:val="00071839"/>
    <w:rsid w:val="00074967"/>
    <w:rsid w:val="00075603"/>
    <w:rsid w:val="0007789A"/>
    <w:rsid w:val="00077E1B"/>
    <w:rsid w:val="00081509"/>
    <w:rsid w:val="0008160A"/>
    <w:rsid w:val="000838E5"/>
    <w:rsid w:val="00083912"/>
    <w:rsid w:val="00083EBC"/>
    <w:rsid w:val="000876D6"/>
    <w:rsid w:val="00090FB4"/>
    <w:rsid w:val="00091C2B"/>
    <w:rsid w:val="0009378E"/>
    <w:rsid w:val="00094F11"/>
    <w:rsid w:val="00096925"/>
    <w:rsid w:val="00096AE1"/>
    <w:rsid w:val="000A11AF"/>
    <w:rsid w:val="000A13A8"/>
    <w:rsid w:val="000A5CD4"/>
    <w:rsid w:val="000A665C"/>
    <w:rsid w:val="000A6D75"/>
    <w:rsid w:val="000B5240"/>
    <w:rsid w:val="000B7A94"/>
    <w:rsid w:val="000C13CA"/>
    <w:rsid w:val="000C7F16"/>
    <w:rsid w:val="000D32BD"/>
    <w:rsid w:val="000E3363"/>
    <w:rsid w:val="000E39B3"/>
    <w:rsid w:val="000E4A87"/>
    <w:rsid w:val="000E5981"/>
    <w:rsid w:val="000F1BE1"/>
    <w:rsid w:val="000F437E"/>
    <w:rsid w:val="000F5188"/>
    <w:rsid w:val="000F5D83"/>
    <w:rsid w:val="001005D5"/>
    <w:rsid w:val="001029B8"/>
    <w:rsid w:val="001131E1"/>
    <w:rsid w:val="00116C9B"/>
    <w:rsid w:val="00116CF4"/>
    <w:rsid w:val="00122E1D"/>
    <w:rsid w:val="001237A9"/>
    <w:rsid w:val="00132421"/>
    <w:rsid w:val="0013294D"/>
    <w:rsid w:val="001358C5"/>
    <w:rsid w:val="001361C5"/>
    <w:rsid w:val="00142CEE"/>
    <w:rsid w:val="00145207"/>
    <w:rsid w:val="00145633"/>
    <w:rsid w:val="001462AA"/>
    <w:rsid w:val="00150D0C"/>
    <w:rsid w:val="00155063"/>
    <w:rsid w:val="00156BEB"/>
    <w:rsid w:val="00161DA4"/>
    <w:rsid w:val="00163450"/>
    <w:rsid w:val="00165066"/>
    <w:rsid w:val="00165693"/>
    <w:rsid w:val="001667EF"/>
    <w:rsid w:val="0017099C"/>
    <w:rsid w:val="00171F49"/>
    <w:rsid w:val="001729AE"/>
    <w:rsid w:val="00174917"/>
    <w:rsid w:val="00177F1C"/>
    <w:rsid w:val="00182697"/>
    <w:rsid w:val="001924C4"/>
    <w:rsid w:val="00195148"/>
    <w:rsid w:val="00196E62"/>
    <w:rsid w:val="001A43D8"/>
    <w:rsid w:val="001A5F71"/>
    <w:rsid w:val="001B0338"/>
    <w:rsid w:val="001B4974"/>
    <w:rsid w:val="001B7C26"/>
    <w:rsid w:val="001C27D1"/>
    <w:rsid w:val="001D0B23"/>
    <w:rsid w:val="001D2866"/>
    <w:rsid w:val="001D2EBF"/>
    <w:rsid w:val="001D4F71"/>
    <w:rsid w:val="001D5086"/>
    <w:rsid w:val="001D66B9"/>
    <w:rsid w:val="001D797E"/>
    <w:rsid w:val="001E2A99"/>
    <w:rsid w:val="001E3A71"/>
    <w:rsid w:val="001F4474"/>
    <w:rsid w:val="00200AA1"/>
    <w:rsid w:val="00200E32"/>
    <w:rsid w:val="00200F21"/>
    <w:rsid w:val="0020307C"/>
    <w:rsid w:val="00203C52"/>
    <w:rsid w:val="00210159"/>
    <w:rsid w:val="002101D2"/>
    <w:rsid w:val="00211DED"/>
    <w:rsid w:val="002127AB"/>
    <w:rsid w:val="00214042"/>
    <w:rsid w:val="00216430"/>
    <w:rsid w:val="002177F6"/>
    <w:rsid w:val="0022207E"/>
    <w:rsid w:val="00222434"/>
    <w:rsid w:val="0022677F"/>
    <w:rsid w:val="00226E30"/>
    <w:rsid w:val="0024114E"/>
    <w:rsid w:val="00242FAD"/>
    <w:rsid w:val="00247677"/>
    <w:rsid w:val="0025387A"/>
    <w:rsid w:val="00254F28"/>
    <w:rsid w:val="002567D6"/>
    <w:rsid w:val="00262251"/>
    <w:rsid w:val="002646AB"/>
    <w:rsid w:val="00264BAC"/>
    <w:rsid w:val="00274DEE"/>
    <w:rsid w:val="0027769F"/>
    <w:rsid w:val="0028148E"/>
    <w:rsid w:val="00282477"/>
    <w:rsid w:val="002835DC"/>
    <w:rsid w:val="002907EC"/>
    <w:rsid w:val="00294C4E"/>
    <w:rsid w:val="00296112"/>
    <w:rsid w:val="002A1B81"/>
    <w:rsid w:val="002A3294"/>
    <w:rsid w:val="002A4F24"/>
    <w:rsid w:val="002A53A1"/>
    <w:rsid w:val="002A690E"/>
    <w:rsid w:val="002B016C"/>
    <w:rsid w:val="002B272E"/>
    <w:rsid w:val="002B6EB2"/>
    <w:rsid w:val="002B7E3B"/>
    <w:rsid w:val="002C1D83"/>
    <w:rsid w:val="002D1C31"/>
    <w:rsid w:val="002D64B6"/>
    <w:rsid w:val="002E3FFA"/>
    <w:rsid w:val="002E7A9B"/>
    <w:rsid w:val="002F0D7B"/>
    <w:rsid w:val="002F199D"/>
    <w:rsid w:val="002F1C4B"/>
    <w:rsid w:val="002F1E10"/>
    <w:rsid w:val="002F3072"/>
    <w:rsid w:val="002F3532"/>
    <w:rsid w:val="002F3EA8"/>
    <w:rsid w:val="00310292"/>
    <w:rsid w:val="00311CA4"/>
    <w:rsid w:val="003138B2"/>
    <w:rsid w:val="00317DF9"/>
    <w:rsid w:val="0032183F"/>
    <w:rsid w:val="0032199C"/>
    <w:rsid w:val="00321BF1"/>
    <w:rsid w:val="003268F6"/>
    <w:rsid w:val="003300A5"/>
    <w:rsid w:val="00331FDD"/>
    <w:rsid w:val="0033262F"/>
    <w:rsid w:val="00334D9F"/>
    <w:rsid w:val="00340031"/>
    <w:rsid w:val="00341550"/>
    <w:rsid w:val="00345A23"/>
    <w:rsid w:val="00345E62"/>
    <w:rsid w:val="003478C2"/>
    <w:rsid w:val="00352F98"/>
    <w:rsid w:val="0035346F"/>
    <w:rsid w:val="00353626"/>
    <w:rsid w:val="00365B3E"/>
    <w:rsid w:val="003704F7"/>
    <w:rsid w:val="003705F8"/>
    <w:rsid w:val="00372240"/>
    <w:rsid w:val="003808C7"/>
    <w:rsid w:val="003823F7"/>
    <w:rsid w:val="00385D75"/>
    <w:rsid w:val="00392F67"/>
    <w:rsid w:val="00394EB5"/>
    <w:rsid w:val="00395EE6"/>
    <w:rsid w:val="003A083E"/>
    <w:rsid w:val="003A1266"/>
    <w:rsid w:val="003A2D59"/>
    <w:rsid w:val="003A322B"/>
    <w:rsid w:val="003A61D0"/>
    <w:rsid w:val="003A6897"/>
    <w:rsid w:val="003B1769"/>
    <w:rsid w:val="003B1DC2"/>
    <w:rsid w:val="003B2F1A"/>
    <w:rsid w:val="003B373A"/>
    <w:rsid w:val="003B3B55"/>
    <w:rsid w:val="003B623C"/>
    <w:rsid w:val="003C07DA"/>
    <w:rsid w:val="003C23FD"/>
    <w:rsid w:val="003C2EDA"/>
    <w:rsid w:val="003C5BEF"/>
    <w:rsid w:val="003C786F"/>
    <w:rsid w:val="003D022B"/>
    <w:rsid w:val="003D21BC"/>
    <w:rsid w:val="003E5612"/>
    <w:rsid w:val="003E6ECE"/>
    <w:rsid w:val="003F082B"/>
    <w:rsid w:val="003F1A69"/>
    <w:rsid w:val="003F23FA"/>
    <w:rsid w:val="004003F8"/>
    <w:rsid w:val="00401AFB"/>
    <w:rsid w:val="00401CAE"/>
    <w:rsid w:val="00403DB2"/>
    <w:rsid w:val="00404880"/>
    <w:rsid w:val="00406864"/>
    <w:rsid w:val="00410034"/>
    <w:rsid w:val="004102F8"/>
    <w:rsid w:val="00415C90"/>
    <w:rsid w:val="00420B52"/>
    <w:rsid w:val="00421C6A"/>
    <w:rsid w:val="00425DC0"/>
    <w:rsid w:val="004265AF"/>
    <w:rsid w:val="004278AA"/>
    <w:rsid w:val="0043091C"/>
    <w:rsid w:val="0043245B"/>
    <w:rsid w:val="004335FF"/>
    <w:rsid w:val="00434817"/>
    <w:rsid w:val="00434F6C"/>
    <w:rsid w:val="00435432"/>
    <w:rsid w:val="00435C22"/>
    <w:rsid w:val="00435C90"/>
    <w:rsid w:val="0043769E"/>
    <w:rsid w:val="004446D8"/>
    <w:rsid w:val="00447C06"/>
    <w:rsid w:val="00450C10"/>
    <w:rsid w:val="004526F3"/>
    <w:rsid w:val="00452DF7"/>
    <w:rsid w:val="0045373C"/>
    <w:rsid w:val="004562C4"/>
    <w:rsid w:val="0045661B"/>
    <w:rsid w:val="004608FD"/>
    <w:rsid w:val="00460A57"/>
    <w:rsid w:val="00461893"/>
    <w:rsid w:val="004629B9"/>
    <w:rsid w:val="00463038"/>
    <w:rsid w:val="00471ACF"/>
    <w:rsid w:val="00473981"/>
    <w:rsid w:val="00473D2F"/>
    <w:rsid w:val="00473FC5"/>
    <w:rsid w:val="00482FC6"/>
    <w:rsid w:val="004956C0"/>
    <w:rsid w:val="00496018"/>
    <w:rsid w:val="00497974"/>
    <w:rsid w:val="004A34AB"/>
    <w:rsid w:val="004A353C"/>
    <w:rsid w:val="004A3C1C"/>
    <w:rsid w:val="004A3FB8"/>
    <w:rsid w:val="004A458E"/>
    <w:rsid w:val="004A5C97"/>
    <w:rsid w:val="004A6DDA"/>
    <w:rsid w:val="004B17E3"/>
    <w:rsid w:val="004B369D"/>
    <w:rsid w:val="004B3F28"/>
    <w:rsid w:val="004B5754"/>
    <w:rsid w:val="004C0CF7"/>
    <w:rsid w:val="004D00CD"/>
    <w:rsid w:val="004D1DDD"/>
    <w:rsid w:val="004D37D4"/>
    <w:rsid w:val="004D54E0"/>
    <w:rsid w:val="004D6502"/>
    <w:rsid w:val="004D6F5B"/>
    <w:rsid w:val="004E1E4E"/>
    <w:rsid w:val="004E3BD6"/>
    <w:rsid w:val="004F0351"/>
    <w:rsid w:val="004F5E31"/>
    <w:rsid w:val="00501496"/>
    <w:rsid w:val="005029F1"/>
    <w:rsid w:val="00510042"/>
    <w:rsid w:val="0051328D"/>
    <w:rsid w:val="005168EA"/>
    <w:rsid w:val="00523534"/>
    <w:rsid w:val="005235A0"/>
    <w:rsid w:val="00526EDE"/>
    <w:rsid w:val="005271EC"/>
    <w:rsid w:val="00536982"/>
    <w:rsid w:val="00543615"/>
    <w:rsid w:val="00547542"/>
    <w:rsid w:val="00547700"/>
    <w:rsid w:val="0056056F"/>
    <w:rsid w:val="00560AC1"/>
    <w:rsid w:val="00561BA9"/>
    <w:rsid w:val="00562900"/>
    <w:rsid w:val="00565838"/>
    <w:rsid w:val="005662B1"/>
    <w:rsid w:val="00566B47"/>
    <w:rsid w:val="00566D14"/>
    <w:rsid w:val="0056789C"/>
    <w:rsid w:val="00572044"/>
    <w:rsid w:val="00572B47"/>
    <w:rsid w:val="00573C21"/>
    <w:rsid w:val="005767E0"/>
    <w:rsid w:val="00580D83"/>
    <w:rsid w:val="005819B9"/>
    <w:rsid w:val="00583144"/>
    <w:rsid w:val="00584658"/>
    <w:rsid w:val="00584781"/>
    <w:rsid w:val="00585F54"/>
    <w:rsid w:val="00586C0D"/>
    <w:rsid w:val="0059387C"/>
    <w:rsid w:val="00594D52"/>
    <w:rsid w:val="005A234B"/>
    <w:rsid w:val="005A3717"/>
    <w:rsid w:val="005A562D"/>
    <w:rsid w:val="005B1217"/>
    <w:rsid w:val="005B2098"/>
    <w:rsid w:val="005B4A28"/>
    <w:rsid w:val="005B5060"/>
    <w:rsid w:val="005B65B9"/>
    <w:rsid w:val="005B7363"/>
    <w:rsid w:val="005C010D"/>
    <w:rsid w:val="005C0911"/>
    <w:rsid w:val="005C3471"/>
    <w:rsid w:val="005C38E1"/>
    <w:rsid w:val="005C3C16"/>
    <w:rsid w:val="005C47F5"/>
    <w:rsid w:val="005C68F1"/>
    <w:rsid w:val="005C7B9E"/>
    <w:rsid w:val="005D1133"/>
    <w:rsid w:val="005D2191"/>
    <w:rsid w:val="005E1D35"/>
    <w:rsid w:val="005F19BE"/>
    <w:rsid w:val="005F3D41"/>
    <w:rsid w:val="005F4D54"/>
    <w:rsid w:val="005F5370"/>
    <w:rsid w:val="005F5CB1"/>
    <w:rsid w:val="005F5D0A"/>
    <w:rsid w:val="005F7EB4"/>
    <w:rsid w:val="00602E00"/>
    <w:rsid w:val="006101D7"/>
    <w:rsid w:val="00610F3D"/>
    <w:rsid w:val="00617D20"/>
    <w:rsid w:val="00621962"/>
    <w:rsid w:val="0062551A"/>
    <w:rsid w:val="00625C2D"/>
    <w:rsid w:val="0062672D"/>
    <w:rsid w:val="0063460B"/>
    <w:rsid w:val="00640D1E"/>
    <w:rsid w:val="006426CD"/>
    <w:rsid w:val="00645ED7"/>
    <w:rsid w:val="00645F06"/>
    <w:rsid w:val="006470C2"/>
    <w:rsid w:val="00650333"/>
    <w:rsid w:val="00650B92"/>
    <w:rsid w:val="006530D4"/>
    <w:rsid w:val="00653804"/>
    <w:rsid w:val="00654426"/>
    <w:rsid w:val="00662697"/>
    <w:rsid w:val="006628EA"/>
    <w:rsid w:val="00663C1A"/>
    <w:rsid w:val="006644F6"/>
    <w:rsid w:val="006655C0"/>
    <w:rsid w:val="00665C67"/>
    <w:rsid w:val="00665F53"/>
    <w:rsid w:val="00671079"/>
    <w:rsid w:val="0067110B"/>
    <w:rsid w:val="006748E4"/>
    <w:rsid w:val="00675A87"/>
    <w:rsid w:val="006762CD"/>
    <w:rsid w:val="00676B57"/>
    <w:rsid w:val="00677AC6"/>
    <w:rsid w:val="00681399"/>
    <w:rsid w:val="00681789"/>
    <w:rsid w:val="00683E91"/>
    <w:rsid w:val="0069327E"/>
    <w:rsid w:val="00693FF0"/>
    <w:rsid w:val="006A1C77"/>
    <w:rsid w:val="006A1C99"/>
    <w:rsid w:val="006A1D0E"/>
    <w:rsid w:val="006A54F0"/>
    <w:rsid w:val="006A71E7"/>
    <w:rsid w:val="006B17BE"/>
    <w:rsid w:val="006B23E3"/>
    <w:rsid w:val="006B53DC"/>
    <w:rsid w:val="006B63E5"/>
    <w:rsid w:val="006B722C"/>
    <w:rsid w:val="006C1B87"/>
    <w:rsid w:val="006C43FE"/>
    <w:rsid w:val="006C7CA6"/>
    <w:rsid w:val="006D1BE9"/>
    <w:rsid w:val="006D20ED"/>
    <w:rsid w:val="006D61FA"/>
    <w:rsid w:val="006D6BCE"/>
    <w:rsid w:val="006E1793"/>
    <w:rsid w:val="006E1CAC"/>
    <w:rsid w:val="006E4EFC"/>
    <w:rsid w:val="006E56E5"/>
    <w:rsid w:val="006E5F0D"/>
    <w:rsid w:val="006E69FD"/>
    <w:rsid w:val="006E79AB"/>
    <w:rsid w:val="006F1768"/>
    <w:rsid w:val="006F18A5"/>
    <w:rsid w:val="006F5E24"/>
    <w:rsid w:val="006F6C4E"/>
    <w:rsid w:val="006F6EA5"/>
    <w:rsid w:val="00700E49"/>
    <w:rsid w:val="00702A1D"/>
    <w:rsid w:val="007079F0"/>
    <w:rsid w:val="00710B26"/>
    <w:rsid w:val="00711B52"/>
    <w:rsid w:val="00711E0D"/>
    <w:rsid w:val="00716608"/>
    <w:rsid w:val="00717825"/>
    <w:rsid w:val="00720AB0"/>
    <w:rsid w:val="007224DF"/>
    <w:rsid w:val="00722E7C"/>
    <w:rsid w:val="00722F57"/>
    <w:rsid w:val="0072318A"/>
    <w:rsid w:val="007237BF"/>
    <w:rsid w:val="007245AC"/>
    <w:rsid w:val="007248A4"/>
    <w:rsid w:val="00730A29"/>
    <w:rsid w:val="007312BD"/>
    <w:rsid w:val="007346B3"/>
    <w:rsid w:val="007411B1"/>
    <w:rsid w:val="007452C2"/>
    <w:rsid w:val="007474A7"/>
    <w:rsid w:val="007526C1"/>
    <w:rsid w:val="0075435A"/>
    <w:rsid w:val="00754E31"/>
    <w:rsid w:val="00756C32"/>
    <w:rsid w:val="00760D1B"/>
    <w:rsid w:val="00760E31"/>
    <w:rsid w:val="00761D32"/>
    <w:rsid w:val="0076360E"/>
    <w:rsid w:val="007717DE"/>
    <w:rsid w:val="00772325"/>
    <w:rsid w:val="0077359D"/>
    <w:rsid w:val="0077536C"/>
    <w:rsid w:val="007772B6"/>
    <w:rsid w:val="00785E97"/>
    <w:rsid w:val="00785FB0"/>
    <w:rsid w:val="0079589E"/>
    <w:rsid w:val="00796C83"/>
    <w:rsid w:val="00797DA4"/>
    <w:rsid w:val="007A2645"/>
    <w:rsid w:val="007B0214"/>
    <w:rsid w:val="007B422F"/>
    <w:rsid w:val="007B652C"/>
    <w:rsid w:val="007C50D4"/>
    <w:rsid w:val="007D4C04"/>
    <w:rsid w:val="007D62F5"/>
    <w:rsid w:val="007D79A7"/>
    <w:rsid w:val="007E2C78"/>
    <w:rsid w:val="007E3D11"/>
    <w:rsid w:val="007F0407"/>
    <w:rsid w:val="007F0D3E"/>
    <w:rsid w:val="007F10AD"/>
    <w:rsid w:val="007F3482"/>
    <w:rsid w:val="007F4809"/>
    <w:rsid w:val="007F4D7A"/>
    <w:rsid w:val="007F5B4E"/>
    <w:rsid w:val="007F7810"/>
    <w:rsid w:val="008009DF"/>
    <w:rsid w:val="008025AE"/>
    <w:rsid w:val="00804EED"/>
    <w:rsid w:val="008052AE"/>
    <w:rsid w:val="00806CCC"/>
    <w:rsid w:val="008108AB"/>
    <w:rsid w:val="00812C86"/>
    <w:rsid w:val="0081343F"/>
    <w:rsid w:val="00820875"/>
    <w:rsid w:val="008229E7"/>
    <w:rsid w:val="008240F6"/>
    <w:rsid w:val="0082645A"/>
    <w:rsid w:val="008270A1"/>
    <w:rsid w:val="008305B0"/>
    <w:rsid w:val="00830D65"/>
    <w:rsid w:val="00834BB4"/>
    <w:rsid w:val="00834F2F"/>
    <w:rsid w:val="0083634B"/>
    <w:rsid w:val="00840CEC"/>
    <w:rsid w:val="008445EE"/>
    <w:rsid w:val="00844CC1"/>
    <w:rsid w:val="00851B72"/>
    <w:rsid w:val="00855DEB"/>
    <w:rsid w:val="0086168A"/>
    <w:rsid w:val="0087053C"/>
    <w:rsid w:val="00873236"/>
    <w:rsid w:val="008736CC"/>
    <w:rsid w:val="00876CA5"/>
    <w:rsid w:val="00881160"/>
    <w:rsid w:val="008910E2"/>
    <w:rsid w:val="00891930"/>
    <w:rsid w:val="00891C95"/>
    <w:rsid w:val="008944F7"/>
    <w:rsid w:val="008A0718"/>
    <w:rsid w:val="008A19D3"/>
    <w:rsid w:val="008A4F8F"/>
    <w:rsid w:val="008A5782"/>
    <w:rsid w:val="008A62EF"/>
    <w:rsid w:val="008B1DA9"/>
    <w:rsid w:val="008B2F63"/>
    <w:rsid w:val="008B6711"/>
    <w:rsid w:val="008B7722"/>
    <w:rsid w:val="008B7CD7"/>
    <w:rsid w:val="008C0D5D"/>
    <w:rsid w:val="008C338E"/>
    <w:rsid w:val="008D252A"/>
    <w:rsid w:val="008D4ECD"/>
    <w:rsid w:val="008D6023"/>
    <w:rsid w:val="008E424E"/>
    <w:rsid w:val="008E4B30"/>
    <w:rsid w:val="008E7D0E"/>
    <w:rsid w:val="008F64D8"/>
    <w:rsid w:val="00901543"/>
    <w:rsid w:val="00901DA3"/>
    <w:rsid w:val="009073C1"/>
    <w:rsid w:val="009158B6"/>
    <w:rsid w:val="00916852"/>
    <w:rsid w:val="00923FC8"/>
    <w:rsid w:val="00927E5C"/>
    <w:rsid w:val="009300E1"/>
    <w:rsid w:val="0093294B"/>
    <w:rsid w:val="00936C48"/>
    <w:rsid w:val="00937CE7"/>
    <w:rsid w:val="00941207"/>
    <w:rsid w:val="00941831"/>
    <w:rsid w:val="0094449E"/>
    <w:rsid w:val="00950FE2"/>
    <w:rsid w:val="009518AF"/>
    <w:rsid w:val="00954FB9"/>
    <w:rsid w:val="00956AD0"/>
    <w:rsid w:val="00956CBF"/>
    <w:rsid w:val="009576B4"/>
    <w:rsid w:val="00962168"/>
    <w:rsid w:val="0096417D"/>
    <w:rsid w:val="00964BBB"/>
    <w:rsid w:val="009658A1"/>
    <w:rsid w:val="009669CF"/>
    <w:rsid w:val="00966B77"/>
    <w:rsid w:val="00970E96"/>
    <w:rsid w:val="009738F8"/>
    <w:rsid w:val="009753FB"/>
    <w:rsid w:val="009855A2"/>
    <w:rsid w:val="0099045A"/>
    <w:rsid w:val="009A67F8"/>
    <w:rsid w:val="009A6835"/>
    <w:rsid w:val="009A6FF1"/>
    <w:rsid w:val="009B2865"/>
    <w:rsid w:val="009B47F1"/>
    <w:rsid w:val="009B5222"/>
    <w:rsid w:val="009B5EDD"/>
    <w:rsid w:val="009C0E8D"/>
    <w:rsid w:val="009C1151"/>
    <w:rsid w:val="009C7BD5"/>
    <w:rsid w:val="009D1996"/>
    <w:rsid w:val="009D77A6"/>
    <w:rsid w:val="009F2865"/>
    <w:rsid w:val="009F44CC"/>
    <w:rsid w:val="00A00162"/>
    <w:rsid w:val="00A01026"/>
    <w:rsid w:val="00A03B79"/>
    <w:rsid w:val="00A03C92"/>
    <w:rsid w:val="00A04E4A"/>
    <w:rsid w:val="00A05551"/>
    <w:rsid w:val="00A06A48"/>
    <w:rsid w:val="00A1003F"/>
    <w:rsid w:val="00A1091D"/>
    <w:rsid w:val="00A10F7C"/>
    <w:rsid w:val="00A16F3A"/>
    <w:rsid w:val="00A17568"/>
    <w:rsid w:val="00A237A4"/>
    <w:rsid w:val="00A24592"/>
    <w:rsid w:val="00A37734"/>
    <w:rsid w:val="00A37A71"/>
    <w:rsid w:val="00A37AC5"/>
    <w:rsid w:val="00A45880"/>
    <w:rsid w:val="00A46013"/>
    <w:rsid w:val="00A5251F"/>
    <w:rsid w:val="00A539FA"/>
    <w:rsid w:val="00A57950"/>
    <w:rsid w:val="00A60B37"/>
    <w:rsid w:val="00A612AF"/>
    <w:rsid w:val="00A61F6E"/>
    <w:rsid w:val="00A6275F"/>
    <w:rsid w:val="00A92E7C"/>
    <w:rsid w:val="00A94A36"/>
    <w:rsid w:val="00A95263"/>
    <w:rsid w:val="00A96E6F"/>
    <w:rsid w:val="00A976D1"/>
    <w:rsid w:val="00AA0277"/>
    <w:rsid w:val="00AA3601"/>
    <w:rsid w:val="00AA5484"/>
    <w:rsid w:val="00AA72E2"/>
    <w:rsid w:val="00AB324D"/>
    <w:rsid w:val="00AB372D"/>
    <w:rsid w:val="00AB54E1"/>
    <w:rsid w:val="00AC0164"/>
    <w:rsid w:val="00AC21B0"/>
    <w:rsid w:val="00AD18EE"/>
    <w:rsid w:val="00AD241D"/>
    <w:rsid w:val="00AD70FE"/>
    <w:rsid w:val="00AE05CD"/>
    <w:rsid w:val="00AE3241"/>
    <w:rsid w:val="00AF0762"/>
    <w:rsid w:val="00AF0FF0"/>
    <w:rsid w:val="00AF280D"/>
    <w:rsid w:val="00AF578F"/>
    <w:rsid w:val="00AF6007"/>
    <w:rsid w:val="00B0351D"/>
    <w:rsid w:val="00B05E99"/>
    <w:rsid w:val="00B06671"/>
    <w:rsid w:val="00B0676A"/>
    <w:rsid w:val="00B11A29"/>
    <w:rsid w:val="00B133A0"/>
    <w:rsid w:val="00B13566"/>
    <w:rsid w:val="00B1408B"/>
    <w:rsid w:val="00B17DAD"/>
    <w:rsid w:val="00B20076"/>
    <w:rsid w:val="00B20A37"/>
    <w:rsid w:val="00B20B1C"/>
    <w:rsid w:val="00B20DE5"/>
    <w:rsid w:val="00B2155A"/>
    <w:rsid w:val="00B21F9C"/>
    <w:rsid w:val="00B223A7"/>
    <w:rsid w:val="00B2734C"/>
    <w:rsid w:val="00B3003C"/>
    <w:rsid w:val="00B3022B"/>
    <w:rsid w:val="00B305AD"/>
    <w:rsid w:val="00B30748"/>
    <w:rsid w:val="00B34846"/>
    <w:rsid w:val="00B35C3E"/>
    <w:rsid w:val="00B3693B"/>
    <w:rsid w:val="00B403B6"/>
    <w:rsid w:val="00B425EE"/>
    <w:rsid w:val="00B4362D"/>
    <w:rsid w:val="00B43D7F"/>
    <w:rsid w:val="00B4423A"/>
    <w:rsid w:val="00B47F20"/>
    <w:rsid w:val="00B51C9D"/>
    <w:rsid w:val="00B545DC"/>
    <w:rsid w:val="00B62635"/>
    <w:rsid w:val="00B63317"/>
    <w:rsid w:val="00B71841"/>
    <w:rsid w:val="00B74938"/>
    <w:rsid w:val="00B75C93"/>
    <w:rsid w:val="00B934D8"/>
    <w:rsid w:val="00BA5EDE"/>
    <w:rsid w:val="00BB1130"/>
    <w:rsid w:val="00BB2E0C"/>
    <w:rsid w:val="00BB2F10"/>
    <w:rsid w:val="00BB7332"/>
    <w:rsid w:val="00BC33AF"/>
    <w:rsid w:val="00BC6990"/>
    <w:rsid w:val="00BD22E3"/>
    <w:rsid w:val="00BE1C50"/>
    <w:rsid w:val="00BE2E1F"/>
    <w:rsid w:val="00BE2ECF"/>
    <w:rsid w:val="00BE2FAC"/>
    <w:rsid w:val="00BE6794"/>
    <w:rsid w:val="00BE68C0"/>
    <w:rsid w:val="00BE7EBC"/>
    <w:rsid w:val="00BF3740"/>
    <w:rsid w:val="00BF3FDA"/>
    <w:rsid w:val="00BF5821"/>
    <w:rsid w:val="00BF683D"/>
    <w:rsid w:val="00BF7CAA"/>
    <w:rsid w:val="00C0233B"/>
    <w:rsid w:val="00C034E9"/>
    <w:rsid w:val="00C04F7A"/>
    <w:rsid w:val="00C060D6"/>
    <w:rsid w:val="00C1057D"/>
    <w:rsid w:val="00C20829"/>
    <w:rsid w:val="00C20A67"/>
    <w:rsid w:val="00C20C9C"/>
    <w:rsid w:val="00C22C16"/>
    <w:rsid w:val="00C22D1F"/>
    <w:rsid w:val="00C252CD"/>
    <w:rsid w:val="00C30B7E"/>
    <w:rsid w:val="00C33286"/>
    <w:rsid w:val="00C34DC8"/>
    <w:rsid w:val="00C4002C"/>
    <w:rsid w:val="00C43617"/>
    <w:rsid w:val="00C46465"/>
    <w:rsid w:val="00C47E84"/>
    <w:rsid w:val="00C518F8"/>
    <w:rsid w:val="00C53E8A"/>
    <w:rsid w:val="00C54D0C"/>
    <w:rsid w:val="00C57F07"/>
    <w:rsid w:val="00C61D8C"/>
    <w:rsid w:val="00C6261E"/>
    <w:rsid w:val="00C64D23"/>
    <w:rsid w:val="00C65010"/>
    <w:rsid w:val="00C70A0C"/>
    <w:rsid w:val="00C70FAE"/>
    <w:rsid w:val="00C727D1"/>
    <w:rsid w:val="00C73F6B"/>
    <w:rsid w:val="00C767F5"/>
    <w:rsid w:val="00C7727D"/>
    <w:rsid w:val="00C86222"/>
    <w:rsid w:val="00C932E8"/>
    <w:rsid w:val="00C93FEA"/>
    <w:rsid w:val="00CA30AD"/>
    <w:rsid w:val="00CA6CCE"/>
    <w:rsid w:val="00CB09F4"/>
    <w:rsid w:val="00CB142F"/>
    <w:rsid w:val="00CB3C3C"/>
    <w:rsid w:val="00CB6D3B"/>
    <w:rsid w:val="00CB76AD"/>
    <w:rsid w:val="00CC2E59"/>
    <w:rsid w:val="00CC3776"/>
    <w:rsid w:val="00CC39D8"/>
    <w:rsid w:val="00CC5D50"/>
    <w:rsid w:val="00CC603B"/>
    <w:rsid w:val="00CC78E2"/>
    <w:rsid w:val="00CD119A"/>
    <w:rsid w:val="00CD14A4"/>
    <w:rsid w:val="00CD1951"/>
    <w:rsid w:val="00CD1B8F"/>
    <w:rsid w:val="00CD41C5"/>
    <w:rsid w:val="00CE0B91"/>
    <w:rsid w:val="00CF2434"/>
    <w:rsid w:val="00CF4B20"/>
    <w:rsid w:val="00D036F4"/>
    <w:rsid w:val="00D046CC"/>
    <w:rsid w:val="00D06954"/>
    <w:rsid w:val="00D17C38"/>
    <w:rsid w:val="00D17C7B"/>
    <w:rsid w:val="00D20AE2"/>
    <w:rsid w:val="00D2134A"/>
    <w:rsid w:val="00D22BC1"/>
    <w:rsid w:val="00D23EDD"/>
    <w:rsid w:val="00D26F00"/>
    <w:rsid w:val="00D2740B"/>
    <w:rsid w:val="00D322A4"/>
    <w:rsid w:val="00D36636"/>
    <w:rsid w:val="00D428D3"/>
    <w:rsid w:val="00D4328A"/>
    <w:rsid w:val="00D45621"/>
    <w:rsid w:val="00D5024B"/>
    <w:rsid w:val="00D51AB5"/>
    <w:rsid w:val="00D631EA"/>
    <w:rsid w:val="00D673F1"/>
    <w:rsid w:val="00D71C77"/>
    <w:rsid w:val="00D75434"/>
    <w:rsid w:val="00D77A46"/>
    <w:rsid w:val="00D8133C"/>
    <w:rsid w:val="00D8215F"/>
    <w:rsid w:val="00D907D3"/>
    <w:rsid w:val="00D96057"/>
    <w:rsid w:val="00DB0532"/>
    <w:rsid w:val="00DB2AC6"/>
    <w:rsid w:val="00DB2DB5"/>
    <w:rsid w:val="00DB52A2"/>
    <w:rsid w:val="00DB6438"/>
    <w:rsid w:val="00DB7B06"/>
    <w:rsid w:val="00DC122C"/>
    <w:rsid w:val="00DC1462"/>
    <w:rsid w:val="00DC5969"/>
    <w:rsid w:val="00DD0971"/>
    <w:rsid w:val="00DD26EE"/>
    <w:rsid w:val="00DD4136"/>
    <w:rsid w:val="00DE05E7"/>
    <w:rsid w:val="00DE250D"/>
    <w:rsid w:val="00DF3078"/>
    <w:rsid w:val="00E00E65"/>
    <w:rsid w:val="00E05605"/>
    <w:rsid w:val="00E153B6"/>
    <w:rsid w:val="00E16BB8"/>
    <w:rsid w:val="00E21A2E"/>
    <w:rsid w:val="00E24BEB"/>
    <w:rsid w:val="00E32228"/>
    <w:rsid w:val="00E332A0"/>
    <w:rsid w:val="00E3526B"/>
    <w:rsid w:val="00E43D6B"/>
    <w:rsid w:val="00E43ED4"/>
    <w:rsid w:val="00E4769D"/>
    <w:rsid w:val="00E50651"/>
    <w:rsid w:val="00E509FF"/>
    <w:rsid w:val="00E519DA"/>
    <w:rsid w:val="00E52BAC"/>
    <w:rsid w:val="00E53ABF"/>
    <w:rsid w:val="00E5585F"/>
    <w:rsid w:val="00E567C4"/>
    <w:rsid w:val="00E56BA9"/>
    <w:rsid w:val="00E5787C"/>
    <w:rsid w:val="00E57D3B"/>
    <w:rsid w:val="00E60F2A"/>
    <w:rsid w:val="00E641C0"/>
    <w:rsid w:val="00E7562C"/>
    <w:rsid w:val="00E76723"/>
    <w:rsid w:val="00E85F23"/>
    <w:rsid w:val="00E9177B"/>
    <w:rsid w:val="00E928DA"/>
    <w:rsid w:val="00E94202"/>
    <w:rsid w:val="00E94305"/>
    <w:rsid w:val="00E97344"/>
    <w:rsid w:val="00EA1A43"/>
    <w:rsid w:val="00EA40B5"/>
    <w:rsid w:val="00EB32FE"/>
    <w:rsid w:val="00EB6369"/>
    <w:rsid w:val="00EB7DB0"/>
    <w:rsid w:val="00EC0876"/>
    <w:rsid w:val="00EC201D"/>
    <w:rsid w:val="00EC764B"/>
    <w:rsid w:val="00ED1CCB"/>
    <w:rsid w:val="00ED3686"/>
    <w:rsid w:val="00EF6319"/>
    <w:rsid w:val="00F0173A"/>
    <w:rsid w:val="00F02870"/>
    <w:rsid w:val="00F02E33"/>
    <w:rsid w:val="00F03AC5"/>
    <w:rsid w:val="00F0461F"/>
    <w:rsid w:val="00F07F5B"/>
    <w:rsid w:val="00F11D22"/>
    <w:rsid w:val="00F142D7"/>
    <w:rsid w:val="00F14EBB"/>
    <w:rsid w:val="00F16A12"/>
    <w:rsid w:val="00F16AB7"/>
    <w:rsid w:val="00F221A6"/>
    <w:rsid w:val="00F22788"/>
    <w:rsid w:val="00F3384A"/>
    <w:rsid w:val="00F34E72"/>
    <w:rsid w:val="00F36104"/>
    <w:rsid w:val="00F365D1"/>
    <w:rsid w:val="00F4784D"/>
    <w:rsid w:val="00F50067"/>
    <w:rsid w:val="00F5105F"/>
    <w:rsid w:val="00F53968"/>
    <w:rsid w:val="00F54050"/>
    <w:rsid w:val="00F54788"/>
    <w:rsid w:val="00F57A34"/>
    <w:rsid w:val="00F60A71"/>
    <w:rsid w:val="00F64B36"/>
    <w:rsid w:val="00F656CF"/>
    <w:rsid w:val="00F7580A"/>
    <w:rsid w:val="00F76986"/>
    <w:rsid w:val="00F8007A"/>
    <w:rsid w:val="00F92484"/>
    <w:rsid w:val="00F954BA"/>
    <w:rsid w:val="00F960EE"/>
    <w:rsid w:val="00FA11D0"/>
    <w:rsid w:val="00FA1FF7"/>
    <w:rsid w:val="00FA2192"/>
    <w:rsid w:val="00FA2F19"/>
    <w:rsid w:val="00FA3696"/>
    <w:rsid w:val="00FA5F5D"/>
    <w:rsid w:val="00FB02A0"/>
    <w:rsid w:val="00FB0FE9"/>
    <w:rsid w:val="00FB1010"/>
    <w:rsid w:val="00FB2BF7"/>
    <w:rsid w:val="00FB537E"/>
    <w:rsid w:val="00FC2587"/>
    <w:rsid w:val="00FC3EAF"/>
    <w:rsid w:val="00FC4390"/>
    <w:rsid w:val="00FC497C"/>
    <w:rsid w:val="00FC70F9"/>
    <w:rsid w:val="00FD1131"/>
    <w:rsid w:val="00FD441E"/>
    <w:rsid w:val="00FD777C"/>
    <w:rsid w:val="00FD7F2D"/>
    <w:rsid w:val="00FE326D"/>
    <w:rsid w:val="00FE3E90"/>
    <w:rsid w:val="00FE4F54"/>
    <w:rsid w:val="00FE6BD3"/>
    <w:rsid w:val="00FF10C1"/>
    <w:rsid w:val="00FF1C48"/>
    <w:rsid w:val="00FF2311"/>
    <w:rsid w:val="00FF4D93"/>
    <w:rsid w:val="00FF6FA8"/>
    <w:rsid w:val="00FF7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27E"/>
    <w:pPr>
      <w:widowControl w:val="0"/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9327E"/>
    <w:pPr>
      <w:keepNext/>
      <w:numPr>
        <w:numId w:val="1"/>
      </w:numPr>
      <w:spacing w:before="120" w:after="120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69327E"/>
    <w:pPr>
      <w:keepNext/>
      <w:numPr>
        <w:ilvl w:val="1"/>
        <w:numId w:val="1"/>
      </w:numPr>
      <w:tabs>
        <w:tab w:val="left" w:pos="709"/>
      </w:tabs>
      <w:spacing w:before="120" w:after="120"/>
      <w:outlineLvl w:val="1"/>
    </w:pPr>
    <w:rPr>
      <w:bCs/>
    </w:rPr>
  </w:style>
  <w:style w:type="paragraph" w:styleId="Ttulo3">
    <w:name w:val="heading 3"/>
    <w:basedOn w:val="Normal"/>
    <w:next w:val="Normal"/>
    <w:link w:val="Ttulo3Char"/>
    <w:qFormat/>
    <w:rsid w:val="0069327E"/>
    <w:pPr>
      <w:numPr>
        <w:ilvl w:val="2"/>
        <w:numId w:val="1"/>
      </w:numPr>
      <w:tabs>
        <w:tab w:val="left" w:pos="851"/>
      </w:tabs>
      <w:outlineLvl w:val="2"/>
    </w:pPr>
    <w:rPr>
      <w:bCs/>
    </w:rPr>
  </w:style>
  <w:style w:type="paragraph" w:styleId="Ttulo4">
    <w:name w:val="heading 4"/>
    <w:basedOn w:val="Normal"/>
    <w:next w:val="Normal"/>
    <w:link w:val="Ttulo4Char"/>
    <w:autoRedefine/>
    <w:qFormat/>
    <w:rsid w:val="006D61FA"/>
    <w:pPr>
      <w:keepNext/>
      <w:widowControl/>
      <w:numPr>
        <w:ilvl w:val="3"/>
        <w:numId w:val="1"/>
      </w:numPr>
      <w:spacing w:before="480" w:after="120"/>
      <w:ind w:left="1435" w:hanging="1435"/>
      <w:jc w:val="left"/>
      <w:outlineLvl w:val="3"/>
    </w:pPr>
    <w:rPr>
      <w:rFonts w:eastAsia="Arial Unicode MS"/>
      <w:bCs/>
      <w:color w:val="000000" w:themeColor="text1"/>
      <w:szCs w:val="20"/>
    </w:rPr>
  </w:style>
  <w:style w:type="paragraph" w:styleId="Ttulo5">
    <w:name w:val="heading 5"/>
    <w:basedOn w:val="Normal"/>
    <w:next w:val="Normal"/>
    <w:link w:val="Ttulo5Char"/>
    <w:qFormat/>
    <w:rsid w:val="0069327E"/>
    <w:pPr>
      <w:keepNext/>
      <w:widowControl/>
      <w:numPr>
        <w:ilvl w:val="4"/>
        <w:numId w:val="1"/>
      </w:numPr>
      <w:outlineLvl w:val="4"/>
    </w:pPr>
    <w:rPr>
      <w:rFonts w:cs="Times New Roman"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9327E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9327E"/>
    <w:rPr>
      <w:rFonts w:ascii="Arial" w:eastAsia="Times New Roman" w:hAnsi="Arial" w:cs="Arial"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69327E"/>
    <w:rPr>
      <w:rFonts w:ascii="Arial" w:eastAsia="Times New Roman" w:hAnsi="Arial" w:cs="Arial"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6D61FA"/>
    <w:rPr>
      <w:rFonts w:ascii="Arial" w:eastAsia="Arial Unicode MS" w:hAnsi="Arial" w:cs="Arial"/>
      <w:bCs/>
      <w:color w:val="000000" w:themeColor="text1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69327E"/>
    <w:rPr>
      <w:rFonts w:ascii="Arial" w:eastAsia="Times New Roman" w:hAnsi="Arial" w:cs="Times New Roman"/>
      <w:bCs/>
      <w:sz w:val="24"/>
      <w:szCs w:val="24"/>
      <w:lang w:eastAsia="pt-BR"/>
    </w:rPr>
  </w:style>
  <w:style w:type="paragraph" w:styleId="Legenda">
    <w:name w:val="caption"/>
    <w:basedOn w:val="Normal"/>
    <w:next w:val="Normal"/>
    <w:uiPriority w:val="35"/>
    <w:qFormat/>
    <w:rsid w:val="0069327E"/>
    <w:pPr>
      <w:jc w:val="center"/>
    </w:pPr>
    <w:rPr>
      <w:b/>
      <w:bCs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32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327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3E6EC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3E6ECE"/>
    <w:rPr>
      <w:rFonts w:ascii="Arial" w:eastAsia="Times New Roman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E6EC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6ECE"/>
    <w:rPr>
      <w:rFonts w:ascii="Arial" w:eastAsia="Times New Roman" w:hAnsi="Arial" w:cs="Arial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5477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4770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47700"/>
    <w:rPr>
      <w:rFonts w:ascii="Arial" w:eastAsia="Times New Roman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77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770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47700"/>
    <w:pPr>
      <w:widowControl/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4003F8"/>
    <w:pPr>
      <w:ind w:left="720"/>
      <w:contextualSpacing/>
    </w:pPr>
  </w:style>
  <w:style w:type="paragraph" w:styleId="Ttulo">
    <w:name w:val="Title"/>
    <w:basedOn w:val="Normal"/>
    <w:link w:val="TtuloChar"/>
    <w:qFormat/>
    <w:rsid w:val="002646AB"/>
    <w:pPr>
      <w:widowControl/>
      <w:numPr>
        <w:numId w:val="10"/>
      </w:numPr>
      <w:spacing w:before="120"/>
    </w:pPr>
    <w:rPr>
      <w:rFonts w:ascii="Times New Roman" w:hAnsi="Times New Roman" w:cs="Times New Roman"/>
      <w:bCs/>
      <w:sz w:val="28"/>
    </w:rPr>
  </w:style>
  <w:style w:type="character" w:customStyle="1" w:styleId="TtuloChar">
    <w:name w:val="Título Char"/>
    <w:basedOn w:val="Fontepargpadro"/>
    <w:link w:val="Ttulo"/>
    <w:rsid w:val="002646AB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table" w:styleId="Tabelacomgrade">
    <w:name w:val="Table Grid"/>
    <w:basedOn w:val="Tabelanormal"/>
    <w:uiPriority w:val="59"/>
    <w:rsid w:val="00D213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BB2E0C"/>
  </w:style>
  <w:style w:type="paragraph" w:styleId="Corpodetexto">
    <w:name w:val="Body Text"/>
    <w:basedOn w:val="Normal"/>
    <w:link w:val="CorpodetextoChar"/>
    <w:semiHidden/>
    <w:rsid w:val="00D22BC1"/>
    <w:pPr>
      <w:widowControl/>
      <w:numPr>
        <w:numId w:val="28"/>
      </w:numPr>
      <w:tabs>
        <w:tab w:val="left" w:pos="1418"/>
        <w:tab w:val="left" w:pos="2977"/>
      </w:tabs>
      <w:spacing w:after="240" w:line="240" w:lineRule="auto"/>
    </w:pPr>
    <w:rPr>
      <w:rFonts w:ascii="Times New Roman" w:hAnsi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D22BC1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SombreamentoClaro-nfase5">
    <w:name w:val="Light Shading Accent 5"/>
    <w:basedOn w:val="Tabelanormal"/>
    <w:uiPriority w:val="60"/>
    <w:rsid w:val="00150D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Reviso">
    <w:name w:val="Revision"/>
    <w:hidden/>
    <w:uiPriority w:val="99"/>
    <w:semiHidden/>
    <w:rsid w:val="009D1996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norma">
    <w:name w:val="norma"/>
    <w:basedOn w:val="Normal"/>
    <w:rsid w:val="006F1768"/>
    <w:pPr>
      <w:widowControl/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</w:rPr>
  </w:style>
  <w:style w:type="paragraph" w:customStyle="1" w:styleId="texto">
    <w:name w:val="texto"/>
    <w:basedOn w:val="Normal"/>
    <w:rsid w:val="006F1768"/>
    <w:pPr>
      <w:widowControl/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</w:rPr>
  </w:style>
  <w:style w:type="character" w:styleId="Hyperlink">
    <w:name w:val="Hyperlink"/>
    <w:basedOn w:val="Fontepargpadro"/>
    <w:uiPriority w:val="99"/>
    <w:semiHidden/>
    <w:unhideWhenUsed/>
    <w:rsid w:val="006F1768"/>
    <w:rPr>
      <w:color w:val="0000FF"/>
      <w:u w:val="single"/>
    </w:rPr>
  </w:style>
  <w:style w:type="paragraph" w:customStyle="1" w:styleId="assinatura">
    <w:name w:val="assinatura"/>
    <w:basedOn w:val="Normal"/>
    <w:rsid w:val="006F1768"/>
    <w:pPr>
      <w:widowControl/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</w:rPr>
  </w:style>
  <w:style w:type="paragraph" w:customStyle="1" w:styleId="Minuta-Artigo">
    <w:name w:val="Minuta - Artigo"/>
    <w:basedOn w:val="texto"/>
    <w:qFormat/>
    <w:rsid w:val="006F1768"/>
    <w:pPr>
      <w:tabs>
        <w:tab w:val="left" w:pos="567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40" w:beforeAutospacing="0" w:after="120" w:afterAutospacing="0"/>
      <w:ind w:left="360"/>
      <w:jc w:val="both"/>
    </w:pPr>
    <w:rPr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232BC5-89A3-42EE-A0E4-0268AF291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2971</Words>
  <Characters>16044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daraujo</cp:lastModifiedBy>
  <cp:revision>4</cp:revision>
  <cp:lastPrinted>2017-12-22T18:42:00Z</cp:lastPrinted>
  <dcterms:created xsi:type="dcterms:W3CDTF">2018-06-21T18:44:00Z</dcterms:created>
  <dcterms:modified xsi:type="dcterms:W3CDTF">2018-06-21T18:45:00Z</dcterms:modified>
</cp:coreProperties>
</file>