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A60A7B" w:rsidRPr="00A60A7B" w:rsidRDefault="00A60A7B" w:rsidP="00A60A7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0A7B">
        <w:rPr>
          <w:sz w:val="24"/>
          <w:szCs w:val="24"/>
        </w:rPr>
        <w:t>AGÊNCIA NACIONAL DO PETRÓLEO, GÁS NATURAL E BIOCOMBUSTÍVEIS – ANP</w:t>
      </w:r>
    </w:p>
    <w:p w:rsidR="00A60A7B" w:rsidRPr="00A60A7B" w:rsidRDefault="00A60A7B" w:rsidP="00A60A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0A7B" w:rsidRPr="00A60A7B" w:rsidRDefault="00A60A7B" w:rsidP="00A60A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0A7B" w:rsidRPr="00A60A7B" w:rsidRDefault="00A60A7B" w:rsidP="00A60A7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0A7B">
        <w:rPr>
          <w:sz w:val="24"/>
          <w:szCs w:val="24"/>
        </w:rPr>
        <w:t>AVISO DE CONSULTA PÚBLICA E AUDIÊNCIA PÚBLICA Nº 20/2017</w:t>
      </w:r>
    </w:p>
    <w:p w:rsidR="00A60A7B" w:rsidRPr="00A60A7B" w:rsidRDefault="00A60A7B" w:rsidP="00A60A7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0A7B" w:rsidRPr="00A60A7B" w:rsidRDefault="00A60A7B" w:rsidP="00A60A7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O DIRETOR-GERAL DA AGÊNCIA NACIONAL DO PETRÓLEO, GÁS NATURAL E BIOCOMBUSTÍVEIS - ANP, no uso de suas atribuições, com base na Resolução de Diretoria nº 464, de 17 de julho de 2017, e no que consta no processo n° 48610.002325/2012-17,</w:t>
      </w: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COMUNICA:</w:t>
      </w:r>
    </w:p>
    <w:p w:rsidR="00C03364" w:rsidRPr="00A60A7B" w:rsidRDefault="007F3DD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Aos agentes econômicos do setor de petróleo e gás natural, e aos demais interessados</w:t>
      </w:r>
      <w:r w:rsidR="00C03364" w:rsidRPr="00A60A7B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1. OBJETIVO: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0A14" w:rsidRPr="00A60A7B" w:rsidRDefault="00701DB1" w:rsidP="000D6D2E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Recolher</w:t>
      </w:r>
      <w:r w:rsidR="00AD0A14" w:rsidRPr="00A60A7B">
        <w:rPr>
          <w:sz w:val="24"/>
          <w:szCs w:val="24"/>
        </w:rPr>
        <w:t xml:space="preserve"> subsídios para a edição </w:t>
      </w:r>
      <w:r w:rsidR="00CF255F" w:rsidRPr="00A60A7B">
        <w:rPr>
          <w:sz w:val="24"/>
          <w:szCs w:val="24"/>
        </w:rPr>
        <w:t xml:space="preserve">de </w:t>
      </w:r>
      <w:r w:rsidR="00AD0A14" w:rsidRPr="00A60A7B">
        <w:rPr>
          <w:sz w:val="24"/>
          <w:szCs w:val="24"/>
        </w:rPr>
        <w:t xml:space="preserve">ato regulatório que disciplinará os critérios, requisitos e procedimentos aplicáveis à Isenção de cumprimento da obrigação de Conteúdo Local, bem como  as regras gerais dos Ajustes de percentual de Conteúdo Local comprometido e das Transferências de Excedente de Conteúdo Local, relativos aos Contratos de Concessão a partir da Sétima até a Décima Terceira Rodada de Licitações, de Cessão Onerosa e da Primeira Rodada de Partilha de Produção dos blocos de </w:t>
      </w:r>
      <w:r w:rsidR="00CF255F" w:rsidRPr="00A60A7B">
        <w:rPr>
          <w:sz w:val="24"/>
          <w:szCs w:val="24"/>
        </w:rPr>
        <w:t>e</w:t>
      </w:r>
      <w:r w:rsidR="00AD0A14" w:rsidRPr="00A60A7B">
        <w:rPr>
          <w:sz w:val="24"/>
          <w:szCs w:val="24"/>
        </w:rPr>
        <w:t>xploração de petróleo e gás natural</w:t>
      </w:r>
      <w:r w:rsidR="00D44131" w:rsidRPr="00A60A7B">
        <w:rPr>
          <w:sz w:val="24"/>
          <w:szCs w:val="24"/>
        </w:rPr>
        <w:t>.</w:t>
      </w:r>
    </w:p>
    <w:p w:rsidR="00D44131" w:rsidRPr="00A60A7B" w:rsidRDefault="00D44131" w:rsidP="00D44131">
      <w:pPr>
        <w:pStyle w:val="PargrafodaLista"/>
        <w:tabs>
          <w:tab w:val="left" w:pos="567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101214" w:rsidRPr="00A60A7B" w:rsidRDefault="0010121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Propiciar aos agentes econômicos e aos demais interessados a possibilidade de encaminhamento de opiniões, sugestões e manifestações sobre o tema.</w:t>
      </w:r>
    </w:p>
    <w:p w:rsidR="00101214" w:rsidRPr="00A60A7B" w:rsidRDefault="00101214" w:rsidP="00101214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101214">
      <w:pPr>
        <w:pStyle w:val="PargrafodaLista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Dar publicidade, transparência e legitimidade às ações da ANP.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2. DISPONIBILIZAÇÃO DE INFORMAÇÕES: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 xml:space="preserve">2.1 </w:t>
      </w:r>
      <w:r w:rsidR="00101214" w:rsidRPr="00A60A7B">
        <w:rPr>
          <w:sz w:val="24"/>
          <w:szCs w:val="24"/>
        </w:rPr>
        <w:t>A minuta de Resolução objeto desta Audiência estará à disposição dos interessados no seguinte endereço:</w:t>
      </w:r>
    </w:p>
    <w:p w:rsidR="00101214" w:rsidRPr="00A60A7B" w:rsidRDefault="0010121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 xml:space="preserve">INTERNET - </w:t>
      </w:r>
      <w:r w:rsidR="00635CF2" w:rsidRPr="00A60A7B">
        <w:rPr>
          <w:sz w:val="24"/>
          <w:szCs w:val="24"/>
        </w:rPr>
        <w:t>http://www.anp.gov.br/wwwanp/consultas-e-audiencias-publicas</w:t>
      </w:r>
    </w:p>
    <w:p w:rsidR="007F3DDC" w:rsidRPr="00A60A7B" w:rsidRDefault="007F3DDC" w:rsidP="007F3DD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3DDC" w:rsidRPr="00A60A7B" w:rsidRDefault="007F3DDC" w:rsidP="007F3DD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ANP – Coordenadoria de Conteúdo Local – Av. Rio Branco, nº 65, 18º andar, Centro, Rio de Janeiro/RJ.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0A7B">
        <w:rPr>
          <w:sz w:val="24"/>
          <w:szCs w:val="24"/>
        </w:rPr>
        <w:t>Da Consulta Pública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3. PRAZO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3.1 O prazo da Consulta Pública é de</w:t>
      </w:r>
      <w:r w:rsidR="007F3DDC" w:rsidRPr="00A60A7B">
        <w:rPr>
          <w:sz w:val="24"/>
          <w:szCs w:val="24"/>
        </w:rPr>
        <w:t xml:space="preserve"> 30 (trinta)</w:t>
      </w:r>
      <w:r w:rsidRPr="00A60A7B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4. ENVIO DE COMENTÁRIOS / SUGESTÕES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lastRenderedPageBreak/>
        <w:t>4.1 Os</w:t>
      </w:r>
      <w:proofErr w:type="gramEnd"/>
      <w:r w:rsidRPr="00A60A7B">
        <w:rPr>
          <w:sz w:val="24"/>
          <w:szCs w:val="24"/>
        </w:rPr>
        <w:t xml:space="preserve"> comentários/sugestões deverão ser encaminhados à ANP para o endereço eletrônico:</w:t>
      </w:r>
      <w:r w:rsidR="0036004C" w:rsidRPr="00A60A7B">
        <w:rPr>
          <w:sz w:val="24"/>
          <w:szCs w:val="24"/>
        </w:rPr>
        <w:t xml:space="preserve"> </w:t>
      </w:r>
      <w:r w:rsidR="00101214" w:rsidRPr="00A60A7B">
        <w:rPr>
          <w:sz w:val="24"/>
          <w:szCs w:val="24"/>
        </w:rPr>
        <w:t>res_iat</w:t>
      </w:r>
      <w:r w:rsidRPr="00A60A7B">
        <w:rPr>
          <w:sz w:val="24"/>
          <w:szCs w:val="24"/>
        </w:rPr>
        <w:t xml:space="preserve">@anp.gov.br, fax (21) </w:t>
      </w:r>
      <w:r w:rsidR="007F3DDC" w:rsidRPr="00A60A7B">
        <w:rPr>
          <w:sz w:val="24"/>
          <w:szCs w:val="24"/>
        </w:rPr>
        <w:t>2112-8529</w:t>
      </w:r>
      <w:r w:rsidRPr="00A60A7B">
        <w:rPr>
          <w:sz w:val="24"/>
          <w:szCs w:val="24"/>
        </w:rPr>
        <w:t>, ou diretamente em um dos protocolos da ANP, por meio de formulário próprio disponibilizado nos endereços indicados no item 2.1 deste aviso: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0A7B">
        <w:rPr>
          <w:sz w:val="24"/>
          <w:szCs w:val="24"/>
        </w:rPr>
        <w:t>Da Aud</w:t>
      </w:r>
      <w:r w:rsidR="007F3DDC" w:rsidRPr="00A60A7B">
        <w:rPr>
          <w:sz w:val="24"/>
          <w:szCs w:val="24"/>
        </w:rPr>
        <w:t>i</w:t>
      </w:r>
      <w:r w:rsidR="00C03364" w:rsidRPr="00A60A7B">
        <w:rPr>
          <w:sz w:val="24"/>
          <w:szCs w:val="24"/>
        </w:rPr>
        <w:t>ência Pública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5. DATA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 xml:space="preserve">5.1 A Audiência Pública ocorrerá das </w:t>
      </w:r>
      <w:r w:rsidR="00EA0D98" w:rsidRPr="00A60A7B">
        <w:rPr>
          <w:sz w:val="24"/>
          <w:szCs w:val="24"/>
        </w:rPr>
        <w:t>08</w:t>
      </w:r>
      <w:r w:rsidR="007F3DDC" w:rsidRPr="00A60A7B">
        <w:rPr>
          <w:sz w:val="24"/>
          <w:szCs w:val="24"/>
        </w:rPr>
        <w:t>h</w:t>
      </w:r>
      <w:r w:rsidRPr="00A60A7B">
        <w:rPr>
          <w:sz w:val="24"/>
          <w:szCs w:val="24"/>
        </w:rPr>
        <w:t xml:space="preserve"> às </w:t>
      </w:r>
      <w:r w:rsidR="007F3DDC" w:rsidRPr="00A60A7B">
        <w:rPr>
          <w:sz w:val="24"/>
          <w:szCs w:val="24"/>
        </w:rPr>
        <w:t>1</w:t>
      </w:r>
      <w:r w:rsidR="00495C7E" w:rsidRPr="00A60A7B">
        <w:rPr>
          <w:sz w:val="24"/>
          <w:szCs w:val="24"/>
        </w:rPr>
        <w:t>2</w:t>
      </w:r>
      <w:r w:rsidR="007F3DDC" w:rsidRPr="00A60A7B">
        <w:rPr>
          <w:sz w:val="24"/>
          <w:szCs w:val="24"/>
        </w:rPr>
        <w:t>h</w:t>
      </w:r>
      <w:r w:rsidRPr="00A60A7B">
        <w:rPr>
          <w:sz w:val="24"/>
          <w:szCs w:val="24"/>
        </w:rPr>
        <w:t xml:space="preserve"> horas do dia</w:t>
      </w:r>
      <w:r w:rsidR="00AD0A14" w:rsidRPr="00A60A7B">
        <w:rPr>
          <w:sz w:val="24"/>
          <w:szCs w:val="24"/>
        </w:rPr>
        <w:t xml:space="preserve"> </w:t>
      </w:r>
      <w:r w:rsidR="0032785F" w:rsidRPr="00A60A7B">
        <w:rPr>
          <w:sz w:val="24"/>
          <w:szCs w:val="24"/>
        </w:rPr>
        <w:t xml:space="preserve">01 </w:t>
      </w:r>
      <w:r w:rsidRPr="00A60A7B">
        <w:rPr>
          <w:sz w:val="24"/>
          <w:szCs w:val="24"/>
        </w:rPr>
        <w:t xml:space="preserve">de </w:t>
      </w:r>
      <w:r w:rsidR="0032785F" w:rsidRPr="00A60A7B">
        <w:rPr>
          <w:sz w:val="24"/>
          <w:szCs w:val="24"/>
        </w:rPr>
        <w:t xml:space="preserve">setembro </w:t>
      </w:r>
      <w:r w:rsidRPr="00A60A7B">
        <w:rPr>
          <w:sz w:val="24"/>
          <w:szCs w:val="24"/>
        </w:rPr>
        <w:t xml:space="preserve">de </w:t>
      </w:r>
      <w:r w:rsidR="007F3DDC" w:rsidRPr="00A60A7B">
        <w:rPr>
          <w:sz w:val="24"/>
          <w:szCs w:val="24"/>
        </w:rPr>
        <w:t>2017</w:t>
      </w:r>
      <w:r w:rsidRPr="00A60A7B">
        <w:rPr>
          <w:sz w:val="24"/>
          <w:szCs w:val="24"/>
        </w:rPr>
        <w:t>, no Escritório Central da ANP, na Avenida Rio Branco, 65, 13º andar, Centro, Rio de Janeiro/RJ.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6. FORMA DE PARTICIPAÇÃO E CADASTRAMENTO DE EXPOSITORES NA AUDIÊNCIA PÚBLICA: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F3DDC" w:rsidRPr="00A60A7B" w:rsidRDefault="007F3DDC" w:rsidP="007F3DD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t>6.1 Os</w:t>
      </w:r>
      <w:proofErr w:type="gramEnd"/>
      <w:r w:rsidRPr="00A60A7B">
        <w:rPr>
          <w:sz w:val="24"/>
          <w:szCs w:val="24"/>
        </w:rPr>
        <w:t xml:space="preserve"> interessados em participar da Audiência Pública deverão preencher formulário próprio disponibilizado no sítio eletrônico </w:t>
      </w:r>
      <w:r w:rsidR="00BA4267" w:rsidRPr="00A60A7B">
        <w:rPr>
          <w:sz w:val="24"/>
          <w:szCs w:val="24"/>
        </w:rPr>
        <w:t>http://www.anp.gov.br/wwwanp/consultas-e-audiencias-publicas</w:t>
      </w:r>
      <w:r w:rsidRPr="00A60A7B">
        <w:rPr>
          <w:sz w:val="24"/>
          <w:szCs w:val="24"/>
        </w:rPr>
        <w:t xml:space="preserve"> e enviá-lo para o endereço eletrônico </w:t>
      </w:r>
      <w:r w:rsidR="00AD0A14" w:rsidRPr="00A60A7B">
        <w:rPr>
          <w:sz w:val="24"/>
          <w:szCs w:val="24"/>
        </w:rPr>
        <w:t>res_iat@anp.gov.br</w:t>
      </w:r>
      <w:r w:rsidRPr="00A60A7B">
        <w:rPr>
          <w:sz w:val="24"/>
          <w:szCs w:val="24"/>
        </w:rPr>
        <w:t>, para o fax (21) 2112-8529, ou entregá-lo diretamente no Protocolo da ANP, situado na Av. Rio Branco, nº 65, térreo, Centro</w:t>
      </w:r>
      <w:r w:rsidR="003E45CC" w:rsidRPr="00A60A7B">
        <w:rPr>
          <w:sz w:val="24"/>
          <w:szCs w:val="24"/>
        </w:rPr>
        <w:t xml:space="preserve">, Rio de Janeiro/RJ, até o dia </w:t>
      </w:r>
      <w:r w:rsidR="0032785F" w:rsidRPr="00A60A7B">
        <w:rPr>
          <w:sz w:val="24"/>
          <w:szCs w:val="24"/>
        </w:rPr>
        <w:t>25</w:t>
      </w:r>
      <w:r w:rsidR="00AD0A14" w:rsidRPr="00A60A7B">
        <w:rPr>
          <w:sz w:val="24"/>
          <w:szCs w:val="24"/>
        </w:rPr>
        <w:t xml:space="preserve"> de </w:t>
      </w:r>
      <w:r w:rsidR="00526824" w:rsidRPr="00A60A7B">
        <w:rPr>
          <w:sz w:val="24"/>
          <w:szCs w:val="24"/>
        </w:rPr>
        <w:t>agosto</w:t>
      </w:r>
      <w:r w:rsidR="003E45CC" w:rsidRPr="00A60A7B">
        <w:rPr>
          <w:sz w:val="24"/>
          <w:szCs w:val="24"/>
        </w:rPr>
        <w:t xml:space="preserve"> de 2017</w:t>
      </w:r>
      <w:r w:rsidRPr="00A60A7B">
        <w:rPr>
          <w:sz w:val="24"/>
          <w:szCs w:val="24"/>
        </w:rPr>
        <w:t>.</w:t>
      </w:r>
    </w:p>
    <w:p w:rsidR="007F3DDC" w:rsidRPr="00A60A7B" w:rsidRDefault="007F3DD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t>6.</w:t>
      </w:r>
      <w:r w:rsidR="007F3DDC" w:rsidRPr="00A60A7B">
        <w:rPr>
          <w:sz w:val="24"/>
          <w:szCs w:val="24"/>
        </w:rPr>
        <w:t>2</w:t>
      </w:r>
      <w:r w:rsidRPr="00A60A7B">
        <w:rPr>
          <w:sz w:val="24"/>
          <w:szCs w:val="24"/>
        </w:rPr>
        <w:t xml:space="preserve"> As</w:t>
      </w:r>
      <w:proofErr w:type="gramEnd"/>
      <w:r w:rsidRPr="00A60A7B">
        <w:rPr>
          <w:sz w:val="24"/>
          <w:szCs w:val="24"/>
        </w:rPr>
        <w:t xml:space="preserve"> inscrições de expositores interessados em se manifestar verbalmente durante a Audiência</w:t>
      </w:r>
      <w:r w:rsidR="007F3DDC" w:rsidRPr="00A60A7B">
        <w:rPr>
          <w:sz w:val="24"/>
          <w:szCs w:val="24"/>
        </w:rPr>
        <w:t xml:space="preserve"> </w:t>
      </w:r>
      <w:r w:rsidRPr="00A60A7B">
        <w:rPr>
          <w:sz w:val="24"/>
          <w:szCs w:val="24"/>
        </w:rPr>
        <w:t xml:space="preserve">deverão ser realizadas até as </w:t>
      </w:r>
      <w:r w:rsidR="007F3DDC" w:rsidRPr="00A60A7B">
        <w:rPr>
          <w:sz w:val="24"/>
          <w:szCs w:val="24"/>
        </w:rPr>
        <w:t>18</w:t>
      </w:r>
      <w:r w:rsidRPr="00A60A7B">
        <w:rPr>
          <w:sz w:val="24"/>
          <w:szCs w:val="24"/>
        </w:rPr>
        <w:t xml:space="preserve"> horas do dia </w:t>
      </w:r>
      <w:r w:rsidR="0032785F" w:rsidRPr="00A60A7B">
        <w:rPr>
          <w:sz w:val="24"/>
          <w:szCs w:val="24"/>
        </w:rPr>
        <w:t>25</w:t>
      </w:r>
      <w:r w:rsidR="00AD0A14" w:rsidRPr="00A60A7B">
        <w:rPr>
          <w:sz w:val="24"/>
          <w:szCs w:val="24"/>
        </w:rPr>
        <w:t xml:space="preserve"> de </w:t>
      </w:r>
      <w:r w:rsidR="00EA0D98" w:rsidRPr="00A60A7B">
        <w:rPr>
          <w:sz w:val="24"/>
          <w:szCs w:val="24"/>
        </w:rPr>
        <w:t>agosto</w:t>
      </w:r>
      <w:r w:rsidR="007F3DDC" w:rsidRPr="00A60A7B">
        <w:rPr>
          <w:sz w:val="24"/>
          <w:szCs w:val="24"/>
        </w:rPr>
        <w:t xml:space="preserve"> </w:t>
      </w:r>
      <w:r w:rsidRPr="00A60A7B">
        <w:rPr>
          <w:sz w:val="24"/>
          <w:szCs w:val="24"/>
        </w:rPr>
        <w:t xml:space="preserve">de </w:t>
      </w:r>
      <w:r w:rsidR="007F3DDC" w:rsidRPr="00A60A7B">
        <w:rPr>
          <w:sz w:val="24"/>
          <w:szCs w:val="24"/>
        </w:rPr>
        <w:t>2017</w:t>
      </w:r>
      <w:r w:rsidRPr="00A60A7B">
        <w:rPr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AD0A14" w:rsidRPr="00A60A7B">
        <w:rPr>
          <w:sz w:val="24"/>
          <w:szCs w:val="24"/>
        </w:rPr>
        <w:t>res_iat@anp.gov.br</w:t>
      </w:r>
      <w:r w:rsidRPr="00A60A7B">
        <w:rPr>
          <w:sz w:val="24"/>
          <w:szCs w:val="24"/>
        </w:rPr>
        <w:t xml:space="preserve">, fax (21) </w:t>
      </w:r>
      <w:r w:rsidR="007F3DDC" w:rsidRPr="00A60A7B">
        <w:rPr>
          <w:sz w:val="24"/>
          <w:szCs w:val="24"/>
        </w:rPr>
        <w:t>2112-8529</w:t>
      </w:r>
      <w:r w:rsidRPr="00A60A7B">
        <w:rPr>
          <w:sz w:val="24"/>
          <w:szCs w:val="24"/>
        </w:rPr>
        <w:t>, ou diretamente em um dos protocolos da ANP.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6.</w:t>
      </w:r>
      <w:r w:rsidR="007F3DDC" w:rsidRPr="00A60A7B">
        <w:rPr>
          <w:sz w:val="24"/>
          <w:szCs w:val="24"/>
        </w:rPr>
        <w:t>3</w:t>
      </w:r>
      <w:r w:rsidRPr="00A60A7B">
        <w:rPr>
          <w:sz w:val="24"/>
          <w:szCs w:val="24"/>
        </w:rPr>
        <w:t xml:space="preserve">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t>6.</w:t>
      </w:r>
      <w:r w:rsidR="007F3DDC" w:rsidRPr="00A60A7B">
        <w:rPr>
          <w:sz w:val="24"/>
          <w:szCs w:val="24"/>
        </w:rPr>
        <w:t>4</w:t>
      </w:r>
      <w:r w:rsidRPr="00A60A7B">
        <w:rPr>
          <w:sz w:val="24"/>
          <w:szCs w:val="24"/>
        </w:rPr>
        <w:t xml:space="preserve"> Para</w:t>
      </w:r>
      <w:proofErr w:type="gramEnd"/>
      <w:r w:rsidRPr="00A60A7B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</w:t>
      </w:r>
      <w:r w:rsidR="00AD0A14" w:rsidRPr="00A60A7B">
        <w:rPr>
          <w:sz w:val="24"/>
          <w:szCs w:val="24"/>
        </w:rPr>
        <w:t xml:space="preserve">até as 18 horas do dia </w:t>
      </w:r>
      <w:r w:rsidR="0032785F" w:rsidRPr="00A60A7B">
        <w:rPr>
          <w:sz w:val="24"/>
          <w:szCs w:val="24"/>
        </w:rPr>
        <w:t>25</w:t>
      </w:r>
      <w:r w:rsidR="00AD0A14" w:rsidRPr="00A60A7B">
        <w:rPr>
          <w:sz w:val="24"/>
          <w:szCs w:val="24"/>
        </w:rPr>
        <w:t xml:space="preserve"> de </w:t>
      </w:r>
      <w:r w:rsidR="00EA0D98" w:rsidRPr="00A60A7B">
        <w:rPr>
          <w:sz w:val="24"/>
          <w:szCs w:val="24"/>
        </w:rPr>
        <w:t>agosto</w:t>
      </w:r>
      <w:r w:rsidR="00AD0A14" w:rsidRPr="00A60A7B">
        <w:rPr>
          <w:sz w:val="24"/>
          <w:szCs w:val="24"/>
        </w:rPr>
        <w:t xml:space="preserve"> de 2017</w:t>
      </w:r>
      <w:r w:rsidRPr="00A60A7B">
        <w:rPr>
          <w:sz w:val="24"/>
          <w:szCs w:val="24"/>
        </w:rPr>
        <w:t>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t>6.</w:t>
      </w:r>
      <w:r w:rsidR="007F3DDC" w:rsidRPr="00A60A7B">
        <w:rPr>
          <w:sz w:val="24"/>
          <w:szCs w:val="24"/>
        </w:rPr>
        <w:t>5</w:t>
      </w:r>
      <w:r w:rsidRPr="00A60A7B">
        <w:rPr>
          <w:sz w:val="24"/>
          <w:szCs w:val="24"/>
        </w:rPr>
        <w:t xml:space="preserve"> Cada</w:t>
      </w:r>
      <w:proofErr w:type="gramEnd"/>
      <w:r w:rsidRPr="00A60A7B">
        <w:rPr>
          <w:sz w:val="24"/>
          <w:szCs w:val="24"/>
        </w:rPr>
        <w:t xml:space="preserve">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60A7B">
        <w:rPr>
          <w:sz w:val="24"/>
          <w:szCs w:val="24"/>
        </w:rPr>
        <w:t>6.</w:t>
      </w:r>
      <w:r w:rsidR="007F3DDC" w:rsidRPr="00A60A7B">
        <w:rPr>
          <w:sz w:val="24"/>
          <w:szCs w:val="24"/>
        </w:rPr>
        <w:t>6</w:t>
      </w:r>
      <w:r w:rsidRPr="00A60A7B">
        <w:rPr>
          <w:sz w:val="24"/>
          <w:szCs w:val="24"/>
        </w:rPr>
        <w:t xml:space="preserve"> Inicialmente</w:t>
      </w:r>
      <w:proofErr w:type="gramEnd"/>
      <w:r w:rsidRPr="00A60A7B">
        <w:rPr>
          <w:sz w:val="24"/>
          <w:szCs w:val="24"/>
        </w:rPr>
        <w:t xml:space="preserve">, será permitida a manifestação de pessoas físicas e de 1 (um) representante de cada entidade. 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7. PRESIDÊNCIA E SECRETARIADO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Fica designad</w:t>
      </w:r>
      <w:r w:rsidR="00AD0A14" w:rsidRPr="00A60A7B">
        <w:rPr>
          <w:sz w:val="24"/>
          <w:szCs w:val="24"/>
        </w:rPr>
        <w:t>a</w:t>
      </w:r>
      <w:r w:rsidRPr="00A60A7B">
        <w:rPr>
          <w:sz w:val="24"/>
          <w:szCs w:val="24"/>
        </w:rPr>
        <w:t xml:space="preserve"> como Presidente da Audiência Pública </w:t>
      </w:r>
      <w:r w:rsidR="007F3DDC" w:rsidRPr="00A60A7B">
        <w:rPr>
          <w:sz w:val="24"/>
          <w:szCs w:val="24"/>
        </w:rPr>
        <w:t>a Chefe da Coordenadoria de Conteúdo Local, Daniela Godoy Martins Corrêa e como Secretária a servidora Luciana Peres Pimentel de Gay-Ger</w:t>
      </w:r>
      <w:r w:rsidRPr="00A60A7B">
        <w:rPr>
          <w:sz w:val="24"/>
          <w:szCs w:val="24"/>
        </w:rPr>
        <w:t>.</w:t>
      </w: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60A7B">
        <w:rPr>
          <w:sz w:val="24"/>
          <w:szCs w:val="24"/>
        </w:rPr>
        <w:t>8. PROGRAMAÇÃO</w:t>
      </w:r>
    </w:p>
    <w:p w:rsidR="0036004C" w:rsidRPr="00A60A7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36004C" w:rsidRPr="00A60A7B" w:rsidTr="006043DC">
        <w:tc>
          <w:tcPr>
            <w:tcW w:w="517" w:type="pct"/>
          </w:tcPr>
          <w:p w:rsidR="0036004C" w:rsidRPr="00A60A7B" w:rsidRDefault="00495C7E" w:rsidP="00495C7E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lastRenderedPageBreak/>
              <w:t>08h</w:t>
            </w:r>
          </w:p>
        </w:tc>
        <w:tc>
          <w:tcPr>
            <w:tcW w:w="552" w:type="pct"/>
          </w:tcPr>
          <w:p w:rsidR="0036004C" w:rsidRPr="00A60A7B" w:rsidRDefault="00495C7E" w:rsidP="006043DC">
            <w:pPr>
              <w:ind w:left="170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09</w:t>
            </w:r>
            <w:r w:rsidR="00AD0A14" w:rsidRPr="00A60A7B">
              <w:rPr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36004C" w:rsidRPr="00A60A7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6004C" w:rsidRPr="00A60A7B" w:rsidTr="006043DC">
        <w:tc>
          <w:tcPr>
            <w:tcW w:w="517" w:type="pct"/>
          </w:tcPr>
          <w:p w:rsidR="0036004C" w:rsidRPr="00A60A7B" w:rsidRDefault="00495C7E" w:rsidP="006043D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09</w:t>
            </w:r>
            <w:r w:rsidR="00AD0A14" w:rsidRPr="00A60A7B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52" w:type="pct"/>
          </w:tcPr>
          <w:p w:rsidR="0036004C" w:rsidRPr="00A60A7B" w:rsidRDefault="00495C7E" w:rsidP="003F6B2E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09</w:t>
            </w:r>
            <w:r w:rsidR="003F6B2E" w:rsidRPr="00A60A7B">
              <w:rPr>
                <w:rFonts w:ascii="Times New Roman" w:hAnsi="Times New Roman"/>
                <w:sz w:val="24"/>
                <w:szCs w:val="24"/>
              </w:rPr>
              <w:t>h2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36004C" w:rsidRPr="00A60A7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36004C" w:rsidRPr="00A60A7B" w:rsidTr="006043DC">
        <w:tc>
          <w:tcPr>
            <w:tcW w:w="517" w:type="pct"/>
          </w:tcPr>
          <w:p w:rsidR="0036004C" w:rsidRPr="00A60A7B" w:rsidRDefault="00495C7E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09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h20</w:t>
            </w:r>
          </w:p>
        </w:tc>
        <w:tc>
          <w:tcPr>
            <w:tcW w:w="552" w:type="pct"/>
          </w:tcPr>
          <w:p w:rsidR="0036004C" w:rsidRPr="00A60A7B" w:rsidRDefault="00495C7E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09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h50</w:t>
            </w:r>
          </w:p>
        </w:tc>
        <w:tc>
          <w:tcPr>
            <w:tcW w:w="3931" w:type="pct"/>
          </w:tcPr>
          <w:p w:rsidR="0036004C" w:rsidRPr="00A60A7B" w:rsidRDefault="007F3DD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Exposição do tema pela Coordenadoria de Conteúdo Local</w:t>
            </w:r>
          </w:p>
        </w:tc>
      </w:tr>
      <w:tr w:rsidR="0036004C" w:rsidRPr="00A60A7B" w:rsidTr="006043DC">
        <w:tc>
          <w:tcPr>
            <w:tcW w:w="517" w:type="pct"/>
          </w:tcPr>
          <w:p w:rsidR="0036004C" w:rsidRPr="00A60A7B" w:rsidRDefault="00495C7E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09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h50</w:t>
            </w:r>
          </w:p>
        </w:tc>
        <w:tc>
          <w:tcPr>
            <w:tcW w:w="552" w:type="pct"/>
          </w:tcPr>
          <w:p w:rsidR="0036004C" w:rsidRPr="00A60A7B" w:rsidRDefault="00495C7E" w:rsidP="00495C7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11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</w:t>
            </w:r>
            <w:r w:rsidRPr="00A60A7B">
              <w:rPr>
                <w:rFonts w:ascii="Times New Roman" w:hAnsi="Times New Roman"/>
                <w:sz w:val="24"/>
                <w:szCs w:val="24"/>
              </w:rPr>
              <w:t>5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31" w:type="pct"/>
          </w:tcPr>
          <w:p w:rsidR="0036004C" w:rsidRPr="00A60A7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36004C" w:rsidRPr="00A60A7B" w:rsidTr="006043DC">
        <w:tc>
          <w:tcPr>
            <w:tcW w:w="517" w:type="pct"/>
          </w:tcPr>
          <w:p w:rsidR="0036004C" w:rsidRPr="00A60A7B" w:rsidRDefault="00495C7E" w:rsidP="00495C7E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11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</w:t>
            </w:r>
            <w:r w:rsidRPr="00A60A7B">
              <w:rPr>
                <w:rFonts w:ascii="Times New Roman" w:hAnsi="Times New Roman"/>
                <w:sz w:val="24"/>
                <w:szCs w:val="24"/>
              </w:rPr>
              <w:t>5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52" w:type="pct"/>
          </w:tcPr>
          <w:p w:rsidR="0036004C" w:rsidRPr="00A60A7B" w:rsidRDefault="00495C7E" w:rsidP="00AD0A14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60A7B">
              <w:rPr>
                <w:rFonts w:ascii="Times New Roman" w:hAnsi="Times New Roman"/>
                <w:sz w:val="24"/>
                <w:szCs w:val="24"/>
              </w:rPr>
              <w:t>12</w:t>
            </w:r>
            <w:r w:rsidR="007F3DDC" w:rsidRPr="00A60A7B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3931" w:type="pct"/>
          </w:tcPr>
          <w:p w:rsidR="0036004C" w:rsidRPr="00A60A7B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0A7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EA0D98" w:rsidRPr="00A60A7B" w:rsidRDefault="00EA0D98" w:rsidP="00EA0D98">
      <w:pPr>
        <w:jc w:val="center"/>
        <w:rPr>
          <w:sz w:val="24"/>
          <w:szCs w:val="24"/>
        </w:rPr>
      </w:pPr>
      <w:r w:rsidRPr="00A60A7B">
        <w:rPr>
          <w:spacing w:val="1"/>
          <w:sz w:val="24"/>
          <w:szCs w:val="24"/>
          <w:shd w:val="clear" w:color="auto" w:fill="FFFFFF"/>
        </w:rPr>
        <w:t>DÉCIO FABRICIO ODDONE DA COSTA</w:t>
      </w:r>
    </w:p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  <w:r w:rsidRPr="00A60A7B">
        <w:rPr>
          <w:sz w:val="24"/>
          <w:szCs w:val="24"/>
        </w:rPr>
        <w:t>Publique-se:</w:t>
      </w:r>
    </w:p>
    <w:p w:rsidR="00C03364" w:rsidRPr="00A60A7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617C66" w:rsidRPr="00A60A7B" w:rsidRDefault="00A60A7B" w:rsidP="00617C66">
      <w:pPr>
        <w:rPr>
          <w:sz w:val="24"/>
          <w:szCs w:val="24"/>
        </w:rPr>
      </w:pPr>
      <w:r w:rsidRPr="00A60A7B">
        <w:rPr>
          <w:sz w:val="24"/>
          <w:szCs w:val="24"/>
        </w:rPr>
        <w:t>ALEXANDRE QUADRADO NETO</w:t>
      </w:r>
    </w:p>
    <w:p w:rsidR="00C534C8" w:rsidRPr="00A60A7B" w:rsidRDefault="00A60A7B" w:rsidP="00617C66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  <w:bookmarkStart w:id="0" w:name="_GoBack"/>
      <w:bookmarkEnd w:id="0"/>
    </w:p>
    <w:sectPr w:rsidR="00C534C8" w:rsidRPr="00A60A7B" w:rsidSect="00687607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8C542D"/>
    <w:multiLevelType w:val="multilevel"/>
    <w:tmpl w:val="220A21B8"/>
    <w:lvl w:ilvl="0">
      <w:start w:val="1"/>
      <w:numFmt w:val="decimal"/>
      <w:lvlText w:val="%1"/>
      <w:lvlJc w:val="left"/>
      <w:pPr>
        <w:ind w:left="435" w:hanging="43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1543"/>
    <w:rsid w:val="00012456"/>
    <w:rsid w:val="000125C0"/>
    <w:rsid w:val="00020666"/>
    <w:rsid w:val="00074F8D"/>
    <w:rsid w:val="00091E43"/>
    <w:rsid w:val="000C64F8"/>
    <w:rsid w:val="000D1543"/>
    <w:rsid w:val="000E5734"/>
    <w:rsid w:val="00101214"/>
    <w:rsid w:val="001945E3"/>
    <w:rsid w:val="001A0DB4"/>
    <w:rsid w:val="001B5A54"/>
    <w:rsid w:val="001C6D32"/>
    <w:rsid w:val="001D57EC"/>
    <w:rsid w:val="00217FD7"/>
    <w:rsid w:val="00236134"/>
    <w:rsid w:val="00291174"/>
    <w:rsid w:val="002D2A51"/>
    <w:rsid w:val="002D387C"/>
    <w:rsid w:val="002F68C8"/>
    <w:rsid w:val="0032785F"/>
    <w:rsid w:val="00330112"/>
    <w:rsid w:val="0036004C"/>
    <w:rsid w:val="00366DAE"/>
    <w:rsid w:val="003A5522"/>
    <w:rsid w:val="003B0005"/>
    <w:rsid w:val="003B4646"/>
    <w:rsid w:val="003C56E7"/>
    <w:rsid w:val="003D448B"/>
    <w:rsid w:val="003D5D69"/>
    <w:rsid w:val="003E45CC"/>
    <w:rsid w:val="003F603B"/>
    <w:rsid w:val="003F6B2E"/>
    <w:rsid w:val="0040335E"/>
    <w:rsid w:val="004363B2"/>
    <w:rsid w:val="00491991"/>
    <w:rsid w:val="00495C7E"/>
    <w:rsid w:val="004A0159"/>
    <w:rsid w:val="004A44DF"/>
    <w:rsid w:val="004A7FF7"/>
    <w:rsid w:val="004C7202"/>
    <w:rsid w:val="00505EC9"/>
    <w:rsid w:val="00524759"/>
    <w:rsid w:val="00526824"/>
    <w:rsid w:val="00537D67"/>
    <w:rsid w:val="00553D98"/>
    <w:rsid w:val="006043DC"/>
    <w:rsid w:val="00617C66"/>
    <w:rsid w:val="00635CF2"/>
    <w:rsid w:val="00635F26"/>
    <w:rsid w:val="006360FD"/>
    <w:rsid w:val="00636938"/>
    <w:rsid w:val="00680D17"/>
    <w:rsid w:val="00684C78"/>
    <w:rsid w:val="00687607"/>
    <w:rsid w:val="00687F8A"/>
    <w:rsid w:val="00695E7A"/>
    <w:rsid w:val="00701DB1"/>
    <w:rsid w:val="00721DE3"/>
    <w:rsid w:val="007354A8"/>
    <w:rsid w:val="00760DD3"/>
    <w:rsid w:val="007F3DDC"/>
    <w:rsid w:val="007F6CD0"/>
    <w:rsid w:val="0082459E"/>
    <w:rsid w:val="00851ABA"/>
    <w:rsid w:val="008B4381"/>
    <w:rsid w:val="008B7872"/>
    <w:rsid w:val="008D2E42"/>
    <w:rsid w:val="00910D7C"/>
    <w:rsid w:val="00954EE6"/>
    <w:rsid w:val="00962E14"/>
    <w:rsid w:val="009737E9"/>
    <w:rsid w:val="00981A23"/>
    <w:rsid w:val="0099076D"/>
    <w:rsid w:val="0099730C"/>
    <w:rsid w:val="009C78E2"/>
    <w:rsid w:val="009E5076"/>
    <w:rsid w:val="00A52916"/>
    <w:rsid w:val="00A60A7B"/>
    <w:rsid w:val="00A83A56"/>
    <w:rsid w:val="00AA741E"/>
    <w:rsid w:val="00AB2EC8"/>
    <w:rsid w:val="00AD0A14"/>
    <w:rsid w:val="00B2269E"/>
    <w:rsid w:val="00BA4267"/>
    <w:rsid w:val="00BB25D6"/>
    <w:rsid w:val="00BB6725"/>
    <w:rsid w:val="00BC4CA0"/>
    <w:rsid w:val="00BD0AE5"/>
    <w:rsid w:val="00C03364"/>
    <w:rsid w:val="00C11200"/>
    <w:rsid w:val="00C42D65"/>
    <w:rsid w:val="00C534C8"/>
    <w:rsid w:val="00CE721B"/>
    <w:rsid w:val="00CF255F"/>
    <w:rsid w:val="00D06981"/>
    <w:rsid w:val="00D44131"/>
    <w:rsid w:val="00D5666D"/>
    <w:rsid w:val="00D7320E"/>
    <w:rsid w:val="00DC13F5"/>
    <w:rsid w:val="00DD3C7A"/>
    <w:rsid w:val="00E00897"/>
    <w:rsid w:val="00E3206D"/>
    <w:rsid w:val="00E465CB"/>
    <w:rsid w:val="00E85F12"/>
    <w:rsid w:val="00E860C0"/>
    <w:rsid w:val="00EA0D98"/>
    <w:rsid w:val="00F31703"/>
    <w:rsid w:val="00F66E9A"/>
    <w:rsid w:val="00F87764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7BA5E9-1902-4B0F-B654-DE2E5BA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10</cp:revision>
  <cp:lastPrinted>2010-12-02T17:02:00Z</cp:lastPrinted>
  <dcterms:created xsi:type="dcterms:W3CDTF">2017-06-14T13:34:00Z</dcterms:created>
  <dcterms:modified xsi:type="dcterms:W3CDTF">2017-07-18T15:26:00Z</dcterms:modified>
</cp:coreProperties>
</file>