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7D" w:rsidRPr="00795DA8" w:rsidRDefault="00DE1030" w:rsidP="00B204C8">
      <w:pPr>
        <w:autoSpaceDE w:val="0"/>
        <w:autoSpaceDN w:val="0"/>
        <w:adjustRightInd w:val="0"/>
        <w:spacing w:line="360" w:lineRule="auto"/>
        <w:jc w:val="both"/>
        <w:rPr>
          <w:sz w:val="24"/>
          <w:szCs w:val="24"/>
          <w:u w:val="single"/>
        </w:rPr>
      </w:pPr>
      <w:r w:rsidRPr="00795DA8">
        <w:rPr>
          <w:sz w:val="24"/>
          <w:szCs w:val="24"/>
        </w:rPr>
        <w:t>Nota técnica</w:t>
      </w:r>
      <w:r w:rsidR="006E1E84" w:rsidRPr="00795DA8">
        <w:rPr>
          <w:sz w:val="24"/>
          <w:szCs w:val="24"/>
        </w:rPr>
        <w:t xml:space="preserve"> n.º</w:t>
      </w:r>
      <w:r w:rsidR="00C10191" w:rsidRPr="00795DA8">
        <w:rPr>
          <w:sz w:val="24"/>
          <w:szCs w:val="24"/>
        </w:rPr>
        <w:t xml:space="preserve"> </w:t>
      </w:r>
      <w:r w:rsidR="00F70D6F">
        <w:rPr>
          <w:sz w:val="24"/>
          <w:szCs w:val="24"/>
        </w:rPr>
        <w:t>051</w:t>
      </w:r>
      <w:r w:rsidR="002D6713" w:rsidRPr="00795DA8">
        <w:rPr>
          <w:sz w:val="24"/>
          <w:szCs w:val="24"/>
        </w:rPr>
        <w:t>/</w:t>
      </w:r>
      <w:r w:rsidR="006E1E84" w:rsidRPr="00795DA8">
        <w:rPr>
          <w:sz w:val="24"/>
          <w:szCs w:val="24"/>
        </w:rPr>
        <w:t>20</w:t>
      </w:r>
      <w:r w:rsidR="00634737" w:rsidRPr="00795DA8">
        <w:rPr>
          <w:sz w:val="24"/>
          <w:szCs w:val="24"/>
        </w:rPr>
        <w:t>1</w:t>
      </w:r>
      <w:r w:rsidR="00417956" w:rsidRPr="00795DA8">
        <w:rPr>
          <w:sz w:val="24"/>
          <w:szCs w:val="24"/>
        </w:rPr>
        <w:t>6</w:t>
      </w:r>
      <w:r w:rsidR="002D6713" w:rsidRPr="00795DA8">
        <w:rPr>
          <w:sz w:val="24"/>
          <w:szCs w:val="24"/>
        </w:rPr>
        <w:t>/</w:t>
      </w:r>
      <w:r w:rsidR="00116B26" w:rsidRPr="00795DA8">
        <w:rPr>
          <w:sz w:val="24"/>
          <w:szCs w:val="24"/>
        </w:rPr>
        <w:t>SBQ</w:t>
      </w:r>
      <w:r w:rsidR="00B27060" w:rsidRPr="00795DA8">
        <w:rPr>
          <w:sz w:val="24"/>
          <w:szCs w:val="24"/>
        </w:rPr>
        <w:t>/CPT</w:t>
      </w:r>
      <w:r w:rsidR="00116B26" w:rsidRPr="00795DA8">
        <w:rPr>
          <w:sz w:val="24"/>
          <w:szCs w:val="24"/>
        </w:rPr>
        <w:t>-DF</w:t>
      </w:r>
    </w:p>
    <w:p w:rsidR="00FD2019" w:rsidRDefault="00B27060" w:rsidP="005A3B7E">
      <w:pPr>
        <w:autoSpaceDE w:val="0"/>
        <w:autoSpaceDN w:val="0"/>
        <w:adjustRightInd w:val="0"/>
        <w:spacing w:line="360" w:lineRule="auto"/>
        <w:ind w:left="5664"/>
        <w:jc w:val="right"/>
        <w:rPr>
          <w:sz w:val="24"/>
          <w:szCs w:val="24"/>
        </w:rPr>
      </w:pPr>
      <w:r w:rsidRPr="00795DA8">
        <w:rPr>
          <w:sz w:val="24"/>
          <w:szCs w:val="24"/>
        </w:rPr>
        <w:t>Brasília</w:t>
      </w:r>
      <w:r w:rsidR="006E1E84" w:rsidRPr="00795DA8">
        <w:rPr>
          <w:sz w:val="24"/>
          <w:szCs w:val="24"/>
        </w:rPr>
        <w:t xml:space="preserve">, </w:t>
      </w:r>
      <w:r w:rsidR="001205D3">
        <w:rPr>
          <w:sz w:val="24"/>
          <w:szCs w:val="24"/>
        </w:rPr>
        <w:t>18</w:t>
      </w:r>
      <w:r w:rsidR="00634737" w:rsidRPr="00795DA8">
        <w:rPr>
          <w:sz w:val="24"/>
          <w:szCs w:val="24"/>
        </w:rPr>
        <w:t xml:space="preserve"> </w:t>
      </w:r>
      <w:r w:rsidR="00B6513C" w:rsidRPr="00795DA8">
        <w:rPr>
          <w:sz w:val="24"/>
          <w:szCs w:val="24"/>
        </w:rPr>
        <w:t xml:space="preserve">de </w:t>
      </w:r>
      <w:r w:rsidR="001205D3">
        <w:rPr>
          <w:sz w:val="24"/>
          <w:szCs w:val="24"/>
        </w:rPr>
        <w:t>outubro</w:t>
      </w:r>
      <w:r w:rsidR="003A6657">
        <w:rPr>
          <w:sz w:val="24"/>
          <w:szCs w:val="24"/>
        </w:rPr>
        <w:t xml:space="preserve"> </w:t>
      </w:r>
      <w:r w:rsidR="006E1E84" w:rsidRPr="00795DA8">
        <w:rPr>
          <w:sz w:val="24"/>
          <w:szCs w:val="24"/>
        </w:rPr>
        <w:t>de 20</w:t>
      </w:r>
      <w:r w:rsidR="00AF57C1" w:rsidRPr="00795DA8">
        <w:rPr>
          <w:sz w:val="24"/>
          <w:szCs w:val="24"/>
        </w:rPr>
        <w:t>1</w:t>
      </w:r>
      <w:r w:rsidR="00417956" w:rsidRPr="00795DA8">
        <w:rPr>
          <w:sz w:val="24"/>
          <w:szCs w:val="24"/>
        </w:rPr>
        <w:t>6</w:t>
      </w:r>
      <w:r w:rsidR="006E1E84" w:rsidRPr="00795DA8">
        <w:rPr>
          <w:sz w:val="24"/>
          <w:szCs w:val="24"/>
        </w:rPr>
        <w:t>.</w:t>
      </w:r>
    </w:p>
    <w:p w:rsidR="003A6657" w:rsidRPr="00795DA8" w:rsidRDefault="003A6657" w:rsidP="005A3B7E">
      <w:pPr>
        <w:autoSpaceDE w:val="0"/>
        <w:autoSpaceDN w:val="0"/>
        <w:adjustRightInd w:val="0"/>
        <w:spacing w:line="360" w:lineRule="auto"/>
        <w:ind w:left="5664"/>
        <w:jc w:val="right"/>
        <w:rPr>
          <w:sz w:val="24"/>
          <w:szCs w:val="24"/>
        </w:rPr>
      </w:pPr>
    </w:p>
    <w:p w:rsidR="00795DA8" w:rsidRPr="00795DA8" w:rsidRDefault="00795DA8" w:rsidP="00795DA8">
      <w:pPr>
        <w:jc w:val="both"/>
        <w:rPr>
          <w:b/>
          <w:sz w:val="24"/>
          <w:szCs w:val="24"/>
        </w:rPr>
      </w:pPr>
      <w:r w:rsidRPr="00795DA8">
        <w:rPr>
          <w:b/>
          <w:sz w:val="24"/>
          <w:szCs w:val="24"/>
        </w:rPr>
        <w:t>Assunto: Revisão das Portarias ANP nº 129 e n° 130, de 30 julho de 1999, que estabelecem as especificações e as regras referentes ao controle da qualidade dos óleos básicos.</w:t>
      </w:r>
    </w:p>
    <w:p w:rsidR="00795DA8" w:rsidRPr="00795DA8" w:rsidRDefault="00795DA8" w:rsidP="00795DA8">
      <w:pPr>
        <w:tabs>
          <w:tab w:val="left" w:pos="1134"/>
        </w:tabs>
        <w:spacing w:line="360" w:lineRule="auto"/>
        <w:jc w:val="both"/>
        <w:rPr>
          <w:b/>
          <w:sz w:val="24"/>
          <w:szCs w:val="24"/>
        </w:rPr>
      </w:pPr>
    </w:p>
    <w:p w:rsidR="00795DA8" w:rsidRPr="00795DA8" w:rsidRDefault="00795DA8" w:rsidP="00795DA8">
      <w:pPr>
        <w:tabs>
          <w:tab w:val="left" w:pos="1134"/>
        </w:tabs>
        <w:spacing w:line="360" w:lineRule="auto"/>
        <w:jc w:val="both"/>
        <w:rPr>
          <w:sz w:val="24"/>
          <w:szCs w:val="24"/>
        </w:rPr>
      </w:pPr>
      <w:r w:rsidRPr="00795DA8">
        <w:rPr>
          <w:b/>
          <w:sz w:val="24"/>
          <w:szCs w:val="24"/>
        </w:rPr>
        <w:t xml:space="preserve">Referência: </w:t>
      </w:r>
      <w:r w:rsidRPr="00795DA8">
        <w:rPr>
          <w:sz w:val="24"/>
          <w:szCs w:val="24"/>
        </w:rPr>
        <w:t>Processo nº 48610.001096/1998-12.</w:t>
      </w:r>
    </w:p>
    <w:p w:rsidR="00795DA8" w:rsidRPr="00795DA8" w:rsidRDefault="00795DA8" w:rsidP="00795DA8">
      <w:pPr>
        <w:tabs>
          <w:tab w:val="left" w:pos="1134"/>
        </w:tabs>
        <w:spacing w:line="360" w:lineRule="auto"/>
        <w:jc w:val="both"/>
        <w:rPr>
          <w:sz w:val="24"/>
          <w:szCs w:val="24"/>
        </w:rPr>
      </w:pPr>
    </w:p>
    <w:p w:rsidR="00795DA8" w:rsidRPr="00795DA8" w:rsidRDefault="00795DA8" w:rsidP="00795DA8">
      <w:pPr>
        <w:pStyle w:val="PargrafodaLista"/>
        <w:numPr>
          <w:ilvl w:val="0"/>
          <w:numId w:val="27"/>
        </w:numPr>
        <w:spacing w:after="240"/>
        <w:jc w:val="both"/>
        <w:rPr>
          <w:b/>
          <w:sz w:val="24"/>
          <w:szCs w:val="24"/>
        </w:rPr>
      </w:pPr>
      <w:r w:rsidRPr="00795DA8">
        <w:rPr>
          <w:b/>
          <w:sz w:val="24"/>
          <w:szCs w:val="24"/>
        </w:rPr>
        <w:t>OBJETIVOS</w:t>
      </w:r>
    </w:p>
    <w:p w:rsidR="00795DA8" w:rsidRPr="00795DA8" w:rsidRDefault="00795DA8" w:rsidP="00795DA8">
      <w:pPr>
        <w:pStyle w:val="PargrafodaLista"/>
        <w:tabs>
          <w:tab w:val="left" w:pos="1418"/>
        </w:tabs>
        <w:spacing w:after="120"/>
        <w:ind w:left="0"/>
        <w:jc w:val="both"/>
        <w:rPr>
          <w:sz w:val="24"/>
          <w:szCs w:val="24"/>
        </w:rPr>
      </w:pPr>
      <w:r w:rsidRPr="00795DA8">
        <w:rPr>
          <w:sz w:val="24"/>
          <w:szCs w:val="24"/>
        </w:rPr>
        <w:t>A presente Nota Técnica tem por escopo apresentar as alterações propostas para as Portarias ANP nº 129 e n° 130, de 30 de julho de 1999, e expor os fundamentos que justificam tais alterações.</w:t>
      </w:r>
    </w:p>
    <w:p w:rsidR="00795DA8" w:rsidRPr="00795DA8" w:rsidRDefault="00795DA8" w:rsidP="00795DA8">
      <w:pPr>
        <w:pStyle w:val="PargrafodaLista"/>
        <w:numPr>
          <w:ilvl w:val="1"/>
          <w:numId w:val="27"/>
        </w:numPr>
        <w:tabs>
          <w:tab w:val="left" w:pos="1418"/>
        </w:tabs>
        <w:spacing w:after="120"/>
        <w:jc w:val="both"/>
        <w:rPr>
          <w:sz w:val="24"/>
          <w:szCs w:val="24"/>
        </w:rPr>
      </w:pPr>
      <w:r w:rsidRPr="00795DA8">
        <w:rPr>
          <w:sz w:val="24"/>
          <w:szCs w:val="24"/>
        </w:rPr>
        <w:t>O processo de alteração em referência se ampara nas seguintes motivações:</w:t>
      </w:r>
    </w:p>
    <w:p w:rsidR="00795DA8" w:rsidRPr="00795DA8" w:rsidRDefault="00795DA8" w:rsidP="00795DA8">
      <w:pPr>
        <w:pStyle w:val="Cabealho"/>
        <w:numPr>
          <w:ilvl w:val="0"/>
          <w:numId w:val="26"/>
        </w:numPr>
        <w:tabs>
          <w:tab w:val="clear" w:pos="4419"/>
          <w:tab w:val="clear" w:pos="8838"/>
          <w:tab w:val="left" w:pos="1985"/>
        </w:tabs>
        <w:spacing w:before="120" w:after="120"/>
        <w:ind w:left="1985" w:hanging="283"/>
        <w:jc w:val="both"/>
        <w:rPr>
          <w:sz w:val="24"/>
          <w:szCs w:val="24"/>
        </w:rPr>
      </w:pPr>
      <w:r w:rsidRPr="00795DA8">
        <w:rPr>
          <w:sz w:val="24"/>
          <w:szCs w:val="24"/>
        </w:rPr>
        <w:t xml:space="preserve">incluir novos limites de especificações tendo em vista a necessidade de se melhorar a qualidade dos óleos básicos rerrefinados; </w:t>
      </w:r>
    </w:p>
    <w:p w:rsidR="00795DA8" w:rsidRPr="00795DA8" w:rsidRDefault="00795DA8" w:rsidP="00795DA8">
      <w:pPr>
        <w:pStyle w:val="Cabealho"/>
        <w:numPr>
          <w:ilvl w:val="0"/>
          <w:numId w:val="26"/>
        </w:numPr>
        <w:tabs>
          <w:tab w:val="clear" w:pos="4419"/>
          <w:tab w:val="clear" w:pos="8838"/>
          <w:tab w:val="left" w:pos="1985"/>
        </w:tabs>
        <w:spacing w:before="120" w:after="120"/>
        <w:ind w:left="1985" w:hanging="283"/>
        <w:jc w:val="both"/>
        <w:rPr>
          <w:sz w:val="24"/>
          <w:szCs w:val="24"/>
        </w:rPr>
      </w:pPr>
      <w:r w:rsidRPr="00795DA8">
        <w:rPr>
          <w:sz w:val="24"/>
          <w:szCs w:val="24"/>
        </w:rPr>
        <w:t xml:space="preserve">estabelecer novas obrigações aos agentes regulados; </w:t>
      </w:r>
    </w:p>
    <w:p w:rsidR="00795DA8" w:rsidRPr="00795DA8" w:rsidRDefault="00795DA8" w:rsidP="00795DA8">
      <w:pPr>
        <w:pStyle w:val="Cabealho"/>
        <w:numPr>
          <w:ilvl w:val="0"/>
          <w:numId w:val="26"/>
        </w:numPr>
        <w:tabs>
          <w:tab w:val="clear" w:pos="4419"/>
          <w:tab w:val="clear" w:pos="8838"/>
          <w:tab w:val="left" w:pos="1985"/>
        </w:tabs>
        <w:spacing w:before="120" w:after="120"/>
        <w:ind w:left="1985" w:hanging="283"/>
        <w:jc w:val="both"/>
        <w:rPr>
          <w:sz w:val="24"/>
          <w:szCs w:val="24"/>
        </w:rPr>
      </w:pPr>
      <w:r w:rsidRPr="00795DA8">
        <w:rPr>
          <w:sz w:val="24"/>
          <w:szCs w:val="24"/>
        </w:rPr>
        <w:t>atualizar a regulamentação devido ao lapso temporal.</w:t>
      </w:r>
    </w:p>
    <w:p w:rsidR="00795DA8" w:rsidRPr="00795DA8" w:rsidRDefault="00795DA8" w:rsidP="00795DA8">
      <w:pPr>
        <w:pStyle w:val="Cabealho"/>
        <w:tabs>
          <w:tab w:val="clear" w:pos="4419"/>
          <w:tab w:val="clear" w:pos="8838"/>
          <w:tab w:val="left" w:pos="1985"/>
        </w:tabs>
        <w:spacing w:before="120" w:after="120"/>
        <w:ind w:left="1985"/>
        <w:jc w:val="both"/>
        <w:rPr>
          <w:sz w:val="24"/>
          <w:szCs w:val="24"/>
        </w:rPr>
      </w:pPr>
    </w:p>
    <w:p w:rsidR="00795DA8" w:rsidRPr="00795DA8" w:rsidRDefault="00795DA8" w:rsidP="00795DA8">
      <w:pPr>
        <w:pStyle w:val="PargrafodaLista"/>
        <w:numPr>
          <w:ilvl w:val="0"/>
          <w:numId w:val="27"/>
        </w:numPr>
        <w:spacing w:after="240"/>
        <w:jc w:val="both"/>
        <w:rPr>
          <w:b/>
          <w:sz w:val="24"/>
          <w:szCs w:val="24"/>
        </w:rPr>
      </w:pPr>
      <w:r w:rsidRPr="00795DA8">
        <w:rPr>
          <w:b/>
          <w:sz w:val="24"/>
          <w:szCs w:val="24"/>
        </w:rPr>
        <w:t>FUNDAMENTAÇÃO LEGAL</w:t>
      </w:r>
    </w:p>
    <w:p w:rsidR="00795DA8" w:rsidRPr="00795DA8" w:rsidRDefault="00795DA8" w:rsidP="00795DA8">
      <w:pPr>
        <w:pStyle w:val="PargrafodaLista"/>
        <w:tabs>
          <w:tab w:val="left" w:pos="1418"/>
        </w:tabs>
        <w:spacing w:after="120"/>
        <w:ind w:left="0"/>
        <w:jc w:val="both"/>
        <w:rPr>
          <w:bCs/>
          <w:sz w:val="24"/>
          <w:szCs w:val="24"/>
        </w:rPr>
      </w:pPr>
      <w:r w:rsidRPr="00795DA8">
        <w:rPr>
          <w:bCs/>
          <w:sz w:val="24"/>
          <w:szCs w:val="24"/>
        </w:rPr>
        <w:t>A Lei nº 9.478, de 6 de agosto de 1997, estabelece, em seu artigo 8º, as atribuições da ANP, onde podem ser destacados os incisos I e XVIII que dizem:</w:t>
      </w:r>
    </w:p>
    <w:p w:rsidR="00795DA8" w:rsidRPr="00795DA8" w:rsidRDefault="00795DA8" w:rsidP="00795DA8">
      <w:pPr>
        <w:tabs>
          <w:tab w:val="left" w:pos="1134"/>
        </w:tabs>
        <w:spacing w:before="120" w:after="120" w:line="23" w:lineRule="atLeast"/>
        <w:jc w:val="both"/>
        <w:rPr>
          <w:bCs/>
          <w:sz w:val="24"/>
          <w:szCs w:val="24"/>
        </w:rPr>
      </w:pPr>
    </w:p>
    <w:p w:rsidR="00795DA8" w:rsidRPr="00795DA8" w:rsidRDefault="00795DA8" w:rsidP="00795DA8">
      <w:pPr>
        <w:spacing w:before="120" w:after="120" w:line="23" w:lineRule="atLeast"/>
        <w:ind w:left="2268"/>
        <w:jc w:val="both"/>
        <w:rPr>
          <w:bCs/>
          <w:i/>
          <w:sz w:val="24"/>
          <w:szCs w:val="24"/>
        </w:rPr>
      </w:pPr>
      <w:r w:rsidRPr="00795DA8">
        <w:rPr>
          <w:bCs/>
          <w:i/>
          <w:sz w:val="24"/>
          <w:szCs w:val="24"/>
        </w:rPr>
        <w:t>“Art. 8º ....</w:t>
      </w:r>
    </w:p>
    <w:p w:rsidR="00795DA8" w:rsidRPr="00795DA8" w:rsidRDefault="00795DA8" w:rsidP="00795DA8">
      <w:pPr>
        <w:spacing w:before="120" w:after="120" w:line="23" w:lineRule="atLeast"/>
        <w:ind w:left="2268"/>
        <w:jc w:val="both"/>
        <w:rPr>
          <w:bCs/>
          <w:i/>
          <w:sz w:val="24"/>
          <w:szCs w:val="24"/>
        </w:rPr>
      </w:pPr>
      <w:r w:rsidRPr="00795DA8">
        <w:rPr>
          <w:bCs/>
          <w:i/>
          <w:sz w:val="24"/>
          <w:szCs w:val="24"/>
        </w:rPr>
        <w:t xml:space="preserve">I - implementar, em sua esfera de atribuições, a política nacional de petróleo, gás natural e biocombustíveis, ..., com ênfase ... na proteção dos interesses dos consumidores quanto a </w:t>
      </w:r>
      <w:r w:rsidRPr="00795DA8">
        <w:rPr>
          <w:bCs/>
          <w:i/>
          <w:sz w:val="24"/>
          <w:szCs w:val="24"/>
          <w:u w:val="single"/>
        </w:rPr>
        <w:t>preço</w:t>
      </w:r>
      <w:r w:rsidRPr="00795DA8">
        <w:rPr>
          <w:bCs/>
          <w:i/>
          <w:sz w:val="24"/>
          <w:szCs w:val="24"/>
        </w:rPr>
        <w:t xml:space="preserve">, </w:t>
      </w:r>
      <w:r w:rsidRPr="00795DA8">
        <w:rPr>
          <w:bCs/>
          <w:i/>
          <w:sz w:val="24"/>
          <w:szCs w:val="24"/>
          <w:u w:val="single"/>
        </w:rPr>
        <w:t>qualidade</w:t>
      </w:r>
      <w:r w:rsidRPr="00795DA8">
        <w:rPr>
          <w:bCs/>
          <w:i/>
          <w:sz w:val="24"/>
          <w:szCs w:val="24"/>
        </w:rPr>
        <w:t xml:space="preserve"> e </w:t>
      </w:r>
      <w:r w:rsidRPr="00795DA8">
        <w:rPr>
          <w:bCs/>
          <w:i/>
          <w:sz w:val="24"/>
          <w:szCs w:val="24"/>
          <w:u w:val="single"/>
        </w:rPr>
        <w:t>oferta</w:t>
      </w:r>
      <w:r w:rsidRPr="00795DA8">
        <w:rPr>
          <w:bCs/>
          <w:i/>
          <w:sz w:val="24"/>
          <w:szCs w:val="24"/>
        </w:rPr>
        <w:t xml:space="preserve"> dos produtos.</w:t>
      </w:r>
    </w:p>
    <w:p w:rsidR="00795DA8" w:rsidRPr="00795DA8" w:rsidRDefault="00795DA8" w:rsidP="00795DA8">
      <w:pPr>
        <w:spacing w:before="120" w:after="120" w:line="23" w:lineRule="atLeast"/>
        <w:ind w:left="2268"/>
        <w:jc w:val="both"/>
        <w:rPr>
          <w:bCs/>
          <w:i/>
          <w:sz w:val="24"/>
          <w:szCs w:val="24"/>
        </w:rPr>
      </w:pPr>
      <w:r w:rsidRPr="00795DA8">
        <w:rPr>
          <w:bCs/>
          <w:i/>
          <w:sz w:val="24"/>
          <w:szCs w:val="24"/>
        </w:rPr>
        <w:t>......</w:t>
      </w:r>
    </w:p>
    <w:p w:rsidR="00795DA8" w:rsidRPr="00795DA8" w:rsidRDefault="00795DA8" w:rsidP="00795DA8">
      <w:pPr>
        <w:spacing w:before="120" w:after="120" w:line="23" w:lineRule="atLeast"/>
        <w:ind w:left="2268"/>
        <w:jc w:val="both"/>
        <w:rPr>
          <w:bCs/>
          <w:sz w:val="24"/>
          <w:szCs w:val="24"/>
        </w:rPr>
      </w:pPr>
      <w:r w:rsidRPr="00795DA8">
        <w:rPr>
          <w:bCs/>
          <w:i/>
          <w:sz w:val="24"/>
          <w:szCs w:val="24"/>
        </w:rPr>
        <w:t xml:space="preserve">XVIII - </w:t>
      </w:r>
      <w:r w:rsidRPr="00795DA8">
        <w:rPr>
          <w:bCs/>
          <w:i/>
          <w:sz w:val="24"/>
          <w:szCs w:val="24"/>
          <w:u w:val="single"/>
        </w:rPr>
        <w:t>especificar a qualidade</w:t>
      </w:r>
      <w:r w:rsidRPr="00795DA8">
        <w:rPr>
          <w:bCs/>
          <w:i/>
          <w:sz w:val="24"/>
          <w:szCs w:val="24"/>
        </w:rPr>
        <w:t xml:space="preserve"> dos derivados de petróleo, gás natural e seus derivados e dos biocombustíveis.”</w:t>
      </w:r>
      <w:r w:rsidRPr="00795DA8">
        <w:rPr>
          <w:bCs/>
          <w:sz w:val="24"/>
          <w:szCs w:val="24"/>
        </w:rPr>
        <w:t xml:space="preserve"> (Grifos nossos).</w:t>
      </w:r>
    </w:p>
    <w:p w:rsidR="00795DA8" w:rsidRPr="00795DA8" w:rsidRDefault="00795DA8" w:rsidP="00795DA8">
      <w:pPr>
        <w:pStyle w:val="PargrafodaLista"/>
        <w:tabs>
          <w:tab w:val="left" w:pos="1418"/>
        </w:tabs>
        <w:spacing w:before="240" w:after="120"/>
        <w:ind w:left="0"/>
        <w:jc w:val="both"/>
        <w:rPr>
          <w:bCs/>
          <w:sz w:val="24"/>
          <w:szCs w:val="24"/>
        </w:rPr>
      </w:pPr>
    </w:p>
    <w:p w:rsidR="00795DA8" w:rsidRPr="00795DA8" w:rsidRDefault="00795DA8" w:rsidP="00795DA8">
      <w:pPr>
        <w:pStyle w:val="PargrafodaLista"/>
        <w:numPr>
          <w:ilvl w:val="0"/>
          <w:numId w:val="27"/>
        </w:numPr>
        <w:spacing w:after="240"/>
        <w:jc w:val="both"/>
        <w:rPr>
          <w:b/>
          <w:sz w:val="24"/>
          <w:szCs w:val="24"/>
        </w:rPr>
      </w:pPr>
      <w:r w:rsidRPr="00795DA8">
        <w:rPr>
          <w:b/>
          <w:sz w:val="24"/>
          <w:szCs w:val="24"/>
        </w:rPr>
        <w:t>DOS FATOS</w:t>
      </w:r>
    </w:p>
    <w:p w:rsidR="00795DA8" w:rsidRDefault="00795DA8" w:rsidP="00795DA8">
      <w:pPr>
        <w:tabs>
          <w:tab w:val="left" w:pos="1418"/>
        </w:tabs>
        <w:spacing w:after="360"/>
        <w:jc w:val="both"/>
        <w:rPr>
          <w:bCs/>
          <w:sz w:val="24"/>
          <w:szCs w:val="24"/>
        </w:rPr>
      </w:pPr>
      <w:r w:rsidRPr="00795DA8">
        <w:rPr>
          <w:bCs/>
          <w:sz w:val="24"/>
          <w:szCs w:val="24"/>
        </w:rPr>
        <w:t>As Portarias ANP nº 129 e n° 130 foram publicadas em 30 de julho de 1999, existindo um descolamento entre a legislação vigente que trata dos óleos básicos no Brasil e a realidade desse mercado no país, sobretudo sob o aspecto da qualidade e variedade desses insumos.</w:t>
      </w:r>
    </w:p>
    <w:p w:rsidR="00725C88" w:rsidRPr="00795DA8" w:rsidRDefault="00725C88" w:rsidP="00795DA8">
      <w:pPr>
        <w:tabs>
          <w:tab w:val="left" w:pos="1418"/>
        </w:tabs>
        <w:spacing w:after="360"/>
        <w:jc w:val="both"/>
        <w:rPr>
          <w:bCs/>
          <w:sz w:val="24"/>
          <w:szCs w:val="24"/>
        </w:rPr>
      </w:pPr>
    </w:p>
    <w:p w:rsidR="00795DA8" w:rsidRPr="00795DA8" w:rsidRDefault="00795DA8" w:rsidP="00795DA8">
      <w:pPr>
        <w:pStyle w:val="PargrafodaLista"/>
        <w:numPr>
          <w:ilvl w:val="0"/>
          <w:numId w:val="27"/>
        </w:numPr>
        <w:spacing w:after="240"/>
        <w:jc w:val="both"/>
        <w:rPr>
          <w:b/>
          <w:bCs/>
          <w:sz w:val="24"/>
          <w:szCs w:val="24"/>
        </w:rPr>
      </w:pPr>
      <w:r w:rsidRPr="00795DA8">
        <w:rPr>
          <w:b/>
          <w:bCs/>
          <w:sz w:val="24"/>
          <w:szCs w:val="24"/>
        </w:rPr>
        <w:lastRenderedPageBreak/>
        <w:t>DA ANÁLISE</w:t>
      </w:r>
    </w:p>
    <w:p w:rsidR="00795DA8" w:rsidRPr="00795DA8" w:rsidRDefault="00795DA8" w:rsidP="00795DA8">
      <w:pPr>
        <w:pStyle w:val="PargrafodaLista"/>
        <w:spacing w:after="240"/>
        <w:ind w:left="0"/>
        <w:jc w:val="both"/>
        <w:rPr>
          <w:bCs/>
          <w:sz w:val="24"/>
          <w:szCs w:val="24"/>
        </w:rPr>
      </w:pPr>
      <w:r w:rsidRPr="00795DA8">
        <w:rPr>
          <w:bCs/>
          <w:sz w:val="24"/>
          <w:szCs w:val="24"/>
        </w:rPr>
        <w:t>Na minuta de resolução proposta pretende-se abarcar tantos os óleos básicos de primeiro refino quanto os rerrefinados, substituindo tanto a Portaria ANP n° 129/99 quanto a Portaria ANP n° 130/99. Nessas portarias não há detalhamento de qualquer outra regra além da especificação em si, apenas obriga que os básicos comercializados no país devem observá-la.</w:t>
      </w:r>
    </w:p>
    <w:p w:rsidR="00795DA8" w:rsidRPr="00795DA8" w:rsidRDefault="00795DA8" w:rsidP="00795DA8">
      <w:pPr>
        <w:pStyle w:val="PargrafodaLista"/>
        <w:spacing w:after="240"/>
        <w:ind w:left="0"/>
        <w:jc w:val="both"/>
        <w:rPr>
          <w:bCs/>
          <w:sz w:val="24"/>
          <w:szCs w:val="24"/>
        </w:rPr>
      </w:pPr>
      <w:r w:rsidRPr="00795DA8">
        <w:rPr>
          <w:bCs/>
          <w:sz w:val="24"/>
          <w:szCs w:val="24"/>
        </w:rPr>
        <w:t xml:space="preserve">Já no artigo 1° da proposta em análise há inovação quanto à sua abrangência. Sua aplicação fica restrita à comercialização aos produtores de lubrificantes acabados. Tal regra se deve ao fato de que as especificações foram definidas para a aplicação dos óleos básicos na formulação de lubrificantes acabados, já que há outras aplicações além dessa, como na indústria de tintas, borrachas etc. Também houve uma restrição de aplicação da norma apenas aos óleos básicos dos grupos I, II e III e os naftênicos, que são os básicos de maior demanda da indústria de lubrificantes, ficando os demais básicos restritos a aplicações especiais. Na Portaria ANP n° 129/99, embora não restrinja os óleos básicos, na prática só atende os óleos nacionais das refinarias da Petrobrás, tendo sido adotada a especificação para os produtos das refinarias REDUC, RLAM e LUBNOR, o que dificulta o encaixe de qualquer outro produto importado </w:t>
      </w:r>
      <w:r w:rsidRPr="003E2FFF">
        <w:rPr>
          <w:bCs/>
          <w:sz w:val="24"/>
          <w:szCs w:val="24"/>
        </w:rPr>
        <w:t>ou dos grupo</w:t>
      </w:r>
      <w:r w:rsidR="003E2FFF" w:rsidRPr="000C07F8">
        <w:rPr>
          <w:bCs/>
          <w:sz w:val="24"/>
          <w:szCs w:val="24"/>
        </w:rPr>
        <w:t>s</w:t>
      </w:r>
      <w:r w:rsidRPr="003E2FFF">
        <w:rPr>
          <w:bCs/>
          <w:color w:val="FF0000"/>
          <w:sz w:val="24"/>
          <w:szCs w:val="24"/>
        </w:rPr>
        <w:t xml:space="preserve"> </w:t>
      </w:r>
      <w:r w:rsidRPr="003E2FFF">
        <w:rPr>
          <w:bCs/>
          <w:sz w:val="24"/>
          <w:szCs w:val="24"/>
        </w:rPr>
        <w:t>II e III.</w:t>
      </w:r>
    </w:p>
    <w:p w:rsidR="00A87D1D" w:rsidRPr="00A87D1D" w:rsidRDefault="00A87D1D" w:rsidP="00A87D1D">
      <w:pPr>
        <w:pStyle w:val="PargrafodaLista"/>
        <w:spacing w:after="120"/>
        <w:ind w:left="2268"/>
        <w:jc w:val="both"/>
        <w:rPr>
          <w:i/>
          <w:sz w:val="24"/>
          <w:szCs w:val="24"/>
        </w:rPr>
      </w:pPr>
      <w:r>
        <w:rPr>
          <w:i/>
          <w:sz w:val="24"/>
          <w:szCs w:val="24"/>
        </w:rPr>
        <w:t>"</w:t>
      </w:r>
      <w:r w:rsidRPr="00A87D1D">
        <w:rPr>
          <w:i/>
          <w:sz w:val="24"/>
          <w:szCs w:val="24"/>
        </w:rPr>
        <w:t>Art. 1º. Fica estabelecido que a comercialização no país de óleos lubrificantes básicos de origem nacional e importados, de primeiro refino ou rerrefinados, deverá observar as regras estabelecidas pela presente Resolução, o que inclui as especificações contidas no Anexo, parte integrante desta norma.</w:t>
      </w:r>
    </w:p>
    <w:p w:rsidR="00A87D1D" w:rsidRPr="00A87D1D" w:rsidRDefault="00A87D1D" w:rsidP="00A87D1D">
      <w:pPr>
        <w:pStyle w:val="PargrafodaLista"/>
        <w:spacing w:after="120"/>
        <w:ind w:left="2268"/>
        <w:jc w:val="both"/>
        <w:rPr>
          <w:i/>
          <w:sz w:val="24"/>
          <w:szCs w:val="24"/>
        </w:rPr>
      </w:pPr>
      <w:r w:rsidRPr="00A87D1D">
        <w:rPr>
          <w:i/>
          <w:sz w:val="24"/>
          <w:szCs w:val="24"/>
        </w:rPr>
        <w:t>§1° Estão dispensados de atender esta Resolução os agentes econômicos que produzem ou importam óleos básicos para formulação própria de lubrificante acabado.</w:t>
      </w:r>
    </w:p>
    <w:p w:rsidR="00A87D1D" w:rsidRPr="00A87D1D" w:rsidRDefault="00A87D1D" w:rsidP="00A87D1D">
      <w:pPr>
        <w:pStyle w:val="PargrafodaLista"/>
        <w:spacing w:after="120"/>
        <w:ind w:left="2268"/>
        <w:jc w:val="both"/>
        <w:rPr>
          <w:i/>
          <w:sz w:val="24"/>
          <w:szCs w:val="24"/>
        </w:rPr>
      </w:pPr>
      <w:r w:rsidRPr="00A87D1D">
        <w:rPr>
          <w:i/>
          <w:sz w:val="24"/>
          <w:szCs w:val="24"/>
        </w:rPr>
        <w:t>§2° Estão dispensados de atender esta Resolução os agentes econômicos que comercializam óleos básicos para indústria que não é a de lubrificantes acabados.</w:t>
      </w:r>
    </w:p>
    <w:p w:rsidR="00A87D1D" w:rsidRPr="00A87D1D" w:rsidRDefault="00A87D1D" w:rsidP="00A87D1D">
      <w:pPr>
        <w:pStyle w:val="PargrafodaLista"/>
        <w:spacing w:after="120"/>
        <w:ind w:left="2268"/>
        <w:jc w:val="both"/>
        <w:rPr>
          <w:i/>
          <w:sz w:val="24"/>
          <w:szCs w:val="24"/>
        </w:rPr>
      </w:pPr>
      <w:r w:rsidRPr="00A87D1D">
        <w:rPr>
          <w:i/>
          <w:sz w:val="24"/>
          <w:szCs w:val="24"/>
        </w:rPr>
        <w:t xml:space="preserve">§3° Somente estão abrangidos por esta Resolução, os óleos básicos classificados nos Grupos I, II, III e </w:t>
      </w:r>
      <w:proofErr w:type="spellStart"/>
      <w:r w:rsidRPr="00A87D1D">
        <w:rPr>
          <w:i/>
          <w:sz w:val="24"/>
          <w:szCs w:val="24"/>
        </w:rPr>
        <w:t>naftênicos</w:t>
      </w:r>
      <w:proofErr w:type="spellEnd"/>
      <w:r w:rsidRPr="00A87D1D">
        <w:rPr>
          <w:i/>
          <w:sz w:val="24"/>
          <w:szCs w:val="24"/>
        </w:rPr>
        <w:t>, conforme o art. 2° desta Resolução.</w:t>
      </w:r>
      <w:r>
        <w:rPr>
          <w:i/>
          <w:sz w:val="24"/>
          <w:szCs w:val="24"/>
        </w:rPr>
        <w:t>"</w:t>
      </w:r>
    </w:p>
    <w:p w:rsidR="00A87D1D" w:rsidRDefault="00A87D1D" w:rsidP="00795DA8">
      <w:pPr>
        <w:ind w:left="2268"/>
        <w:jc w:val="both"/>
        <w:rPr>
          <w:i/>
          <w:sz w:val="24"/>
          <w:szCs w:val="24"/>
        </w:rPr>
      </w:pPr>
    </w:p>
    <w:p w:rsidR="00795DA8" w:rsidRPr="00795DA8" w:rsidRDefault="00795DA8" w:rsidP="00795DA8">
      <w:pPr>
        <w:jc w:val="both"/>
        <w:rPr>
          <w:sz w:val="24"/>
          <w:szCs w:val="24"/>
        </w:rPr>
      </w:pPr>
      <w:r w:rsidRPr="00795DA8">
        <w:rPr>
          <w:sz w:val="24"/>
          <w:szCs w:val="24"/>
        </w:rPr>
        <w:t>No artigo 2° são definidos os grupos de básicos para atendimento às restrições do artigo 1°.</w:t>
      </w:r>
    </w:p>
    <w:p w:rsidR="00795DA8" w:rsidRPr="00795DA8" w:rsidRDefault="00795DA8" w:rsidP="00795DA8">
      <w:pPr>
        <w:ind w:left="2268"/>
        <w:jc w:val="both"/>
        <w:rPr>
          <w:i/>
          <w:sz w:val="24"/>
          <w:szCs w:val="24"/>
        </w:rPr>
      </w:pPr>
    </w:p>
    <w:p w:rsidR="00A87D1D" w:rsidRPr="00A87D1D" w:rsidRDefault="00A87D1D" w:rsidP="00A87D1D">
      <w:pPr>
        <w:ind w:left="2268"/>
        <w:jc w:val="both"/>
        <w:rPr>
          <w:i/>
          <w:sz w:val="24"/>
          <w:szCs w:val="24"/>
        </w:rPr>
      </w:pPr>
      <w:r>
        <w:rPr>
          <w:i/>
          <w:sz w:val="24"/>
          <w:szCs w:val="24"/>
        </w:rPr>
        <w:t>"</w:t>
      </w:r>
      <w:r w:rsidRPr="00A87D1D">
        <w:rPr>
          <w:i/>
          <w:sz w:val="24"/>
          <w:szCs w:val="24"/>
        </w:rPr>
        <w:t>Art. 2º.Para fins dessa Resolução, os óleos básicos devem ser classificados conforme os itens de i a vi.</w:t>
      </w:r>
    </w:p>
    <w:p w:rsidR="00A87D1D" w:rsidRPr="00A87D1D" w:rsidRDefault="00A87D1D" w:rsidP="00A87D1D">
      <w:pPr>
        <w:pStyle w:val="texto"/>
        <w:numPr>
          <w:ilvl w:val="0"/>
          <w:numId w:val="30"/>
        </w:numPr>
        <w:tabs>
          <w:tab w:val="left" w:pos="709"/>
        </w:tabs>
        <w:spacing w:before="0" w:beforeAutospacing="0" w:after="0" w:afterAutospacing="0" w:line="360" w:lineRule="auto"/>
        <w:ind w:left="2694"/>
        <w:jc w:val="both"/>
        <w:rPr>
          <w:i/>
        </w:rPr>
      </w:pPr>
      <w:r w:rsidRPr="00A87D1D">
        <w:rPr>
          <w:i/>
        </w:rPr>
        <w:t>grupo I: teor de saturados menor que 90% (m/m), teor de enxofre maior que 0,03% (m/m) e índice de viscosidade maior que 80 e menor ou igual a 120;</w:t>
      </w:r>
    </w:p>
    <w:p w:rsidR="00A87D1D" w:rsidRPr="00A87D1D" w:rsidRDefault="00A87D1D" w:rsidP="00A87D1D">
      <w:pPr>
        <w:pStyle w:val="texto"/>
        <w:numPr>
          <w:ilvl w:val="0"/>
          <w:numId w:val="30"/>
        </w:numPr>
        <w:tabs>
          <w:tab w:val="left" w:pos="709"/>
        </w:tabs>
        <w:spacing w:before="0" w:beforeAutospacing="0" w:after="0" w:afterAutospacing="0" w:line="360" w:lineRule="auto"/>
        <w:ind w:left="2694"/>
        <w:jc w:val="both"/>
        <w:rPr>
          <w:i/>
        </w:rPr>
      </w:pPr>
      <w:r w:rsidRPr="00A87D1D">
        <w:rPr>
          <w:i/>
        </w:rPr>
        <w:t>grupo II: teor de saturados maior ou igual a 90% (m/m), teor de enxofre menor ou igual a 0,03% e índice de viscosidade maior que 80 e menor ou igual a 120;</w:t>
      </w:r>
    </w:p>
    <w:p w:rsidR="00A87D1D" w:rsidRPr="00A87D1D" w:rsidRDefault="00A87D1D" w:rsidP="00A87D1D">
      <w:pPr>
        <w:pStyle w:val="texto"/>
        <w:numPr>
          <w:ilvl w:val="0"/>
          <w:numId w:val="30"/>
        </w:numPr>
        <w:tabs>
          <w:tab w:val="left" w:pos="709"/>
        </w:tabs>
        <w:spacing w:before="0" w:beforeAutospacing="0" w:after="0" w:afterAutospacing="0" w:line="360" w:lineRule="auto"/>
        <w:ind w:left="2694"/>
        <w:jc w:val="both"/>
        <w:rPr>
          <w:i/>
        </w:rPr>
      </w:pPr>
      <w:r w:rsidRPr="00A87D1D">
        <w:rPr>
          <w:i/>
        </w:rPr>
        <w:t>grupo III: teor de saturados maior ou igual a  90% (m/m), teor de enxofre menor ou igual a 0,03% (m/m) e índice de viscosidade maior que 120;</w:t>
      </w:r>
    </w:p>
    <w:p w:rsidR="00A87D1D" w:rsidRPr="00A87D1D" w:rsidRDefault="00A87D1D" w:rsidP="00A87D1D">
      <w:pPr>
        <w:pStyle w:val="texto"/>
        <w:numPr>
          <w:ilvl w:val="0"/>
          <w:numId w:val="30"/>
        </w:numPr>
        <w:tabs>
          <w:tab w:val="left" w:pos="709"/>
        </w:tabs>
        <w:spacing w:before="0" w:beforeAutospacing="0" w:after="0" w:afterAutospacing="0" w:line="360" w:lineRule="auto"/>
        <w:ind w:left="2694"/>
        <w:jc w:val="both"/>
        <w:rPr>
          <w:i/>
        </w:rPr>
      </w:pPr>
      <w:r w:rsidRPr="00A87D1D">
        <w:rPr>
          <w:i/>
        </w:rPr>
        <w:lastRenderedPageBreak/>
        <w:t xml:space="preserve">grupo IV: todas as </w:t>
      </w:r>
      <w:proofErr w:type="spellStart"/>
      <w:r w:rsidRPr="00A87D1D">
        <w:rPr>
          <w:i/>
        </w:rPr>
        <w:t>polialfaolefinas</w:t>
      </w:r>
      <w:proofErr w:type="spellEnd"/>
      <w:r w:rsidRPr="00A87D1D">
        <w:rPr>
          <w:i/>
        </w:rPr>
        <w:t xml:space="preserve">, inclusive as </w:t>
      </w:r>
      <w:proofErr w:type="spellStart"/>
      <w:r w:rsidRPr="00A87D1D">
        <w:rPr>
          <w:i/>
        </w:rPr>
        <w:t>polinternalfaolefinas</w:t>
      </w:r>
      <w:proofErr w:type="spellEnd"/>
      <w:r w:rsidRPr="00A87D1D">
        <w:rPr>
          <w:i/>
        </w:rPr>
        <w:t>;</w:t>
      </w:r>
    </w:p>
    <w:p w:rsidR="00A87D1D" w:rsidRPr="00A87D1D" w:rsidRDefault="00A87D1D" w:rsidP="00A87D1D">
      <w:pPr>
        <w:pStyle w:val="PargrafodaLista"/>
        <w:numPr>
          <w:ilvl w:val="0"/>
          <w:numId w:val="30"/>
        </w:numPr>
        <w:spacing w:line="276" w:lineRule="auto"/>
        <w:ind w:left="2694"/>
        <w:jc w:val="both"/>
        <w:rPr>
          <w:i/>
          <w:sz w:val="24"/>
          <w:szCs w:val="24"/>
        </w:rPr>
      </w:pPr>
      <w:proofErr w:type="spellStart"/>
      <w:r w:rsidRPr="00A87D1D">
        <w:rPr>
          <w:i/>
          <w:sz w:val="24"/>
          <w:szCs w:val="24"/>
        </w:rPr>
        <w:t>naftênicos</w:t>
      </w:r>
      <w:proofErr w:type="spellEnd"/>
      <w:r w:rsidRPr="00A87D1D">
        <w:rPr>
          <w:i/>
          <w:sz w:val="24"/>
          <w:szCs w:val="24"/>
        </w:rPr>
        <w:t xml:space="preserve">: óleo básico em que petróleo ou mistura de petróleos que lhe deu origem seja classificado(a) como </w:t>
      </w:r>
      <w:proofErr w:type="spellStart"/>
      <w:r w:rsidRPr="00A87D1D">
        <w:rPr>
          <w:i/>
          <w:sz w:val="24"/>
          <w:szCs w:val="24"/>
        </w:rPr>
        <w:t>naftênico</w:t>
      </w:r>
      <w:proofErr w:type="spellEnd"/>
      <w:r w:rsidRPr="00A87D1D">
        <w:rPr>
          <w:i/>
          <w:sz w:val="24"/>
          <w:szCs w:val="24"/>
        </w:rPr>
        <w:t xml:space="preserve"> ou intermediário segundo o método UOP 375, ou seja, apresente </w:t>
      </w:r>
      <w:proofErr w:type="spellStart"/>
      <w:r w:rsidRPr="00A87D1D">
        <w:rPr>
          <w:i/>
          <w:sz w:val="24"/>
          <w:szCs w:val="24"/>
        </w:rPr>
        <w:t>Kuop</w:t>
      </w:r>
      <w:proofErr w:type="spellEnd"/>
      <w:r w:rsidRPr="00A87D1D">
        <w:rPr>
          <w:i/>
          <w:sz w:val="24"/>
          <w:szCs w:val="24"/>
        </w:rPr>
        <w:t xml:space="preserve"> maior que 10 e menor que 12,5;</w:t>
      </w:r>
    </w:p>
    <w:p w:rsidR="00A87D1D" w:rsidRPr="00A87D1D" w:rsidRDefault="00A87D1D" w:rsidP="00A87D1D">
      <w:pPr>
        <w:pStyle w:val="PargrafodaLista"/>
        <w:numPr>
          <w:ilvl w:val="0"/>
          <w:numId w:val="30"/>
        </w:numPr>
        <w:spacing w:line="276" w:lineRule="auto"/>
        <w:ind w:left="2694"/>
        <w:jc w:val="both"/>
        <w:rPr>
          <w:i/>
          <w:sz w:val="24"/>
          <w:szCs w:val="24"/>
        </w:rPr>
      </w:pPr>
      <w:r w:rsidRPr="00A87D1D">
        <w:rPr>
          <w:i/>
          <w:sz w:val="24"/>
          <w:szCs w:val="24"/>
        </w:rPr>
        <w:t>grupo V: todos os demais óleos básicos.</w:t>
      </w:r>
      <w:r>
        <w:rPr>
          <w:i/>
          <w:sz w:val="24"/>
          <w:szCs w:val="24"/>
        </w:rPr>
        <w:t>"</w:t>
      </w:r>
    </w:p>
    <w:p w:rsidR="00A87D1D" w:rsidRPr="00795DA8" w:rsidRDefault="00A87D1D" w:rsidP="00795DA8">
      <w:pPr>
        <w:pStyle w:val="PargrafodaLista"/>
        <w:spacing w:after="200" w:line="276" w:lineRule="auto"/>
        <w:ind w:left="2835"/>
        <w:jc w:val="both"/>
        <w:rPr>
          <w:i/>
          <w:sz w:val="24"/>
          <w:szCs w:val="24"/>
        </w:rPr>
      </w:pPr>
    </w:p>
    <w:p w:rsidR="00795DA8" w:rsidRPr="00795DA8" w:rsidRDefault="00795DA8" w:rsidP="00795DA8">
      <w:pPr>
        <w:pStyle w:val="PargrafodaLista"/>
        <w:spacing w:after="200" w:line="276" w:lineRule="auto"/>
        <w:ind w:left="0"/>
        <w:jc w:val="both"/>
        <w:rPr>
          <w:sz w:val="24"/>
          <w:szCs w:val="24"/>
        </w:rPr>
      </w:pPr>
      <w:r w:rsidRPr="00795DA8">
        <w:rPr>
          <w:sz w:val="24"/>
          <w:szCs w:val="24"/>
        </w:rPr>
        <w:t>Nos artigos 3° e 4° torna-se obrigatório o certificado da qualidade acompanhar o documento fiscal para fins de fiscalização por parte da ANP e de informação do adquirente do básico.</w:t>
      </w:r>
    </w:p>
    <w:p w:rsidR="00A87D1D" w:rsidRPr="00A87D1D" w:rsidRDefault="00A87D1D" w:rsidP="00A87D1D">
      <w:pPr>
        <w:ind w:left="2268"/>
        <w:jc w:val="both"/>
        <w:rPr>
          <w:i/>
          <w:sz w:val="24"/>
          <w:szCs w:val="24"/>
        </w:rPr>
      </w:pPr>
      <w:r>
        <w:rPr>
          <w:i/>
          <w:sz w:val="24"/>
          <w:szCs w:val="24"/>
        </w:rPr>
        <w:t>"</w:t>
      </w:r>
      <w:r w:rsidRPr="00A87D1D">
        <w:rPr>
          <w:i/>
          <w:sz w:val="24"/>
          <w:szCs w:val="24"/>
        </w:rPr>
        <w:t>Art. 3° Todo documento fiscal que acompanhe carga de óleo básico comercializado deve vir acompanhado de certificado de qualidade legível do produto.</w:t>
      </w:r>
    </w:p>
    <w:p w:rsidR="0004067D" w:rsidRPr="0004067D" w:rsidRDefault="0004067D" w:rsidP="0004067D">
      <w:pPr>
        <w:pStyle w:val="NormalWeb"/>
        <w:shd w:val="clear" w:color="auto" w:fill="FFFFFF"/>
        <w:spacing w:before="0" w:after="240" w:line="273" w:lineRule="atLeast"/>
        <w:ind w:left="2268"/>
        <w:jc w:val="both"/>
        <w:rPr>
          <w:rFonts w:ascii="Times New Roman" w:eastAsia="Times New Roman" w:hAnsi="Times New Roman"/>
          <w:i/>
          <w:szCs w:val="24"/>
        </w:rPr>
      </w:pPr>
      <w:r w:rsidRPr="0004067D">
        <w:rPr>
          <w:rFonts w:ascii="Times New Roman" w:eastAsia="Times New Roman" w:hAnsi="Times New Roman"/>
          <w:i/>
          <w:szCs w:val="24"/>
        </w:rPr>
        <w:t>Art. 4° A documentação fiscal, inclusive o Documento Auxiliar da Nota Fiscal Eletrônica (DANFE), referente às operações de comercialização de óleo básico definidas no art. 1°, deverá indicar o código e a descrição do produto estabelecidos pela ANP, conforme legislação vigente, e o número do certificado da qualidade correspondente ao produto no campo de observação.</w:t>
      </w:r>
      <w:r>
        <w:rPr>
          <w:rFonts w:ascii="Times New Roman" w:eastAsia="Times New Roman" w:hAnsi="Times New Roman"/>
          <w:i/>
          <w:szCs w:val="24"/>
        </w:rPr>
        <w:t>"</w:t>
      </w:r>
    </w:p>
    <w:p w:rsidR="00795DA8" w:rsidRPr="00795DA8" w:rsidRDefault="00795DA8" w:rsidP="00795DA8">
      <w:pPr>
        <w:pStyle w:val="NormalWeb"/>
        <w:shd w:val="clear" w:color="auto" w:fill="FFFFFF"/>
        <w:spacing w:before="0" w:after="240" w:line="273" w:lineRule="atLeast"/>
        <w:jc w:val="both"/>
        <w:rPr>
          <w:rFonts w:ascii="Times New Roman" w:hAnsi="Times New Roman"/>
          <w:szCs w:val="24"/>
        </w:rPr>
      </w:pPr>
      <w:r w:rsidRPr="00795DA8">
        <w:rPr>
          <w:rFonts w:ascii="Times New Roman" w:hAnsi="Times New Roman"/>
          <w:szCs w:val="24"/>
        </w:rPr>
        <w:t xml:space="preserve">Dos artigos 5° </w:t>
      </w:r>
      <w:r w:rsidR="00400F07">
        <w:rPr>
          <w:rFonts w:ascii="Times New Roman" w:hAnsi="Times New Roman"/>
          <w:szCs w:val="24"/>
        </w:rPr>
        <w:t>e</w:t>
      </w:r>
      <w:r w:rsidRPr="00795DA8">
        <w:rPr>
          <w:rFonts w:ascii="Times New Roman" w:hAnsi="Times New Roman"/>
          <w:szCs w:val="24"/>
        </w:rPr>
        <w:t xml:space="preserve"> </w:t>
      </w:r>
      <w:r w:rsidR="00400F07">
        <w:rPr>
          <w:rFonts w:ascii="Times New Roman" w:hAnsi="Times New Roman"/>
          <w:szCs w:val="24"/>
        </w:rPr>
        <w:t>6</w:t>
      </w:r>
      <w:r w:rsidRPr="00795DA8">
        <w:rPr>
          <w:rFonts w:ascii="Times New Roman" w:hAnsi="Times New Roman"/>
          <w:szCs w:val="24"/>
        </w:rPr>
        <w:t>° trata-se da responsabilidade dos agentes econômicos a respeito dos certificados de qualidade, tratando da guarda documental e da alteração de especificação pelo agente.</w:t>
      </w:r>
    </w:p>
    <w:p w:rsidR="00400F07" w:rsidRPr="00400F07" w:rsidRDefault="00795DA8" w:rsidP="00400F07">
      <w:pPr>
        <w:spacing w:after="240"/>
        <w:ind w:left="2268"/>
        <w:jc w:val="both"/>
        <w:rPr>
          <w:i/>
          <w:sz w:val="24"/>
          <w:szCs w:val="24"/>
        </w:rPr>
      </w:pPr>
      <w:r w:rsidRPr="00795DA8">
        <w:rPr>
          <w:i/>
          <w:sz w:val="24"/>
          <w:szCs w:val="24"/>
        </w:rPr>
        <w:t>"</w:t>
      </w:r>
      <w:r w:rsidR="00400F07" w:rsidRPr="00400F07">
        <w:rPr>
          <w:i/>
          <w:sz w:val="24"/>
          <w:szCs w:val="24"/>
        </w:rPr>
        <w:t>Art. 5º. O certificado da qualidade deverá ser mantido à disposição da ANP pelo agente que comercializou o óleo básico, para qualquer verificação julgada necessária, por um período mínimo de 12 (doze) meses, contados a partir da data de sua comercialização.</w:t>
      </w:r>
    </w:p>
    <w:p w:rsidR="00400F07" w:rsidRPr="00400F07" w:rsidRDefault="00400F07" w:rsidP="00400F07">
      <w:pPr>
        <w:spacing w:after="240"/>
        <w:ind w:left="2268"/>
        <w:jc w:val="both"/>
        <w:rPr>
          <w:i/>
          <w:sz w:val="24"/>
          <w:szCs w:val="24"/>
        </w:rPr>
      </w:pPr>
      <w:r w:rsidRPr="00400F07">
        <w:rPr>
          <w:i/>
          <w:sz w:val="24"/>
          <w:szCs w:val="24"/>
        </w:rPr>
        <w:t>Art. 6°. Nos casos em que o produtor/importador alterar a especificação de um produto, onde lhe caiba definir valores, a ANP deverá ser informada imediatamente por carta registrada.</w:t>
      </w:r>
      <w:r>
        <w:rPr>
          <w:i/>
          <w:sz w:val="24"/>
          <w:szCs w:val="24"/>
        </w:rPr>
        <w:t>"</w:t>
      </w:r>
    </w:p>
    <w:p w:rsidR="00A87D1D" w:rsidRDefault="00A87D1D" w:rsidP="00795DA8">
      <w:pPr>
        <w:ind w:left="2268"/>
        <w:jc w:val="both"/>
        <w:rPr>
          <w:i/>
          <w:sz w:val="24"/>
          <w:szCs w:val="24"/>
        </w:rPr>
      </w:pPr>
    </w:p>
    <w:p w:rsidR="00795DA8" w:rsidRPr="00795DA8" w:rsidRDefault="00795DA8" w:rsidP="00795DA8">
      <w:pPr>
        <w:jc w:val="both"/>
        <w:rPr>
          <w:sz w:val="24"/>
          <w:szCs w:val="24"/>
        </w:rPr>
      </w:pPr>
      <w:r w:rsidRPr="00795DA8">
        <w:rPr>
          <w:sz w:val="24"/>
          <w:szCs w:val="24"/>
        </w:rPr>
        <w:t xml:space="preserve">No artigo </w:t>
      </w:r>
      <w:r w:rsidR="00400F07">
        <w:rPr>
          <w:sz w:val="24"/>
          <w:szCs w:val="24"/>
        </w:rPr>
        <w:t>7</w:t>
      </w:r>
      <w:r w:rsidRPr="00795DA8">
        <w:rPr>
          <w:sz w:val="24"/>
          <w:szCs w:val="24"/>
        </w:rPr>
        <w:t>° a regra se deve ao fato de as melhores práticas da indústria exigirem que o formulador saiba a origem do óleo básico, o que pode afetar o desempenho do lubrificante acabado.</w:t>
      </w:r>
    </w:p>
    <w:p w:rsidR="00400F07" w:rsidRPr="00400F07" w:rsidRDefault="00400F07" w:rsidP="00400F07">
      <w:pPr>
        <w:ind w:left="2268"/>
        <w:jc w:val="both"/>
        <w:rPr>
          <w:i/>
          <w:sz w:val="24"/>
          <w:szCs w:val="24"/>
        </w:rPr>
      </w:pPr>
      <w:r>
        <w:rPr>
          <w:i/>
          <w:sz w:val="24"/>
          <w:szCs w:val="24"/>
        </w:rPr>
        <w:t>"</w:t>
      </w:r>
      <w:r w:rsidRPr="00400F07">
        <w:rPr>
          <w:i/>
          <w:sz w:val="24"/>
          <w:szCs w:val="24"/>
        </w:rPr>
        <w:t xml:space="preserve">Art. 7° Todo corte de óleo básico comercializado deve ter sua origem (refinaria e país) informada ao comprador, em seu certificado de qualidade, para fins de atendimento às regras internacionais de </w:t>
      </w:r>
      <w:proofErr w:type="spellStart"/>
      <w:r w:rsidRPr="00400F07">
        <w:rPr>
          <w:i/>
          <w:sz w:val="24"/>
          <w:szCs w:val="24"/>
        </w:rPr>
        <w:t>intercambiabilidade</w:t>
      </w:r>
      <w:proofErr w:type="spellEnd"/>
      <w:r w:rsidRPr="00400F07">
        <w:rPr>
          <w:i/>
          <w:sz w:val="24"/>
          <w:szCs w:val="24"/>
        </w:rPr>
        <w:t xml:space="preserve"> de óleo básico da indústria.</w:t>
      </w:r>
      <w:r>
        <w:rPr>
          <w:i/>
          <w:sz w:val="24"/>
          <w:szCs w:val="24"/>
        </w:rPr>
        <w:t>"</w:t>
      </w:r>
    </w:p>
    <w:p w:rsidR="00795DA8" w:rsidRPr="00795DA8" w:rsidRDefault="00795DA8" w:rsidP="00795DA8">
      <w:pPr>
        <w:ind w:left="2268"/>
        <w:jc w:val="both"/>
        <w:rPr>
          <w:i/>
          <w:sz w:val="24"/>
          <w:szCs w:val="24"/>
        </w:rPr>
      </w:pPr>
    </w:p>
    <w:p w:rsidR="00795DA8" w:rsidRPr="00795DA8" w:rsidRDefault="00795DA8" w:rsidP="00795DA8">
      <w:pPr>
        <w:jc w:val="both"/>
        <w:rPr>
          <w:sz w:val="24"/>
          <w:szCs w:val="24"/>
        </w:rPr>
      </w:pPr>
      <w:r w:rsidRPr="00795DA8">
        <w:rPr>
          <w:sz w:val="24"/>
          <w:szCs w:val="24"/>
        </w:rPr>
        <w:t xml:space="preserve">O artigo </w:t>
      </w:r>
      <w:r w:rsidR="00400F07">
        <w:rPr>
          <w:sz w:val="24"/>
          <w:szCs w:val="24"/>
        </w:rPr>
        <w:t>8</w:t>
      </w:r>
      <w:r w:rsidRPr="00795DA8">
        <w:rPr>
          <w:sz w:val="24"/>
          <w:szCs w:val="24"/>
        </w:rPr>
        <w:t xml:space="preserve">° proíbe prática que ocorre em algumas </w:t>
      </w:r>
      <w:proofErr w:type="spellStart"/>
      <w:r w:rsidRPr="00795DA8">
        <w:rPr>
          <w:sz w:val="24"/>
          <w:szCs w:val="24"/>
        </w:rPr>
        <w:t>rerrefinadoras</w:t>
      </w:r>
      <w:proofErr w:type="spellEnd"/>
      <w:r w:rsidRPr="00795DA8">
        <w:rPr>
          <w:sz w:val="24"/>
          <w:szCs w:val="24"/>
        </w:rPr>
        <w:t xml:space="preserve"> que ajustam a viscosidade do óleo básico com polímeros e borracha dissolvidos em óleo. Essa prática prejudica a qualidade do lubrificante acabado.</w:t>
      </w:r>
    </w:p>
    <w:p w:rsidR="00400F07" w:rsidRDefault="00400F07" w:rsidP="00400F07">
      <w:pPr>
        <w:spacing w:after="120"/>
        <w:ind w:left="2268"/>
        <w:jc w:val="both"/>
        <w:rPr>
          <w:i/>
          <w:sz w:val="24"/>
          <w:szCs w:val="24"/>
        </w:rPr>
      </w:pPr>
    </w:p>
    <w:p w:rsidR="00400F07" w:rsidRDefault="00400F07" w:rsidP="00400F07">
      <w:pPr>
        <w:spacing w:after="120"/>
        <w:ind w:left="2268"/>
        <w:jc w:val="both"/>
        <w:rPr>
          <w:i/>
          <w:sz w:val="24"/>
          <w:szCs w:val="24"/>
        </w:rPr>
      </w:pPr>
      <w:r>
        <w:rPr>
          <w:i/>
          <w:sz w:val="24"/>
          <w:szCs w:val="24"/>
        </w:rPr>
        <w:t>"</w:t>
      </w:r>
      <w:r w:rsidRPr="00400F07">
        <w:rPr>
          <w:i/>
          <w:sz w:val="24"/>
          <w:szCs w:val="24"/>
        </w:rPr>
        <w:t>Art. 8° É vedada a adição de polímeros, ou quaisquer outros aditivos, ao óleo básico a ser comercializado.</w:t>
      </w:r>
      <w:r>
        <w:rPr>
          <w:i/>
          <w:sz w:val="24"/>
          <w:szCs w:val="24"/>
        </w:rPr>
        <w:t>"</w:t>
      </w:r>
    </w:p>
    <w:p w:rsidR="00400F07" w:rsidRPr="00400F07" w:rsidRDefault="00400F07" w:rsidP="00400F07">
      <w:pPr>
        <w:spacing w:after="120"/>
        <w:ind w:left="2268"/>
        <w:jc w:val="both"/>
        <w:rPr>
          <w:i/>
          <w:sz w:val="24"/>
          <w:szCs w:val="24"/>
        </w:rPr>
      </w:pPr>
    </w:p>
    <w:p w:rsidR="00795DA8" w:rsidRPr="00795DA8" w:rsidRDefault="00795DA8" w:rsidP="00795DA8">
      <w:pPr>
        <w:spacing w:after="120"/>
        <w:jc w:val="both"/>
        <w:rPr>
          <w:sz w:val="24"/>
          <w:szCs w:val="24"/>
        </w:rPr>
      </w:pPr>
      <w:r w:rsidRPr="00795DA8">
        <w:rPr>
          <w:sz w:val="24"/>
          <w:szCs w:val="24"/>
        </w:rPr>
        <w:lastRenderedPageBreak/>
        <w:t>O</w:t>
      </w:r>
      <w:r w:rsidR="00400F07">
        <w:rPr>
          <w:sz w:val="24"/>
          <w:szCs w:val="24"/>
        </w:rPr>
        <w:t>s</w:t>
      </w:r>
      <w:r w:rsidRPr="00795DA8">
        <w:rPr>
          <w:sz w:val="24"/>
          <w:szCs w:val="24"/>
        </w:rPr>
        <w:t xml:space="preserve"> artigo</w:t>
      </w:r>
      <w:r w:rsidR="00400F07">
        <w:rPr>
          <w:sz w:val="24"/>
          <w:szCs w:val="24"/>
        </w:rPr>
        <w:t>s</w:t>
      </w:r>
      <w:r w:rsidRPr="00795DA8">
        <w:rPr>
          <w:sz w:val="24"/>
          <w:szCs w:val="24"/>
        </w:rPr>
        <w:t xml:space="preserve"> </w:t>
      </w:r>
      <w:r w:rsidR="00400F07">
        <w:rPr>
          <w:sz w:val="24"/>
          <w:szCs w:val="24"/>
        </w:rPr>
        <w:t xml:space="preserve">9° e </w:t>
      </w:r>
      <w:r w:rsidRPr="00795DA8">
        <w:rPr>
          <w:sz w:val="24"/>
          <w:szCs w:val="24"/>
        </w:rPr>
        <w:t>10 não traz</w:t>
      </w:r>
      <w:r w:rsidR="00400F07">
        <w:rPr>
          <w:sz w:val="24"/>
          <w:szCs w:val="24"/>
        </w:rPr>
        <w:t>em</w:t>
      </w:r>
      <w:r w:rsidRPr="00795DA8">
        <w:rPr>
          <w:sz w:val="24"/>
          <w:szCs w:val="24"/>
        </w:rPr>
        <w:t xml:space="preserve"> novidade quanto a flexibilidade do óleo básico poder sair da faixa de viscosidade especificada. No entanto, torna mais clara a regra, informando que o desvio de viscosidade não pode atingir a faixa de outro produto.</w:t>
      </w:r>
    </w:p>
    <w:p w:rsidR="00400F07" w:rsidRPr="00400F07" w:rsidRDefault="00400F07" w:rsidP="00400F07">
      <w:pPr>
        <w:spacing w:after="120"/>
        <w:ind w:left="2268"/>
        <w:jc w:val="both"/>
        <w:rPr>
          <w:i/>
          <w:sz w:val="24"/>
          <w:szCs w:val="24"/>
        </w:rPr>
      </w:pPr>
      <w:r>
        <w:rPr>
          <w:i/>
          <w:sz w:val="24"/>
          <w:szCs w:val="24"/>
        </w:rPr>
        <w:t>"</w:t>
      </w:r>
      <w:r w:rsidRPr="00400F07">
        <w:rPr>
          <w:i/>
          <w:sz w:val="24"/>
          <w:szCs w:val="24"/>
        </w:rPr>
        <w:t>Art. 9º. É vedada a comercialização dos óleos básicos que não se enquadrem nas especificações estabelecidas no Anexo, parte integrante desta Resolução.</w:t>
      </w:r>
    </w:p>
    <w:p w:rsidR="00400F07" w:rsidRPr="00400F07" w:rsidRDefault="00400F07" w:rsidP="00400F07">
      <w:pPr>
        <w:ind w:left="2268"/>
        <w:jc w:val="both"/>
        <w:rPr>
          <w:i/>
          <w:sz w:val="24"/>
          <w:szCs w:val="24"/>
        </w:rPr>
      </w:pPr>
      <w:proofErr w:type="spellStart"/>
      <w:r w:rsidRPr="00400F07">
        <w:rPr>
          <w:i/>
          <w:sz w:val="24"/>
          <w:szCs w:val="24"/>
        </w:rPr>
        <w:t>Art</w:t>
      </w:r>
      <w:proofErr w:type="spellEnd"/>
      <w:r w:rsidRPr="00400F07">
        <w:rPr>
          <w:i/>
          <w:sz w:val="24"/>
          <w:szCs w:val="24"/>
        </w:rPr>
        <w:t xml:space="preserve"> 10. A comercialização de óleos lubrificantes básicos, com faixas de viscosidade diferentes das estabelecidas nas tabelas I e II do Anexo, poderá ser realizada mediante acordo por escrito entre as partes. A comercialização é vedada nos casos em que se atinja a faixa de viscosidade de outro corte e não sejam atendidas as demais especificações.</w:t>
      </w:r>
      <w:r>
        <w:rPr>
          <w:i/>
          <w:sz w:val="24"/>
          <w:szCs w:val="24"/>
        </w:rPr>
        <w:t>"</w:t>
      </w:r>
    </w:p>
    <w:p w:rsidR="00400F07" w:rsidRPr="00795DA8" w:rsidRDefault="00400F07" w:rsidP="00795DA8">
      <w:pPr>
        <w:ind w:left="2268"/>
        <w:jc w:val="both"/>
        <w:rPr>
          <w:i/>
          <w:sz w:val="24"/>
          <w:szCs w:val="24"/>
        </w:rPr>
      </w:pPr>
    </w:p>
    <w:p w:rsidR="00795DA8" w:rsidRPr="00795DA8" w:rsidRDefault="00795DA8" w:rsidP="00795DA8">
      <w:pPr>
        <w:jc w:val="both"/>
        <w:rPr>
          <w:sz w:val="24"/>
          <w:szCs w:val="24"/>
        </w:rPr>
      </w:pPr>
      <w:r w:rsidRPr="00795DA8">
        <w:rPr>
          <w:sz w:val="24"/>
          <w:szCs w:val="24"/>
        </w:rPr>
        <w:t>Os artigos 11 ao 15 tratam da fiscalização pela ANP, das penalidades e do prazo para entrada em vigor da nova norma.</w:t>
      </w:r>
    </w:p>
    <w:p w:rsidR="00400F07" w:rsidRDefault="00400F07" w:rsidP="00400F07">
      <w:pPr>
        <w:ind w:left="2268"/>
        <w:jc w:val="both"/>
        <w:rPr>
          <w:i/>
          <w:sz w:val="24"/>
          <w:szCs w:val="24"/>
        </w:rPr>
      </w:pPr>
    </w:p>
    <w:p w:rsidR="00400F07" w:rsidRPr="00400F07" w:rsidRDefault="00400F07" w:rsidP="00400F07">
      <w:pPr>
        <w:ind w:left="2268"/>
        <w:jc w:val="both"/>
        <w:rPr>
          <w:i/>
          <w:sz w:val="24"/>
          <w:szCs w:val="24"/>
        </w:rPr>
      </w:pPr>
      <w:r>
        <w:rPr>
          <w:i/>
          <w:sz w:val="24"/>
          <w:szCs w:val="24"/>
        </w:rPr>
        <w:t>"</w:t>
      </w:r>
      <w:r w:rsidRPr="00400F07">
        <w:rPr>
          <w:i/>
          <w:sz w:val="24"/>
          <w:szCs w:val="24"/>
        </w:rPr>
        <w:t>Art. 11. A ANP poderá, a qualquer tempo, solicitar aos agentes envolvidos na comercialização de óleo básico amostras, documentos, laudos de análise e demais informações a respeito dos óleos básicos e seus insumos, os quais deverão ser enviados no prazo definido no ato de comunicação.</w:t>
      </w:r>
    </w:p>
    <w:p w:rsidR="00400F07" w:rsidRPr="00400F07" w:rsidRDefault="00400F07" w:rsidP="00400F07">
      <w:pPr>
        <w:ind w:left="2268"/>
        <w:jc w:val="both"/>
        <w:rPr>
          <w:i/>
          <w:sz w:val="24"/>
          <w:szCs w:val="24"/>
        </w:rPr>
      </w:pPr>
      <w:r w:rsidRPr="00400F07">
        <w:rPr>
          <w:i/>
          <w:sz w:val="24"/>
          <w:szCs w:val="24"/>
        </w:rPr>
        <w:t>Art. 12. Os funcionários da ANP e de órgãos conveniados devidamente identificados, no exercício da atividade de fiscalização, terão livre acesso às instalações do produtor ou importador de óleo básico.</w:t>
      </w:r>
    </w:p>
    <w:p w:rsidR="00400F07" w:rsidRPr="00400F07" w:rsidRDefault="00400F07" w:rsidP="00400F07">
      <w:pPr>
        <w:ind w:left="2268"/>
        <w:jc w:val="both"/>
        <w:rPr>
          <w:i/>
          <w:sz w:val="24"/>
          <w:szCs w:val="24"/>
        </w:rPr>
      </w:pPr>
      <w:r w:rsidRPr="00400F07">
        <w:rPr>
          <w:i/>
          <w:sz w:val="24"/>
          <w:szCs w:val="24"/>
        </w:rPr>
        <w:t>Art. 13. O não atendimento ao disposto nesta Resolução sujeita os infratores às penalidades previstas na Lei nº 9.847, de 26 de outubro de 1999  e no Decreto nº 2.953, de 28 de janeiro de 1999, sem prejuízo das demais sanções cabíveis.</w:t>
      </w:r>
    </w:p>
    <w:p w:rsidR="00400F07" w:rsidRPr="00400F07" w:rsidRDefault="00400F07" w:rsidP="00400F07">
      <w:pPr>
        <w:ind w:left="2268"/>
        <w:jc w:val="both"/>
        <w:rPr>
          <w:i/>
          <w:sz w:val="24"/>
          <w:szCs w:val="24"/>
        </w:rPr>
      </w:pPr>
      <w:r w:rsidRPr="00400F07">
        <w:rPr>
          <w:i/>
          <w:sz w:val="24"/>
          <w:szCs w:val="24"/>
        </w:rPr>
        <w:t>Art. 14. Os casos não previstos nesta Resolução serão objeto de análise e deliberação da ANP.</w:t>
      </w:r>
    </w:p>
    <w:p w:rsidR="00400F07" w:rsidRPr="00400F07" w:rsidRDefault="00400F07" w:rsidP="00400F07">
      <w:pPr>
        <w:ind w:left="2268"/>
        <w:jc w:val="both"/>
        <w:rPr>
          <w:i/>
          <w:sz w:val="24"/>
          <w:szCs w:val="24"/>
        </w:rPr>
      </w:pPr>
      <w:r w:rsidRPr="00400F07">
        <w:rPr>
          <w:i/>
          <w:sz w:val="24"/>
          <w:szCs w:val="24"/>
        </w:rPr>
        <w:t>Art. 15. Esta Resolução entra em vigor 180 dias após a data de sua publicação, quando serão revogadas a Portaria ANP nº 129, de 30 de julho de 1.999, e a Portaria ANP n° 130, de 30 de julho de 1.999.</w:t>
      </w:r>
      <w:r>
        <w:rPr>
          <w:i/>
          <w:sz w:val="24"/>
          <w:szCs w:val="24"/>
        </w:rPr>
        <w:t>"</w:t>
      </w:r>
    </w:p>
    <w:p w:rsidR="00400F07" w:rsidRPr="00795DA8" w:rsidRDefault="00400F07" w:rsidP="00795DA8">
      <w:pPr>
        <w:pStyle w:val="PargrafodaLista"/>
        <w:tabs>
          <w:tab w:val="left" w:pos="1418"/>
        </w:tabs>
        <w:spacing w:after="120"/>
        <w:ind w:left="0"/>
        <w:jc w:val="both"/>
        <w:rPr>
          <w:b/>
          <w:bCs/>
          <w:sz w:val="24"/>
          <w:szCs w:val="24"/>
        </w:rPr>
      </w:pPr>
    </w:p>
    <w:p w:rsidR="00795DA8" w:rsidRPr="00795DA8" w:rsidRDefault="00795DA8" w:rsidP="00795DA8">
      <w:pPr>
        <w:jc w:val="both"/>
        <w:rPr>
          <w:bCs/>
          <w:sz w:val="24"/>
          <w:szCs w:val="24"/>
        </w:rPr>
      </w:pPr>
      <w:r w:rsidRPr="00795DA8">
        <w:rPr>
          <w:bCs/>
          <w:sz w:val="24"/>
          <w:szCs w:val="24"/>
        </w:rPr>
        <w:t>A seguir constam as tabelas de especificação propostas na minuta de resolução com destaque para os ensaios que foram incluídos.</w:t>
      </w:r>
    </w:p>
    <w:p w:rsidR="00795DA8" w:rsidRPr="00795DA8" w:rsidRDefault="00795DA8" w:rsidP="00795DA8">
      <w:pPr>
        <w:jc w:val="both"/>
        <w:rPr>
          <w:bCs/>
          <w:sz w:val="24"/>
          <w:szCs w:val="24"/>
        </w:rPr>
      </w:pPr>
    </w:p>
    <w:p w:rsidR="00795DA8" w:rsidRDefault="00795DA8" w:rsidP="00795DA8">
      <w:pPr>
        <w:jc w:val="both"/>
        <w:rPr>
          <w:sz w:val="24"/>
          <w:szCs w:val="24"/>
        </w:rPr>
      </w:pPr>
      <w:r w:rsidRPr="00795DA8">
        <w:rPr>
          <w:sz w:val="24"/>
          <w:szCs w:val="24"/>
        </w:rPr>
        <w:t>Tabela 1. Especificações para os óleos básicos do Grupo I e naftênicos, de primeiro refino, e para os óleos básicos dos Grupos II e III, de primeiro refino ou rerrefinados.</w:t>
      </w:r>
    </w:p>
    <w:p w:rsidR="00725C88" w:rsidRPr="00795DA8" w:rsidRDefault="00725C88" w:rsidP="00795DA8">
      <w:pPr>
        <w:jc w:val="both"/>
        <w:rPr>
          <w:sz w:val="24"/>
          <w:szCs w:val="24"/>
        </w:rPr>
      </w:pPr>
    </w:p>
    <w:tbl>
      <w:tblPr>
        <w:tblW w:w="9996" w:type="dxa"/>
        <w:tblInd w:w="-428" w:type="dxa"/>
        <w:tblLayout w:type="fixed"/>
        <w:tblCellMar>
          <w:left w:w="70" w:type="dxa"/>
          <w:right w:w="70" w:type="dxa"/>
        </w:tblCellMar>
        <w:tblLook w:val="04A0"/>
      </w:tblPr>
      <w:tblGrid>
        <w:gridCol w:w="2197"/>
        <w:gridCol w:w="1134"/>
        <w:gridCol w:w="1134"/>
        <w:gridCol w:w="1065"/>
        <w:gridCol w:w="1010"/>
        <w:gridCol w:w="868"/>
        <w:gridCol w:w="2588"/>
      </w:tblGrid>
      <w:tr w:rsidR="00795DA8" w:rsidRPr="007449F5" w:rsidTr="00795DA8">
        <w:trPr>
          <w:trHeight w:val="407"/>
        </w:trPr>
        <w:tc>
          <w:tcPr>
            <w:tcW w:w="2197" w:type="dxa"/>
            <w:vMerge w:val="restart"/>
            <w:tcBorders>
              <w:top w:val="single" w:sz="4" w:space="0" w:color="auto"/>
              <w:left w:val="single" w:sz="4" w:space="0" w:color="auto"/>
              <w:right w:val="single" w:sz="4" w:space="0" w:color="auto"/>
            </w:tcBorders>
            <w:shd w:val="clear" w:color="000000" w:fill="FFFFFF"/>
            <w:vAlign w:val="center"/>
            <w:hideMark/>
          </w:tcPr>
          <w:p w:rsidR="00795DA8" w:rsidRPr="007449F5" w:rsidRDefault="00795DA8" w:rsidP="00795DA8">
            <w:pPr>
              <w:rPr>
                <w:b/>
                <w:bCs/>
                <w:sz w:val="18"/>
                <w:szCs w:val="18"/>
              </w:rPr>
            </w:pPr>
            <w:r w:rsidRPr="007449F5">
              <w:rPr>
                <w:b/>
                <w:bCs/>
                <w:sz w:val="18"/>
                <w:szCs w:val="18"/>
              </w:rPr>
              <w:t>CARACTERÍSTICA</w:t>
            </w:r>
          </w:p>
        </w:tc>
        <w:tc>
          <w:tcPr>
            <w:tcW w:w="4343" w:type="dxa"/>
            <w:gridSpan w:val="4"/>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Óleo lubrificante básico</w:t>
            </w:r>
          </w:p>
        </w:tc>
        <w:tc>
          <w:tcPr>
            <w:tcW w:w="868" w:type="dxa"/>
            <w:vMerge w:val="restart"/>
            <w:tcBorders>
              <w:top w:val="single" w:sz="4" w:space="0" w:color="auto"/>
              <w:left w:val="nil"/>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Unidade</w:t>
            </w:r>
          </w:p>
        </w:tc>
        <w:tc>
          <w:tcPr>
            <w:tcW w:w="2588" w:type="dxa"/>
            <w:vMerge w:val="restart"/>
            <w:tcBorders>
              <w:top w:val="single" w:sz="4" w:space="0" w:color="auto"/>
              <w:left w:val="nil"/>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Método</w:t>
            </w:r>
          </w:p>
        </w:tc>
      </w:tr>
      <w:tr w:rsidR="00795DA8" w:rsidRPr="007449F5" w:rsidTr="00795DA8">
        <w:trPr>
          <w:trHeight w:val="412"/>
        </w:trPr>
        <w:tc>
          <w:tcPr>
            <w:tcW w:w="2197" w:type="dxa"/>
            <w:vMerge/>
            <w:tcBorders>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b/>
                <w:bCs/>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Grupo 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Grupo II</w:t>
            </w:r>
          </w:p>
        </w:tc>
        <w:tc>
          <w:tcPr>
            <w:tcW w:w="106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Grupo III</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Naftênico</w:t>
            </w:r>
          </w:p>
        </w:tc>
        <w:tc>
          <w:tcPr>
            <w:tcW w:w="868" w:type="dxa"/>
            <w:vMerge/>
            <w:tcBorders>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p>
        </w:tc>
        <w:tc>
          <w:tcPr>
            <w:tcW w:w="2588" w:type="dxa"/>
            <w:vMerge/>
            <w:tcBorders>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p>
        </w:tc>
      </w:tr>
      <w:tr w:rsidR="00795DA8" w:rsidRPr="007449F5" w:rsidTr="00795DA8">
        <w:trPr>
          <w:trHeight w:val="288"/>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1. Aparência</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límpido e isento de impurezas</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límpido e isento de impurezas</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límpido e isento de impurezas</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límpido e isento de impurezas</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visual</w:t>
            </w:r>
          </w:p>
        </w:tc>
      </w:tr>
      <w:tr w:rsidR="00795DA8" w:rsidRPr="007449F5" w:rsidTr="00795DA8">
        <w:trPr>
          <w:trHeight w:val="576"/>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2. Cor ASTM,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ASTM D 1500</w:t>
            </w:r>
          </w:p>
          <w:p w:rsidR="00795DA8" w:rsidRPr="007449F5" w:rsidRDefault="00795DA8" w:rsidP="00795DA8">
            <w:pPr>
              <w:jc w:val="center"/>
              <w:rPr>
                <w:sz w:val="18"/>
                <w:szCs w:val="18"/>
              </w:rPr>
            </w:pPr>
            <w:r w:rsidRPr="007449F5">
              <w:rPr>
                <w:sz w:val="18"/>
                <w:szCs w:val="18"/>
              </w:rPr>
              <w:t>ASTM D 6045</w:t>
            </w:r>
          </w:p>
        </w:tc>
      </w:tr>
      <w:tr w:rsidR="00795DA8" w:rsidRPr="007449F5" w:rsidTr="00795DA8">
        <w:trPr>
          <w:trHeight w:val="288"/>
        </w:trPr>
        <w:tc>
          <w:tcPr>
            <w:tcW w:w="2197" w:type="dxa"/>
            <w:tcBorders>
              <w:top w:val="nil"/>
              <w:left w:val="single" w:sz="4" w:space="0" w:color="auto"/>
              <w:bottom w:val="single" w:sz="4" w:space="0" w:color="auto"/>
              <w:right w:val="single" w:sz="4" w:space="0" w:color="auto"/>
            </w:tcBorders>
            <w:shd w:val="clear" w:color="auto" w:fill="auto"/>
            <w:noWrap/>
            <w:vAlign w:val="center"/>
            <w:hideMark/>
          </w:tcPr>
          <w:p w:rsidR="00795DA8" w:rsidRDefault="00795DA8" w:rsidP="00795DA8">
            <w:pPr>
              <w:rPr>
                <w:sz w:val="18"/>
                <w:szCs w:val="18"/>
              </w:rPr>
            </w:pPr>
            <w:r w:rsidRPr="007449F5">
              <w:rPr>
                <w:sz w:val="18"/>
                <w:szCs w:val="18"/>
              </w:rPr>
              <w:t>3. Massa específica a 20°C</w:t>
            </w:r>
          </w:p>
          <w:p w:rsidR="00795DA8" w:rsidRPr="008D5EAA" w:rsidRDefault="00795DA8" w:rsidP="00795DA8">
            <w:pPr>
              <w:rPr>
                <w:color w:val="FF0000"/>
                <w:sz w:val="18"/>
                <w:szCs w:val="18"/>
              </w:rPr>
            </w:pPr>
            <w:r w:rsidRPr="008D5EAA">
              <w:rPr>
                <w:color w:val="FF0000"/>
                <w:sz w:val="18"/>
                <w:szCs w:val="18"/>
              </w:rPr>
              <w:t>(incluído)</w:t>
            </w:r>
          </w:p>
        </w:tc>
        <w:tc>
          <w:tcPr>
            <w:tcW w:w="1134"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anotar</w:t>
            </w:r>
          </w:p>
        </w:tc>
        <w:tc>
          <w:tcPr>
            <w:tcW w:w="1134"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anotar</w:t>
            </w:r>
          </w:p>
        </w:tc>
        <w:tc>
          <w:tcPr>
            <w:tcW w:w="1065"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anotar</w:t>
            </w:r>
          </w:p>
        </w:tc>
        <w:tc>
          <w:tcPr>
            <w:tcW w:w="1010"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anotar</w:t>
            </w:r>
          </w:p>
        </w:tc>
        <w:tc>
          <w:tcPr>
            <w:tcW w:w="868"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kg/m</w:t>
            </w:r>
            <w:r w:rsidRPr="007449F5">
              <w:rPr>
                <w:sz w:val="18"/>
                <w:szCs w:val="18"/>
                <w:vertAlign w:val="superscript"/>
              </w:rPr>
              <w:t>3</w:t>
            </w:r>
          </w:p>
          <w:p w:rsidR="00795DA8" w:rsidRPr="007449F5" w:rsidRDefault="00795DA8" w:rsidP="00795DA8">
            <w:pPr>
              <w:jc w:val="center"/>
              <w:rPr>
                <w:sz w:val="18"/>
                <w:szCs w:val="18"/>
              </w:rPr>
            </w:pPr>
            <w:r w:rsidRPr="007449F5">
              <w:rPr>
                <w:sz w:val="18"/>
                <w:szCs w:val="18"/>
              </w:rPr>
              <w:t>ou</w:t>
            </w:r>
          </w:p>
          <w:p w:rsidR="00795DA8" w:rsidRPr="007449F5" w:rsidRDefault="00795DA8" w:rsidP="00795DA8">
            <w:pPr>
              <w:jc w:val="center"/>
              <w:rPr>
                <w:sz w:val="18"/>
                <w:szCs w:val="18"/>
              </w:rPr>
            </w:pPr>
            <w:r w:rsidRPr="007449F5">
              <w:rPr>
                <w:sz w:val="18"/>
                <w:szCs w:val="18"/>
              </w:rPr>
              <w:t>kg/l</w:t>
            </w:r>
          </w:p>
        </w:tc>
        <w:tc>
          <w:tcPr>
            <w:tcW w:w="2588" w:type="dxa"/>
            <w:tcBorders>
              <w:top w:val="nil"/>
              <w:left w:val="nil"/>
              <w:bottom w:val="single" w:sz="4" w:space="0" w:color="auto"/>
              <w:right w:val="single" w:sz="4" w:space="0" w:color="auto"/>
            </w:tcBorders>
            <w:shd w:val="clear" w:color="auto" w:fill="auto"/>
            <w:noWrap/>
            <w:vAlign w:val="center"/>
            <w:hideMark/>
          </w:tcPr>
          <w:p w:rsidR="00795DA8" w:rsidRPr="007449F5" w:rsidRDefault="00795DA8" w:rsidP="00795DA8">
            <w:pPr>
              <w:jc w:val="center"/>
              <w:rPr>
                <w:sz w:val="18"/>
                <w:szCs w:val="18"/>
              </w:rPr>
            </w:pPr>
            <w:r w:rsidRPr="007449F5">
              <w:rPr>
                <w:sz w:val="18"/>
                <w:szCs w:val="18"/>
              </w:rPr>
              <w:t>ASTM D1298</w:t>
            </w:r>
          </w:p>
          <w:p w:rsidR="00795DA8" w:rsidRPr="007449F5" w:rsidRDefault="00795DA8" w:rsidP="00795DA8">
            <w:pPr>
              <w:jc w:val="center"/>
              <w:rPr>
                <w:sz w:val="18"/>
                <w:szCs w:val="18"/>
              </w:rPr>
            </w:pPr>
            <w:r w:rsidRPr="007449F5">
              <w:rPr>
                <w:sz w:val="18"/>
                <w:szCs w:val="18"/>
              </w:rPr>
              <w:t>ASTM D4052</w:t>
            </w:r>
          </w:p>
          <w:p w:rsidR="00795DA8" w:rsidRPr="007449F5" w:rsidRDefault="00795DA8" w:rsidP="00795DA8">
            <w:pPr>
              <w:jc w:val="center"/>
              <w:rPr>
                <w:sz w:val="18"/>
                <w:szCs w:val="18"/>
              </w:rPr>
            </w:pPr>
            <w:r w:rsidRPr="007449F5">
              <w:rPr>
                <w:sz w:val="18"/>
                <w:szCs w:val="18"/>
              </w:rPr>
              <w:t>NBR 7148</w:t>
            </w:r>
          </w:p>
        </w:tc>
      </w:tr>
      <w:tr w:rsidR="00795DA8" w:rsidRPr="007449F5" w:rsidTr="00795DA8">
        <w:trPr>
          <w:trHeight w:val="606"/>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lastRenderedPageBreak/>
              <w:t>4. Viscosidade cinemática a 40°C</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proofErr w:type="spellStart"/>
            <w:r w:rsidRPr="007449F5">
              <w:rPr>
                <w:sz w:val="18"/>
                <w:szCs w:val="18"/>
              </w:rPr>
              <w:t>cSt</w:t>
            </w:r>
            <w:proofErr w:type="spellEnd"/>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10441</w:t>
            </w:r>
          </w:p>
          <w:p w:rsidR="00795DA8" w:rsidRPr="007449F5" w:rsidRDefault="00795DA8" w:rsidP="00795DA8">
            <w:pPr>
              <w:jc w:val="center"/>
              <w:rPr>
                <w:sz w:val="18"/>
                <w:szCs w:val="18"/>
              </w:rPr>
            </w:pPr>
            <w:r w:rsidRPr="007449F5">
              <w:rPr>
                <w:sz w:val="18"/>
                <w:szCs w:val="18"/>
              </w:rPr>
              <w:t>ASTM D 445</w:t>
            </w:r>
          </w:p>
          <w:p w:rsidR="00795DA8" w:rsidRPr="007449F5" w:rsidRDefault="00795DA8" w:rsidP="00795DA8">
            <w:pPr>
              <w:jc w:val="center"/>
              <w:rPr>
                <w:sz w:val="18"/>
                <w:szCs w:val="18"/>
              </w:rPr>
            </w:pPr>
            <w:r w:rsidRPr="007449F5">
              <w:rPr>
                <w:sz w:val="18"/>
                <w:szCs w:val="18"/>
              </w:rPr>
              <w:t>ASTM D7042</w:t>
            </w:r>
          </w:p>
        </w:tc>
      </w:tr>
      <w:tr w:rsidR="00795DA8" w:rsidRPr="007449F5" w:rsidTr="00795DA8">
        <w:trPr>
          <w:trHeight w:val="573"/>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5. Viscosidade cinemática a 100°C</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 especificar</w:t>
            </w:r>
            <w:r w:rsidRPr="007449F5">
              <w:rPr>
                <w:b/>
                <w:sz w:val="18"/>
                <w:szCs w:val="18"/>
                <w:vertAlign w:val="superscript"/>
              </w:rPr>
              <w:t>1</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proofErr w:type="spellStart"/>
            <w:r w:rsidRPr="007449F5">
              <w:rPr>
                <w:sz w:val="18"/>
                <w:szCs w:val="18"/>
              </w:rPr>
              <w:t>cSt</w:t>
            </w:r>
            <w:proofErr w:type="spellEnd"/>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10441</w:t>
            </w:r>
          </w:p>
          <w:p w:rsidR="00795DA8" w:rsidRPr="007449F5" w:rsidRDefault="00795DA8" w:rsidP="00795DA8">
            <w:pPr>
              <w:jc w:val="center"/>
              <w:rPr>
                <w:sz w:val="18"/>
                <w:szCs w:val="18"/>
              </w:rPr>
            </w:pPr>
            <w:r w:rsidRPr="007449F5">
              <w:rPr>
                <w:sz w:val="18"/>
                <w:szCs w:val="18"/>
              </w:rPr>
              <w:t>ASTM D 445</w:t>
            </w:r>
          </w:p>
          <w:p w:rsidR="00795DA8" w:rsidRPr="007449F5" w:rsidRDefault="00795DA8" w:rsidP="00795DA8">
            <w:pPr>
              <w:jc w:val="center"/>
              <w:rPr>
                <w:sz w:val="18"/>
                <w:szCs w:val="18"/>
              </w:rPr>
            </w:pPr>
            <w:r w:rsidRPr="007449F5">
              <w:rPr>
                <w:sz w:val="18"/>
                <w:szCs w:val="18"/>
              </w:rPr>
              <w:t>ASTM D7042</w:t>
            </w:r>
          </w:p>
        </w:tc>
      </w:tr>
      <w:tr w:rsidR="00795DA8" w:rsidRPr="007449F5" w:rsidTr="00795DA8">
        <w:trPr>
          <w:trHeight w:val="684"/>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6. Índice de Viscosidade,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14358</w:t>
            </w:r>
          </w:p>
          <w:p w:rsidR="00795DA8" w:rsidRPr="007449F5" w:rsidRDefault="00795DA8" w:rsidP="00795DA8">
            <w:pPr>
              <w:jc w:val="center"/>
              <w:rPr>
                <w:sz w:val="18"/>
                <w:szCs w:val="18"/>
              </w:rPr>
            </w:pPr>
            <w:r w:rsidRPr="007449F5">
              <w:rPr>
                <w:sz w:val="18"/>
                <w:szCs w:val="18"/>
              </w:rPr>
              <w:t>ASTM D 2270</w:t>
            </w:r>
          </w:p>
        </w:tc>
      </w:tr>
      <w:tr w:rsidR="00795DA8" w:rsidRPr="007449F5" w:rsidTr="00795DA8">
        <w:trPr>
          <w:trHeight w:val="419"/>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7. Viscosidade CCS</w:t>
            </w:r>
            <w:r>
              <w:rPr>
                <w:sz w:val="18"/>
                <w:szCs w:val="18"/>
              </w:rPr>
              <w:t xml:space="preserve"> </w:t>
            </w:r>
            <w:r w:rsidRPr="00DC72C3">
              <w:rPr>
                <w:color w:val="FF0000"/>
                <w:sz w:val="18"/>
                <w:szCs w:val="18"/>
              </w:rPr>
              <w:t>(incluído)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b/>
                <w:sz w:val="18"/>
                <w:szCs w:val="18"/>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b/>
                <w:sz w:val="18"/>
                <w:szCs w:val="18"/>
                <w:vertAlign w:val="superscript"/>
              </w:rPr>
              <w:t>2</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b/>
                <w:sz w:val="18"/>
                <w:szCs w:val="18"/>
                <w:vertAlign w:val="superscript"/>
              </w:rPr>
              <w:t>2</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proofErr w:type="spellStart"/>
            <w:r w:rsidRPr="007449F5">
              <w:rPr>
                <w:sz w:val="18"/>
                <w:szCs w:val="18"/>
              </w:rPr>
              <w:t>cP</w:t>
            </w:r>
            <w:proofErr w:type="spellEnd"/>
            <w:r w:rsidRPr="007449F5">
              <w:rPr>
                <w:sz w:val="18"/>
                <w:szCs w:val="18"/>
              </w:rPr>
              <w:t>, °C</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ASTM D5293</w:t>
            </w:r>
          </w:p>
        </w:tc>
      </w:tr>
      <w:tr w:rsidR="00795DA8" w:rsidRPr="007449F5" w:rsidTr="00795DA8">
        <w:trPr>
          <w:trHeight w:val="553"/>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8. Ponto de Fulgor, mín.</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°C</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11341</w:t>
            </w:r>
          </w:p>
          <w:p w:rsidR="00795DA8" w:rsidRPr="007449F5" w:rsidRDefault="00795DA8" w:rsidP="00795DA8">
            <w:pPr>
              <w:jc w:val="center"/>
              <w:rPr>
                <w:sz w:val="18"/>
                <w:szCs w:val="18"/>
              </w:rPr>
            </w:pPr>
            <w:r w:rsidRPr="007449F5">
              <w:rPr>
                <w:sz w:val="18"/>
                <w:szCs w:val="18"/>
              </w:rPr>
              <w:t>ASTM D 92</w:t>
            </w:r>
          </w:p>
        </w:tc>
      </w:tr>
      <w:tr w:rsidR="00795DA8" w:rsidRPr="007449F5" w:rsidTr="00795DA8">
        <w:trPr>
          <w:trHeight w:val="561"/>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9. Volatilidade - NOACK</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sz w:val="18"/>
                <w:szCs w:val="18"/>
                <w:vertAlign w:val="superscript"/>
              </w:rPr>
              <w:t>3</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sz w:val="18"/>
                <w:szCs w:val="18"/>
                <w:vertAlign w:val="superscript"/>
              </w:rPr>
              <w:t>3</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anotar</w:t>
            </w:r>
            <w:r w:rsidRPr="007449F5">
              <w:rPr>
                <w:sz w:val="18"/>
                <w:szCs w:val="18"/>
                <w:vertAlign w:val="superscript"/>
              </w:rPr>
              <w:t>3</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 massa</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lang w:val="en-US"/>
              </w:rPr>
            </w:pPr>
            <w:r w:rsidRPr="007449F5">
              <w:rPr>
                <w:sz w:val="18"/>
                <w:szCs w:val="18"/>
                <w:lang w:val="en-US"/>
              </w:rPr>
              <w:t>NBR 14157, DIN 51581, ASTM D5800 B, ASTM D5800 C</w:t>
            </w:r>
          </w:p>
        </w:tc>
      </w:tr>
      <w:tr w:rsidR="00795DA8" w:rsidRPr="007449F5" w:rsidTr="00795DA8">
        <w:trPr>
          <w:trHeight w:val="555"/>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10. Ponto de Fluidez,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°C</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11349, ASTM D 97, ASTM D5950, ASTM D6749, ASTM D7346</w:t>
            </w:r>
          </w:p>
        </w:tc>
      </w:tr>
      <w:tr w:rsidR="00795DA8" w:rsidRPr="007449F5" w:rsidTr="00795DA8">
        <w:trPr>
          <w:trHeight w:val="563"/>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11. Índice de Acidez,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proofErr w:type="spellStart"/>
            <w:r w:rsidRPr="007449F5">
              <w:rPr>
                <w:sz w:val="18"/>
                <w:szCs w:val="18"/>
              </w:rPr>
              <w:t>mg</w:t>
            </w:r>
            <w:proofErr w:type="spellEnd"/>
            <w:r w:rsidRPr="007449F5">
              <w:rPr>
                <w:sz w:val="18"/>
                <w:szCs w:val="18"/>
              </w:rPr>
              <w:t xml:space="preserve"> KOH/g</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14248</w:t>
            </w:r>
          </w:p>
          <w:p w:rsidR="00795DA8" w:rsidRPr="007449F5" w:rsidRDefault="00795DA8" w:rsidP="00795DA8">
            <w:pPr>
              <w:jc w:val="center"/>
              <w:rPr>
                <w:sz w:val="18"/>
                <w:szCs w:val="18"/>
              </w:rPr>
            </w:pPr>
            <w:r w:rsidRPr="007449F5">
              <w:rPr>
                <w:sz w:val="18"/>
                <w:szCs w:val="18"/>
              </w:rPr>
              <w:t>ASTM D 974</w:t>
            </w:r>
          </w:p>
          <w:p w:rsidR="00795DA8" w:rsidRPr="007449F5" w:rsidRDefault="00795DA8" w:rsidP="00795DA8">
            <w:pPr>
              <w:jc w:val="center"/>
              <w:rPr>
                <w:sz w:val="18"/>
                <w:szCs w:val="18"/>
              </w:rPr>
            </w:pPr>
            <w:r w:rsidRPr="007449F5">
              <w:rPr>
                <w:sz w:val="18"/>
                <w:szCs w:val="18"/>
              </w:rPr>
              <w:t>ASTM D664</w:t>
            </w:r>
          </w:p>
        </w:tc>
      </w:tr>
      <w:tr w:rsidR="00795DA8" w:rsidRPr="007449F5" w:rsidTr="00795DA8">
        <w:trPr>
          <w:trHeight w:val="557"/>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 xml:space="preserve">12. </w:t>
            </w:r>
            <w:proofErr w:type="spellStart"/>
            <w:r w:rsidRPr="007449F5">
              <w:rPr>
                <w:sz w:val="18"/>
                <w:szCs w:val="18"/>
              </w:rPr>
              <w:t>Corrosividade</w:t>
            </w:r>
            <w:proofErr w:type="spellEnd"/>
            <w:r w:rsidRPr="007449F5">
              <w:rPr>
                <w:sz w:val="18"/>
                <w:szCs w:val="18"/>
              </w:rPr>
              <w:t xml:space="preserve"> ao cobre, 3 h a 100°C,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14359</w:t>
            </w:r>
          </w:p>
          <w:p w:rsidR="00795DA8" w:rsidRPr="007449F5" w:rsidRDefault="00795DA8" w:rsidP="00795DA8">
            <w:pPr>
              <w:jc w:val="center"/>
              <w:rPr>
                <w:sz w:val="18"/>
                <w:szCs w:val="18"/>
              </w:rPr>
            </w:pPr>
            <w:r w:rsidRPr="007449F5">
              <w:rPr>
                <w:sz w:val="18"/>
                <w:szCs w:val="18"/>
              </w:rPr>
              <w:t>ASTM D 130</w:t>
            </w:r>
          </w:p>
        </w:tc>
      </w:tr>
      <w:tr w:rsidR="00795DA8" w:rsidRPr="007449F5" w:rsidTr="00795DA8">
        <w:trPr>
          <w:trHeight w:val="559"/>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 xml:space="preserve">13. Resíduo de Carbono </w:t>
            </w:r>
            <w:proofErr w:type="spellStart"/>
            <w:r w:rsidRPr="007449F5">
              <w:rPr>
                <w:sz w:val="18"/>
                <w:szCs w:val="18"/>
              </w:rPr>
              <w:t>Ramsbottom</w:t>
            </w:r>
            <w:proofErr w:type="spellEnd"/>
            <w:r w:rsidRPr="007449F5">
              <w:rPr>
                <w:sz w:val="18"/>
                <w:szCs w:val="18"/>
              </w:rPr>
              <w:t>, máx.</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 massa</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14318</w:t>
            </w:r>
          </w:p>
          <w:p w:rsidR="00795DA8" w:rsidRPr="007449F5" w:rsidRDefault="00795DA8" w:rsidP="00795DA8">
            <w:pPr>
              <w:jc w:val="center"/>
              <w:rPr>
                <w:sz w:val="18"/>
                <w:szCs w:val="18"/>
              </w:rPr>
            </w:pPr>
            <w:r w:rsidRPr="007449F5">
              <w:rPr>
                <w:sz w:val="18"/>
                <w:szCs w:val="18"/>
              </w:rPr>
              <w:t>ASTM D 524</w:t>
            </w:r>
          </w:p>
        </w:tc>
      </w:tr>
      <w:tr w:rsidR="00795DA8" w:rsidRPr="007449F5" w:rsidTr="00795DA8">
        <w:trPr>
          <w:trHeight w:val="576"/>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rPr>
                <w:sz w:val="18"/>
                <w:szCs w:val="18"/>
              </w:rPr>
            </w:pPr>
            <w:r w:rsidRPr="007449F5">
              <w:rPr>
                <w:sz w:val="18"/>
                <w:szCs w:val="18"/>
              </w:rPr>
              <w:t>14. Teor de enxofre, máx.</w:t>
            </w:r>
          </w:p>
          <w:p w:rsidR="00795DA8" w:rsidRPr="007449F5" w:rsidRDefault="00795DA8" w:rsidP="00795DA8">
            <w:pPr>
              <w:rPr>
                <w:sz w:val="18"/>
                <w:szCs w:val="18"/>
              </w:rPr>
            </w:pPr>
            <w:r w:rsidRPr="00DC72C3">
              <w:rPr>
                <w:color w:val="FF0000"/>
                <w:sz w:val="18"/>
                <w:szCs w:val="18"/>
              </w:rPr>
              <w:t>(incluído)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 massa</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ASTM D4951, NBR 14786, ASTM D2622, ASTM D4294, NBR 14533, ASTM D6481, ASTM D2622, ASTM D5185, ASTM D1552, ASTM D3120, ASTM D4927</w:t>
            </w:r>
          </w:p>
        </w:tc>
      </w:tr>
      <w:tr w:rsidR="00795DA8" w:rsidRPr="007449F5" w:rsidTr="00795DA8">
        <w:trPr>
          <w:trHeight w:val="489"/>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rPr>
                <w:sz w:val="18"/>
                <w:szCs w:val="18"/>
              </w:rPr>
            </w:pPr>
            <w:r w:rsidRPr="007449F5">
              <w:rPr>
                <w:sz w:val="18"/>
                <w:szCs w:val="18"/>
              </w:rPr>
              <w:t>15. Teor de saturados, mín.</w:t>
            </w:r>
          </w:p>
          <w:p w:rsidR="00795DA8" w:rsidRPr="007449F5" w:rsidRDefault="00795DA8" w:rsidP="00795DA8">
            <w:pPr>
              <w:rPr>
                <w:sz w:val="18"/>
                <w:szCs w:val="18"/>
              </w:rPr>
            </w:pPr>
            <w:r w:rsidRPr="00DC72C3">
              <w:rPr>
                <w:color w:val="FF0000"/>
                <w:sz w:val="18"/>
                <w:szCs w:val="18"/>
              </w:rPr>
              <w:t>(incluído)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especificar</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 massa</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ASTM D7419</w:t>
            </w:r>
          </w:p>
          <w:p w:rsidR="00795DA8" w:rsidRPr="007449F5" w:rsidRDefault="00795DA8" w:rsidP="00795DA8">
            <w:pPr>
              <w:jc w:val="center"/>
              <w:rPr>
                <w:sz w:val="18"/>
                <w:szCs w:val="18"/>
              </w:rPr>
            </w:pPr>
            <w:r w:rsidRPr="007449F5">
              <w:rPr>
                <w:sz w:val="18"/>
                <w:szCs w:val="18"/>
              </w:rPr>
              <w:t>ASTM D2007</w:t>
            </w:r>
          </w:p>
        </w:tc>
      </w:tr>
      <w:tr w:rsidR="00795DA8" w:rsidRPr="007449F5" w:rsidTr="00795DA8">
        <w:trPr>
          <w:trHeight w:val="412"/>
        </w:trPr>
        <w:tc>
          <w:tcPr>
            <w:tcW w:w="2197"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rPr>
                <w:sz w:val="18"/>
                <w:szCs w:val="18"/>
              </w:rPr>
            </w:pPr>
            <w:r w:rsidRPr="007449F5">
              <w:rPr>
                <w:sz w:val="18"/>
                <w:szCs w:val="18"/>
              </w:rPr>
              <w:t>16. Extrato em DMSO</w:t>
            </w:r>
          </w:p>
          <w:p w:rsidR="00795DA8" w:rsidRPr="007449F5" w:rsidRDefault="00795DA8" w:rsidP="00795DA8">
            <w:pPr>
              <w:rPr>
                <w:sz w:val="18"/>
                <w:szCs w:val="18"/>
              </w:rPr>
            </w:pPr>
            <w:r w:rsidRPr="00DC72C3">
              <w:rPr>
                <w:color w:val="FF0000"/>
                <w:sz w:val="18"/>
                <w:szCs w:val="18"/>
              </w:rPr>
              <w:t>(incluído)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134"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06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010"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 massa</w:t>
            </w:r>
          </w:p>
        </w:tc>
        <w:tc>
          <w:tcPr>
            <w:tcW w:w="2588"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IP 346</w:t>
            </w:r>
          </w:p>
        </w:tc>
      </w:tr>
      <w:tr w:rsidR="00795DA8" w:rsidRPr="007449F5" w:rsidTr="00795DA8">
        <w:trPr>
          <w:trHeight w:val="560"/>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sz w:val="18"/>
                <w:szCs w:val="18"/>
              </w:rPr>
            </w:pPr>
            <w:r w:rsidRPr="007449F5">
              <w:rPr>
                <w:sz w:val="18"/>
                <w:szCs w:val="18"/>
              </w:rPr>
              <w:t xml:space="preserve">17. </w:t>
            </w:r>
            <w:proofErr w:type="spellStart"/>
            <w:r w:rsidRPr="007449F5">
              <w:rPr>
                <w:sz w:val="18"/>
                <w:szCs w:val="18"/>
              </w:rPr>
              <w:t>Demulsibilidade</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valor típico</w:t>
            </w:r>
          </w:p>
        </w:tc>
        <w:tc>
          <w:tcPr>
            <w:tcW w:w="106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ml (</w:t>
            </w:r>
            <w:proofErr w:type="spellStart"/>
            <w:r w:rsidRPr="007449F5">
              <w:rPr>
                <w:sz w:val="18"/>
                <w:szCs w:val="18"/>
              </w:rPr>
              <w:t>min</w:t>
            </w:r>
            <w:proofErr w:type="spellEnd"/>
            <w:r w:rsidRPr="007449F5">
              <w:rPr>
                <w:sz w:val="18"/>
                <w:szCs w:val="18"/>
              </w:rPr>
              <w:t>)</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NBR 14172</w:t>
            </w:r>
          </w:p>
          <w:p w:rsidR="00795DA8" w:rsidRPr="007449F5" w:rsidRDefault="00795DA8" w:rsidP="00795DA8">
            <w:pPr>
              <w:jc w:val="center"/>
              <w:rPr>
                <w:sz w:val="18"/>
                <w:szCs w:val="18"/>
              </w:rPr>
            </w:pPr>
            <w:r w:rsidRPr="007449F5">
              <w:rPr>
                <w:sz w:val="18"/>
                <w:szCs w:val="18"/>
              </w:rPr>
              <w:t>ASTM D1401</w:t>
            </w:r>
          </w:p>
        </w:tc>
      </w:tr>
      <w:tr w:rsidR="00795DA8" w:rsidRPr="007449F5" w:rsidTr="00795DA8">
        <w:trPr>
          <w:trHeight w:val="560"/>
        </w:trPr>
        <w:tc>
          <w:tcPr>
            <w:tcW w:w="999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rPr>
                <w:sz w:val="18"/>
                <w:szCs w:val="18"/>
              </w:rPr>
            </w:pPr>
            <w:r w:rsidRPr="007449F5">
              <w:rPr>
                <w:sz w:val="18"/>
                <w:szCs w:val="18"/>
              </w:rPr>
              <w:t>Notas</w:t>
            </w:r>
          </w:p>
          <w:p w:rsidR="00795DA8" w:rsidRPr="007449F5" w:rsidRDefault="00795DA8" w:rsidP="00795DA8">
            <w:pPr>
              <w:rPr>
                <w:sz w:val="18"/>
                <w:szCs w:val="18"/>
              </w:rPr>
            </w:pPr>
          </w:p>
          <w:p w:rsidR="00795DA8" w:rsidRPr="007449F5" w:rsidRDefault="00795DA8" w:rsidP="00795DA8">
            <w:pPr>
              <w:pStyle w:val="PargrafodaLista"/>
              <w:numPr>
                <w:ilvl w:val="0"/>
                <w:numId w:val="28"/>
              </w:numPr>
              <w:spacing w:line="276" w:lineRule="auto"/>
              <w:contextualSpacing/>
              <w:rPr>
                <w:sz w:val="18"/>
                <w:szCs w:val="18"/>
              </w:rPr>
            </w:pPr>
            <w:r w:rsidRPr="007449F5">
              <w:rPr>
                <w:sz w:val="18"/>
                <w:szCs w:val="18"/>
              </w:rPr>
              <w:t>Fornecedor do óleo básico deve especificar viscosidade cinemática a 40°C ou a 100°C e anotar a viscosidade obtida na outra temperatura.</w:t>
            </w:r>
          </w:p>
          <w:p w:rsidR="00795DA8" w:rsidRPr="007449F5" w:rsidRDefault="00795DA8" w:rsidP="00795DA8">
            <w:pPr>
              <w:pStyle w:val="PargrafodaLista"/>
              <w:numPr>
                <w:ilvl w:val="0"/>
                <w:numId w:val="28"/>
              </w:numPr>
              <w:spacing w:line="276" w:lineRule="auto"/>
              <w:contextualSpacing/>
              <w:rPr>
                <w:sz w:val="18"/>
                <w:szCs w:val="18"/>
              </w:rPr>
            </w:pPr>
            <w:r w:rsidRPr="007449F5">
              <w:rPr>
                <w:sz w:val="18"/>
                <w:szCs w:val="18"/>
              </w:rPr>
              <w:t xml:space="preserve">Aplicável aos óleos básicos com viscosidade cinemática a 40°C  de 25 a 105 </w:t>
            </w:r>
            <w:proofErr w:type="spellStart"/>
            <w:r w:rsidRPr="007449F5">
              <w:rPr>
                <w:sz w:val="18"/>
                <w:szCs w:val="18"/>
              </w:rPr>
              <w:t>cSt</w:t>
            </w:r>
            <w:proofErr w:type="spellEnd"/>
            <w:r w:rsidRPr="007449F5">
              <w:rPr>
                <w:sz w:val="18"/>
                <w:szCs w:val="18"/>
              </w:rPr>
              <w:t>. Analisar ao menos em uma das temperaturas expressas na tabela SAE J300.</w:t>
            </w:r>
          </w:p>
          <w:p w:rsidR="00795DA8" w:rsidRDefault="00795DA8" w:rsidP="00795DA8">
            <w:pPr>
              <w:pStyle w:val="PargrafodaLista"/>
              <w:numPr>
                <w:ilvl w:val="0"/>
                <w:numId w:val="28"/>
              </w:numPr>
              <w:spacing w:line="276" w:lineRule="auto"/>
              <w:contextualSpacing/>
              <w:rPr>
                <w:sz w:val="18"/>
                <w:szCs w:val="18"/>
              </w:rPr>
            </w:pPr>
            <w:r w:rsidRPr="007449F5">
              <w:rPr>
                <w:sz w:val="18"/>
                <w:szCs w:val="18"/>
              </w:rPr>
              <w:t xml:space="preserve">Aplicável aos óleos básicos com viscosidade cinemática a 40°C de 25 a 105 </w:t>
            </w:r>
            <w:proofErr w:type="spellStart"/>
            <w:r w:rsidRPr="007449F5">
              <w:rPr>
                <w:sz w:val="18"/>
                <w:szCs w:val="18"/>
              </w:rPr>
              <w:t>cSt</w:t>
            </w:r>
            <w:proofErr w:type="spellEnd"/>
            <w:r w:rsidRPr="007449F5">
              <w:rPr>
                <w:sz w:val="18"/>
                <w:szCs w:val="18"/>
              </w:rPr>
              <w:t>. Óleo básico Turbina Pesado está dispensado de anotar essa característica.</w:t>
            </w:r>
          </w:p>
          <w:p w:rsidR="00795DA8" w:rsidRDefault="00795DA8" w:rsidP="00795DA8">
            <w:pPr>
              <w:pStyle w:val="PargrafodaLista"/>
              <w:spacing w:line="276" w:lineRule="auto"/>
              <w:rPr>
                <w:sz w:val="18"/>
                <w:szCs w:val="18"/>
              </w:rPr>
            </w:pPr>
          </w:p>
          <w:p w:rsidR="00795DA8" w:rsidRPr="00DC72C3" w:rsidRDefault="00795DA8" w:rsidP="00795DA8">
            <w:pPr>
              <w:pStyle w:val="PargrafodaLista"/>
              <w:spacing w:line="276" w:lineRule="auto"/>
              <w:ind w:left="0"/>
              <w:rPr>
                <w:color w:val="FF0000"/>
                <w:sz w:val="18"/>
                <w:szCs w:val="18"/>
              </w:rPr>
            </w:pPr>
            <w:r w:rsidRPr="00DC72C3">
              <w:rPr>
                <w:color w:val="FF0000"/>
                <w:sz w:val="18"/>
                <w:szCs w:val="18"/>
              </w:rPr>
              <w:t>Obs.: Em relação às Portaria</w:t>
            </w:r>
            <w:r w:rsidR="000C07F8">
              <w:rPr>
                <w:color w:val="FF0000"/>
                <w:sz w:val="18"/>
                <w:szCs w:val="18"/>
              </w:rPr>
              <w:t xml:space="preserve"> n° 129/99</w:t>
            </w:r>
            <w:r w:rsidRPr="00DC72C3">
              <w:rPr>
                <w:color w:val="FF0000"/>
                <w:sz w:val="18"/>
                <w:szCs w:val="18"/>
              </w:rPr>
              <w:t xml:space="preserve"> atua</w:t>
            </w:r>
            <w:r w:rsidR="000C07F8">
              <w:rPr>
                <w:color w:val="FF0000"/>
                <w:sz w:val="18"/>
                <w:szCs w:val="18"/>
              </w:rPr>
              <w:t>l</w:t>
            </w:r>
            <w:r w:rsidRPr="00DC72C3">
              <w:rPr>
                <w:color w:val="FF0000"/>
                <w:sz w:val="18"/>
                <w:szCs w:val="18"/>
              </w:rPr>
              <w:t xml:space="preserve"> foram retirados os ensaios de Cinzas e Estabilidade à Oxidação.</w:t>
            </w:r>
          </w:p>
          <w:p w:rsidR="00795DA8" w:rsidRPr="007449F5" w:rsidRDefault="00795DA8" w:rsidP="00795DA8">
            <w:pPr>
              <w:rPr>
                <w:sz w:val="18"/>
                <w:szCs w:val="18"/>
              </w:rPr>
            </w:pPr>
          </w:p>
        </w:tc>
      </w:tr>
    </w:tbl>
    <w:p w:rsidR="00795DA8" w:rsidRPr="007449F5" w:rsidRDefault="00795DA8" w:rsidP="00795DA8">
      <w:pPr>
        <w:jc w:val="both"/>
        <w:rPr>
          <w:bCs/>
          <w:szCs w:val="24"/>
        </w:rPr>
      </w:pPr>
    </w:p>
    <w:p w:rsidR="00795DA8" w:rsidRPr="007449F5" w:rsidRDefault="00795DA8" w:rsidP="00795DA8">
      <w:pPr>
        <w:jc w:val="both"/>
        <w:rPr>
          <w:bCs/>
          <w:szCs w:val="24"/>
        </w:rPr>
      </w:pPr>
    </w:p>
    <w:p w:rsidR="00795DA8" w:rsidRPr="00795DA8" w:rsidRDefault="00795DA8" w:rsidP="00795DA8">
      <w:pPr>
        <w:jc w:val="both"/>
        <w:rPr>
          <w:sz w:val="24"/>
          <w:szCs w:val="24"/>
        </w:rPr>
      </w:pPr>
      <w:r w:rsidRPr="00795DA8">
        <w:rPr>
          <w:sz w:val="24"/>
          <w:szCs w:val="24"/>
        </w:rPr>
        <w:t>Tabela 2. Especificação para os óleos básicos rerrefinados do grupo I.</w:t>
      </w:r>
    </w:p>
    <w:p w:rsidR="00795DA8" w:rsidRPr="00795DA8" w:rsidRDefault="00795DA8" w:rsidP="00795DA8">
      <w:pPr>
        <w:jc w:val="both"/>
        <w:rPr>
          <w:sz w:val="24"/>
          <w:szCs w:val="24"/>
        </w:rPr>
      </w:pPr>
    </w:p>
    <w:tbl>
      <w:tblPr>
        <w:tblW w:w="10097" w:type="dxa"/>
        <w:tblInd w:w="-529" w:type="dxa"/>
        <w:tblCellMar>
          <w:left w:w="70" w:type="dxa"/>
          <w:right w:w="70" w:type="dxa"/>
        </w:tblCellMar>
        <w:tblLook w:val="04A0"/>
      </w:tblPr>
      <w:tblGrid>
        <w:gridCol w:w="1781"/>
        <w:gridCol w:w="1025"/>
        <w:gridCol w:w="1026"/>
        <w:gridCol w:w="1026"/>
        <w:gridCol w:w="1026"/>
        <w:gridCol w:w="1026"/>
        <w:gridCol w:w="1141"/>
        <w:gridCol w:w="2046"/>
      </w:tblGrid>
      <w:tr w:rsidR="00795DA8" w:rsidRPr="007449F5" w:rsidTr="00795DA8">
        <w:trPr>
          <w:trHeight w:val="616"/>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rPr>
                <w:b/>
                <w:bCs/>
                <w:sz w:val="18"/>
                <w:szCs w:val="18"/>
              </w:rPr>
            </w:pPr>
            <w:r w:rsidRPr="007449F5">
              <w:rPr>
                <w:b/>
                <w:bCs/>
                <w:sz w:val="18"/>
                <w:szCs w:val="18"/>
              </w:rPr>
              <w:t>CARACTERÍSTICA</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RR - 10</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RR - 30</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Default="00795DA8" w:rsidP="00795DA8">
            <w:pPr>
              <w:jc w:val="center"/>
              <w:rPr>
                <w:b/>
                <w:bCs/>
                <w:sz w:val="18"/>
                <w:szCs w:val="18"/>
              </w:rPr>
            </w:pPr>
            <w:r w:rsidRPr="007449F5">
              <w:rPr>
                <w:b/>
                <w:bCs/>
                <w:sz w:val="18"/>
                <w:szCs w:val="18"/>
              </w:rPr>
              <w:t>RR - 40</w:t>
            </w:r>
          </w:p>
          <w:p w:rsidR="00795DA8" w:rsidRPr="007449F5" w:rsidRDefault="00795DA8" w:rsidP="00795DA8">
            <w:pPr>
              <w:jc w:val="center"/>
              <w:rPr>
                <w:b/>
                <w:bCs/>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RR - 55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b/>
                <w:bCs/>
                <w:sz w:val="18"/>
                <w:szCs w:val="18"/>
              </w:rPr>
            </w:pPr>
            <w:r w:rsidRPr="007449F5">
              <w:rPr>
                <w:b/>
                <w:bCs/>
                <w:sz w:val="18"/>
                <w:szCs w:val="18"/>
              </w:rPr>
              <w:t>RR - 70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ind w:firstLine="1"/>
              <w:jc w:val="center"/>
              <w:rPr>
                <w:b/>
                <w:bCs/>
                <w:sz w:val="18"/>
                <w:szCs w:val="18"/>
              </w:rPr>
            </w:pPr>
            <w:r w:rsidRPr="007449F5">
              <w:rPr>
                <w:b/>
                <w:bCs/>
                <w:sz w:val="18"/>
                <w:szCs w:val="18"/>
              </w:rPr>
              <w:t>Unidade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jc w:val="center"/>
              <w:rPr>
                <w:b/>
                <w:bCs/>
                <w:sz w:val="18"/>
                <w:szCs w:val="18"/>
              </w:rPr>
            </w:pPr>
            <w:r w:rsidRPr="007449F5">
              <w:rPr>
                <w:b/>
                <w:bCs/>
                <w:sz w:val="18"/>
                <w:szCs w:val="18"/>
              </w:rPr>
              <w:t>Método</w:t>
            </w:r>
          </w:p>
        </w:tc>
      </w:tr>
      <w:tr w:rsidR="00795DA8" w:rsidRPr="007449F5" w:rsidTr="00795DA8">
        <w:trPr>
          <w:trHeight w:val="288"/>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1. Aparência</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Límpido e isento de impurezas</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Límpido e isento de impurezas</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Límpido e isento de impurezas</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Límpido e isento de impurezas</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Límpido e isento de impurezas</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Visual</w:t>
            </w:r>
          </w:p>
        </w:tc>
      </w:tr>
      <w:tr w:rsidR="00795DA8" w:rsidRPr="007449F5" w:rsidTr="00795DA8">
        <w:trPr>
          <w:trHeight w:val="434"/>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2. Cor ASTM,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2,0</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4,0</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ASTM D1500</w:t>
            </w:r>
          </w:p>
          <w:p w:rsidR="00795DA8" w:rsidRPr="007449F5" w:rsidRDefault="00795DA8" w:rsidP="00795DA8">
            <w:pPr>
              <w:spacing w:before="60" w:after="60"/>
              <w:jc w:val="center"/>
              <w:rPr>
                <w:sz w:val="18"/>
                <w:szCs w:val="18"/>
              </w:rPr>
            </w:pPr>
            <w:r w:rsidRPr="007449F5">
              <w:rPr>
                <w:sz w:val="18"/>
                <w:szCs w:val="18"/>
              </w:rPr>
              <w:t>ASTM D6045</w:t>
            </w:r>
          </w:p>
        </w:tc>
      </w:tr>
      <w:tr w:rsidR="00795DA8" w:rsidRPr="007449F5" w:rsidTr="00795DA8">
        <w:trPr>
          <w:trHeight w:val="554"/>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lastRenderedPageBreak/>
              <w:t>3. Massa específica</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anotar</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kg/m</w:t>
            </w:r>
            <w:r w:rsidRPr="007449F5">
              <w:rPr>
                <w:sz w:val="18"/>
                <w:szCs w:val="18"/>
                <w:vertAlign w:val="superscript"/>
              </w:rPr>
              <w:t>3</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ASTM D1298</w:t>
            </w:r>
          </w:p>
          <w:p w:rsidR="00795DA8" w:rsidRPr="007449F5" w:rsidRDefault="00795DA8" w:rsidP="00795DA8">
            <w:pPr>
              <w:spacing w:before="60" w:after="60"/>
              <w:jc w:val="center"/>
              <w:rPr>
                <w:sz w:val="18"/>
                <w:szCs w:val="18"/>
              </w:rPr>
            </w:pPr>
            <w:r w:rsidRPr="007449F5">
              <w:rPr>
                <w:sz w:val="18"/>
                <w:szCs w:val="18"/>
              </w:rPr>
              <w:t>ASTM D4052</w:t>
            </w:r>
          </w:p>
          <w:p w:rsidR="00795DA8" w:rsidRPr="007449F5" w:rsidRDefault="00795DA8" w:rsidP="00795DA8">
            <w:pPr>
              <w:spacing w:before="60" w:after="60"/>
              <w:jc w:val="center"/>
              <w:rPr>
                <w:sz w:val="18"/>
                <w:szCs w:val="18"/>
              </w:rPr>
            </w:pPr>
            <w:r w:rsidRPr="007449F5">
              <w:rPr>
                <w:sz w:val="18"/>
                <w:szCs w:val="18"/>
              </w:rPr>
              <w:t>NBR D7148</w:t>
            </w:r>
          </w:p>
        </w:tc>
      </w:tr>
      <w:tr w:rsidR="00795DA8" w:rsidRPr="007449F5" w:rsidTr="00795DA8">
        <w:trPr>
          <w:trHeight w:val="562"/>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4.</w:t>
            </w:r>
            <w:r>
              <w:rPr>
                <w:sz w:val="18"/>
                <w:szCs w:val="18"/>
              </w:rPr>
              <w:t xml:space="preserve"> </w:t>
            </w:r>
            <w:r w:rsidRPr="007449F5">
              <w:rPr>
                <w:sz w:val="18"/>
                <w:szCs w:val="18"/>
              </w:rPr>
              <w:t>Viscosidade Cinemática a 40°C</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8 a 14</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26 a 32</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36 a 46</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50 a 60</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Anotar</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cSt</w:t>
            </w:r>
            <w:proofErr w:type="spellEnd"/>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10441</w:t>
            </w:r>
          </w:p>
          <w:p w:rsidR="00795DA8" w:rsidRPr="007449F5" w:rsidRDefault="00795DA8" w:rsidP="00795DA8">
            <w:pPr>
              <w:spacing w:before="60" w:after="60"/>
              <w:jc w:val="center"/>
              <w:rPr>
                <w:sz w:val="18"/>
                <w:szCs w:val="18"/>
              </w:rPr>
            </w:pPr>
            <w:r w:rsidRPr="007449F5">
              <w:rPr>
                <w:sz w:val="18"/>
                <w:szCs w:val="18"/>
              </w:rPr>
              <w:t>ASTM D445</w:t>
            </w:r>
          </w:p>
          <w:p w:rsidR="00795DA8" w:rsidRPr="007449F5" w:rsidRDefault="00795DA8" w:rsidP="00795DA8">
            <w:pPr>
              <w:spacing w:before="60" w:after="60"/>
              <w:jc w:val="center"/>
              <w:rPr>
                <w:sz w:val="18"/>
                <w:szCs w:val="18"/>
              </w:rPr>
            </w:pPr>
            <w:r w:rsidRPr="007449F5">
              <w:rPr>
                <w:sz w:val="18"/>
                <w:szCs w:val="18"/>
              </w:rPr>
              <w:t>ASTM D7042</w:t>
            </w:r>
          </w:p>
        </w:tc>
      </w:tr>
      <w:tr w:rsidR="00795DA8" w:rsidRPr="007449F5" w:rsidTr="00795DA8">
        <w:trPr>
          <w:trHeight w:val="556"/>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5. Viscosidade Cinemática a 100° C</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9,0 a 12,0</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cSt</w:t>
            </w:r>
            <w:proofErr w:type="spellEnd"/>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10441</w:t>
            </w:r>
          </w:p>
          <w:p w:rsidR="00795DA8" w:rsidRPr="007449F5" w:rsidRDefault="00795DA8" w:rsidP="00795DA8">
            <w:pPr>
              <w:spacing w:before="60" w:after="60"/>
              <w:jc w:val="center"/>
              <w:rPr>
                <w:sz w:val="18"/>
                <w:szCs w:val="18"/>
              </w:rPr>
            </w:pPr>
            <w:r w:rsidRPr="007449F5">
              <w:rPr>
                <w:sz w:val="18"/>
                <w:szCs w:val="18"/>
              </w:rPr>
              <w:t>ASTM D445</w:t>
            </w:r>
          </w:p>
          <w:p w:rsidR="00795DA8" w:rsidRPr="007449F5" w:rsidRDefault="00795DA8" w:rsidP="00795DA8">
            <w:pPr>
              <w:spacing w:before="60" w:after="60"/>
              <w:jc w:val="center"/>
              <w:rPr>
                <w:sz w:val="18"/>
                <w:szCs w:val="18"/>
              </w:rPr>
            </w:pPr>
            <w:r w:rsidRPr="007449F5">
              <w:rPr>
                <w:sz w:val="18"/>
                <w:szCs w:val="18"/>
              </w:rPr>
              <w:t>ASTM D7042</w:t>
            </w:r>
          </w:p>
        </w:tc>
      </w:tr>
      <w:tr w:rsidR="00795DA8" w:rsidRPr="007449F5" w:rsidTr="00795DA8">
        <w:trPr>
          <w:trHeight w:val="564"/>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6. Índice de Viscosidade, min.</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90</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95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95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95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95</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14358</w:t>
            </w:r>
          </w:p>
          <w:p w:rsidR="00795DA8" w:rsidRPr="007449F5" w:rsidRDefault="00795DA8" w:rsidP="00795DA8">
            <w:pPr>
              <w:spacing w:before="60" w:after="60"/>
              <w:jc w:val="center"/>
              <w:rPr>
                <w:sz w:val="18"/>
                <w:szCs w:val="18"/>
              </w:rPr>
            </w:pPr>
            <w:r w:rsidRPr="007449F5">
              <w:rPr>
                <w:sz w:val="18"/>
                <w:szCs w:val="18"/>
              </w:rPr>
              <w:t>ASTM D2270</w:t>
            </w:r>
          </w:p>
        </w:tc>
      </w:tr>
      <w:tr w:rsidR="00795DA8" w:rsidRPr="007449F5" w:rsidTr="00795DA8">
        <w:trPr>
          <w:trHeight w:val="416"/>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7. Viscosidade CCS</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anotar</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cP</w:t>
            </w:r>
            <w:proofErr w:type="spellEnd"/>
            <w:r w:rsidRPr="007449F5">
              <w:rPr>
                <w:sz w:val="18"/>
                <w:szCs w:val="18"/>
              </w:rPr>
              <w:t>, °C</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ASTM D5293</w:t>
            </w:r>
          </w:p>
        </w:tc>
      </w:tr>
      <w:tr w:rsidR="00795DA8" w:rsidRPr="007449F5" w:rsidTr="00795DA8">
        <w:trPr>
          <w:trHeight w:val="550"/>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8. Ponto de Fulgor, mín.</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155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200</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215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215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226</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°C</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11341</w:t>
            </w:r>
          </w:p>
          <w:p w:rsidR="00795DA8" w:rsidRPr="007449F5" w:rsidRDefault="00795DA8" w:rsidP="00795DA8">
            <w:pPr>
              <w:spacing w:before="60" w:after="60"/>
              <w:jc w:val="center"/>
              <w:rPr>
                <w:sz w:val="18"/>
                <w:szCs w:val="18"/>
              </w:rPr>
            </w:pPr>
            <w:r w:rsidRPr="007449F5">
              <w:rPr>
                <w:sz w:val="18"/>
                <w:szCs w:val="18"/>
              </w:rPr>
              <w:t>ASTM D92</w:t>
            </w:r>
          </w:p>
        </w:tc>
      </w:tr>
      <w:tr w:rsidR="00795DA8" w:rsidRPr="007449F5" w:rsidTr="00795DA8">
        <w:trPr>
          <w:trHeight w:val="557"/>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 xml:space="preserve">9. Volatilidade </w:t>
            </w:r>
            <w:proofErr w:type="spellStart"/>
            <w:r w:rsidRPr="007449F5">
              <w:rPr>
                <w:sz w:val="18"/>
                <w:szCs w:val="18"/>
              </w:rPr>
              <w:t>Noack</w:t>
            </w:r>
            <w:proofErr w:type="spellEnd"/>
            <w:r w:rsidRPr="007449F5">
              <w:rPr>
                <w:sz w:val="18"/>
                <w:szCs w:val="18"/>
              </w:rPr>
              <w:t>, máx.</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16</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anotar</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anotar</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 massa</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14157</w:t>
            </w:r>
          </w:p>
          <w:p w:rsidR="00795DA8" w:rsidRPr="007449F5" w:rsidRDefault="00795DA8" w:rsidP="00795DA8">
            <w:pPr>
              <w:spacing w:before="60" w:after="60"/>
              <w:jc w:val="center"/>
              <w:rPr>
                <w:sz w:val="18"/>
                <w:szCs w:val="18"/>
              </w:rPr>
            </w:pPr>
            <w:r w:rsidRPr="007449F5">
              <w:rPr>
                <w:sz w:val="18"/>
                <w:szCs w:val="18"/>
              </w:rPr>
              <w:t>ASTM D5800B</w:t>
            </w:r>
          </w:p>
          <w:p w:rsidR="00795DA8" w:rsidRPr="007449F5" w:rsidRDefault="00795DA8" w:rsidP="00795DA8">
            <w:pPr>
              <w:spacing w:before="60" w:after="60"/>
              <w:jc w:val="center"/>
              <w:rPr>
                <w:sz w:val="18"/>
                <w:szCs w:val="18"/>
              </w:rPr>
            </w:pPr>
            <w:r w:rsidRPr="007449F5">
              <w:rPr>
                <w:sz w:val="18"/>
                <w:szCs w:val="18"/>
              </w:rPr>
              <w:t>ASTM D5800C</w:t>
            </w:r>
          </w:p>
        </w:tc>
      </w:tr>
      <w:tr w:rsidR="00795DA8" w:rsidRPr="007449F5" w:rsidTr="00795DA8">
        <w:trPr>
          <w:trHeight w:val="552"/>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10. Ponto de Fluidez,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-3</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-3</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°C</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11349, ASTM D97, ASTM D5950, ASTM D6749, ASTM D7346</w:t>
            </w:r>
          </w:p>
        </w:tc>
      </w:tr>
      <w:tr w:rsidR="00795DA8" w:rsidRPr="007449F5" w:rsidTr="00795DA8">
        <w:trPr>
          <w:trHeight w:val="559"/>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11. Índice de Acidez,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0,05</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0,05</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mg</w:t>
            </w:r>
            <w:proofErr w:type="spellEnd"/>
            <w:r w:rsidRPr="007449F5">
              <w:rPr>
                <w:sz w:val="18"/>
                <w:szCs w:val="18"/>
              </w:rPr>
              <w:t xml:space="preserve"> KOH/g</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14248</w:t>
            </w:r>
          </w:p>
          <w:p w:rsidR="00795DA8" w:rsidRPr="007449F5" w:rsidRDefault="00795DA8" w:rsidP="00795DA8">
            <w:pPr>
              <w:spacing w:before="60" w:after="60"/>
              <w:jc w:val="center"/>
              <w:rPr>
                <w:sz w:val="18"/>
                <w:szCs w:val="18"/>
              </w:rPr>
            </w:pPr>
            <w:r w:rsidRPr="007449F5">
              <w:rPr>
                <w:sz w:val="18"/>
                <w:szCs w:val="18"/>
              </w:rPr>
              <w:t>ASTM D974</w:t>
            </w:r>
          </w:p>
          <w:p w:rsidR="00795DA8" w:rsidRPr="007449F5" w:rsidRDefault="00795DA8" w:rsidP="00795DA8">
            <w:pPr>
              <w:spacing w:before="60" w:after="60"/>
              <w:jc w:val="center"/>
              <w:rPr>
                <w:sz w:val="18"/>
                <w:szCs w:val="18"/>
              </w:rPr>
            </w:pPr>
            <w:r w:rsidRPr="007449F5">
              <w:rPr>
                <w:sz w:val="18"/>
                <w:szCs w:val="18"/>
              </w:rPr>
              <w:t>ASTM D664</w:t>
            </w:r>
          </w:p>
        </w:tc>
      </w:tr>
      <w:tr w:rsidR="00795DA8" w:rsidRPr="007449F5" w:rsidTr="00795DA8">
        <w:trPr>
          <w:trHeight w:val="554"/>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 xml:space="preserve">12. </w:t>
            </w:r>
            <w:proofErr w:type="spellStart"/>
            <w:r w:rsidRPr="007449F5">
              <w:rPr>
                <w:sz w:val="18"/>
                <w:szCs w:val="18"/>
              </w:rPr>
              <w:t>Corrosividade</w:t>
            </w:r>
            <w:proofErr w:type="spellEnd"/>
            <w:r w:rsidRPr="007449F5">
              <w:rPr>
                <w:sz w:val="18"/>
                <w:szCs w:val="18"/>
              </w:rPr>
              <w:t xml:space="preserve"> ao cobre, 3h a 100° C,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1</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14359</w:t>
            </w:r>
          </w:p>
          <w:p w:rsidR="00795DA8" w:rsidRPr="007449F5" w:rsidRDefault="00795DA8" w:rsidP="00795DA8">
            <w:pPr>
              <w:spacing w:before="60" w:after="60"/>
              <w:jc w:val="center"/>
              <w:rPr>
                <w:sz w:val="18"/>
                <w:szCs w:val="18"/>
              </w:rPr>
            </w:pPr>
            <w:r w:rsidRPr="007449F5">
              <w:rPr>
                <w:sz w:val="18"/>
                <w:szCs w:val="18"/>
              </w:rPr>
              <w:t>ASTM D130</w:t>
            </w:r>
          </w:p>
        </w:tc>
      </w:tr>
      <w:tr w:rsidR="00795DA8" w:rsidRPr="007449F5" w:rsidTr="00795DA8">
        <w:trPr>
          <w:trHeight w:val="593"/>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13. Cinzas,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0,02</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0,02</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0,02</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0,02</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 massa</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9842</w:t>
            </w:r>
          </w:p>
          <w:p w:rsidR="00795DA8" w:rsidRPr="007449F5" w:rsidRDefault="00795DA8" w:rsidP="00795DA8">
            <w:pPr>
              <w:spacing w:before="60" w:after="60"/>
              <w:jc w:val="center"/>
              <w:rPr>
                <w:sz w:val="18"/>
                <w:szCs w:val="18"/>
              </w:rPr>
            </w:pPr>
            <w:r w:rsidRPr="007449F5">
              <w:rPr>
                <w:sz w:val="18"/>
                <w:szCs w:val="18"/>
              </w:rPr>
              <w:t>ASTM D482</w:t>
            </w:r>
          </w:p>
        </w:tc>
      </w:tr>
      <w:tr w:rsidR="00795DA8" w:rsidRPr="007449F5" w:rsidTr="00795DA8">
        <w:trPr>
          <w:trHeight w:val="979"/>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rPr>
                <w:sz w:val="18"/>
                <w:szCs w:val="18"/>
              </w:rPr>
            </w:pPr>
            <w:r w:rsidRPr="007449F5">
              <w:rPr>
                <w:sz w:val="18"/>
                <w:szCs w:val="18"/>
              </w:rPr>
              <w:t xml:space="preserve">14. Resíduo de Carbono </w:t>
            </w:r>
            <w:proofErr w:type="spellStart"/>
            <w:r w:rsidRPr="007449F5">
              <w:rPr>
                <w:sz w:val="18"/>
                <w:szCs w:val="18"/>
              </w:rPr>
              <w:t>Ramsbottom</w:t>
            </w:r>
            <w:proofErr w:type="spellEnd"/>
            <w:r w:rsidRPr="007449F5">
              <w:rPr>
                <w:sz w:val="18"/>
                <w:szCs w:val="18"/>
              </w:rPr>
              <w:t>, máx.</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0,2</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0,3</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0,3</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0,3</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0,3</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 massa</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14318</w:t>
            </w:r>
          </w:p>
          <w:p w:rsidR="00795DA8" w:rsidRPr="007449F5" w:rsidRDefault="00795DA8" w:rsidP="00795DA8">
            <w:pPr>
              <w:spacing w:before="60" w:after="60"/>
              <w:jc w:val="center"/>
              <w:rPr>
                <w:sz w:val="18"/>
                <w:szCs w:val="18"/>
              </w:rPr>
            </w:pPr>
            <w:r w:rsidRPr="007449F5">
              <w:rPr>
                <w:sz w:val="18"/>
                <w:szCs w:val="18"/>
              </w:rPr>
              <w:t>ASTM D524</w:t>
            </w:r>
          </w:p>
        </w:tc>
      </w:tr>
      <w:tr w:rsidR="00795DA8" w:rsidRPr="007449F5" w:rsidTr="00795DA8">
        <w:trPr>
          <w:trHeight w:val="560"/>
        </w:trPr>
        <w:tc>
          <w:tcPr>
            <w:tcW w:w="1632" w:type="dxa"/>
            <w:tcBorders>
              <w:top w:val="nil"/>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15. Água por crepitação</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ausente</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ausente</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ausente</w:t>
            </w:r>
          </w:p>
        </w:tc>
        <w:tc>
          <w:tcPr>
            <w:tcW w:w="1035" w:type="dxa"/>
            <w:tcBorders>
              <w:top w:val="nil"/>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ausente</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ausente</w:t>
            </w:r>
          </w:p>
        </w:tc>
        <w:tc>
          <w:tcPr>
            <w:tcW w:w="1163" w:type="dxa"/>
            <w:tcBorders>
              <w:top w:val="nil"/>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NBR 16358</w:t>
            </w:r>
          </w:p>
        </w:tc>
      </w:tr>
      <w:tr w:rsidR="00795DA8" w:rsidRPr="007449F5" w:rsidTr="00795DA8">
        <w:trPr>
          <w:trHeight w:val="845"/>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 xml:space="preserve">16. Teor de elementos total (somatório do teor dos elementos Ca, </w:t>
            </w:r>
            <w:proofErr w:type="spellStart"/>
            <w:r w:rsidRPr="007449F5">
              <w:rPr>
                <w:sz w:val="18"/>
                <w:szCs w:val="18"/>
              </w:rPr>
              <w:t>Mg</w:t>
            </w:r>
            <w:proofErr w:type="spellEnd"/>
            <w:r w:rsidRPr="007449F5">
              <w:rPr>
                <w:sz w:val="18"/>
                <w:szCs w:val="18"/>
              </w:rPr>
              <w:t xml:space="preserve"> e Zn), máx.</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15</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15</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15</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15</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15</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mg</w:t>
            </w:r>
            <w:proofErr w:type="spellEnd"/>
            <w:r w:rsidRPr="007449F5">
              <w:rPr>
                <w:sz w:val="18"/>
                <w:szCs w:val="18"/>
              </w:rPr>
              <w:t>/kg</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ASTM D5185, ASTM D4951, NBR 14786, ASTM D4628, NBR 14066, ASTM D6481</w:t>
            </w:r>
          </w:p>
        </w:tc>
      </w:tr>
      <w:tr w:rsidR="00795DA8" w:rsidRPr="007449F5" w:rsidTr="00795DA8">
        <w:trPr>
          <w:trHeight w:val="684"/>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17. Teor de enxofre</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valor típico</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proofErr w:type="spellStart"/>
            <w:r w:rsidRPr="007449F5">
              <w:rPr>
                <w:sz w:val="18"/>
                <w:szCs w:val="18"/>
              </w:rPr>
              <w:t>mg</w:t>
            </w:r>
            <w:proofErr w:type="spellEnd"/>
            <w:r w:rsidRPr="007449F5">
              <w:rPr>
                <w:sz w:val="18"/>
                <w:szCs w:val="18"/>
              </w:rPr>
              <w:t>/kg</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jc w:val="center"/>
              <w:rPr>
                <w:sz w:val="18"/>
                <w:szCs w:val="18"/>
              </w:rPr>
            </w:pPr>
            <w:r w:rsidRPr="007449F5">
              <w:rPr>
                <w:sz w:val="18"/>
                <w:szCs w:val="18"/>
              </w:rPr>
              <w:t>ASTM D4951, NBR 14786, ASTM D2622, ASTM D4294, NBR 14533, ASTM D6481, ASTM D2622, ASTM D5185, ASTM D1552, ASTM D3120, ASTM D4927</w:t>
            </w:r>
          </w:p>
        </w:tc>
      </w:tr>
      <w:tr w:rsidR="00795DA8" w:rsidRPr="007449F5" w:rsidTr="00795DA8">
        <w:trPr>
          <w:trHeight w:val="567"/>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18. Teor de saturados</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valor típico</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 massa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ASTM D7419</w:t>
            </w:r>
          </w:p>
          <w:p w:rsidR="00795DA8" w:rsidRPr="007449F5" w:rsidRDefault="00795DA8" w:rsidP="00795DA8">
            <w:pPr>
              <w:spacing w:before="60" w:after="60"/>
              <w:jc w:val="center"/>
              <w:rPr>
                <w:sz w:val="18"/>
                <w:szCs w:val="18"/>
              </w:rPr>
            </w:pPr>
            <w:r w:rsidRPr="007449F5">
              <w:rPr>
                <w:sz w:val="18"/>
                <w:szCs w:val="18"/>
              </w:rPr>
              <w:t>ASTM D2007</w:t>
            </w:r>
          </w:p>
        </w:tc>
      </w:tr>
      <w:tr w:rsidR="00795DA8" w:rsidRPr="007449F5" w:rsidTr="00795DA8">
        <w:trPr>
          <w:trHeight w:val="425"/>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19. Grau NAS, máx.</w:t>
            </w:r>
          </w:p>
          <w:p w:rsidR="00795DA8" w:rsidRPr="007449F5" w:rsidRDefault="00795DA8" w:rsidP="00795DA8">
            <w:pPr>
              <w:spacing w:before="60" w:after="60"/>
              <w:rPr>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12</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12</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12</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12</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12</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NAS 1638</w:t>
            </w:r>
          </w:p>
        </w:tc>
      </w:tr>
      <w:tr w:rsidR="00795DA8" w:rsidRPr="007449F5" w:rsidTr="00795DA8">
        <w:trPr>
          <w:trHeight w:val="403"/>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Default="00795DA8" w:rsidP="00795DA8">
            <w:pPr>
              <w:spacing w:before="60" w:after="60"/>
              <w:rPr>
                <w:sz w:val="18"/>
                <w:szCs w:val="18"/>
              </w:rPr>
            </w:pPr>
            <w:r w:rsidRPr="007449F5">
              <w:rPr>
                <w:sz w:val="18"/>
                <w:szCs w:val="18"/>
              </w:rPr>
              <w:t>20. Extrato em DMSO</w:t>
            </w:r>
          </w:p>
          <w:p w:rsidR="00795DA8" w:rsidRPr="007449F5" w:rsidRDefault="00795DA8" w:rsidP="00795DA8">
            <w:pPr>
              <w:spacing w:before="60" w:after="60"/>
              <w:rPr>
                <w:sz w:val="18"/>
                <w:szCs w:val="18"/>
              </w:rPr>
            </w:pPr>
            <w:r w:rsidRPr="00DC72C3">
              <w:rPr>
                <w:color w:val="FF0000"/>
                <w:sz w:val="18"/>
                <w:szCs w:val="18"/>
              </w:rPr>
              <w:lastRenderedPageBreak/>
              <w:t>(incluído)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lastRenderedPageBreak/>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valor típico</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spacing w:before="60" w:after="60"/>
              <w:jc w:val="center"/>
              <w:rPr>
                <w:sz w:val="18"/>
                <w:szCs w:val="18"/>
              </w:rPr>
            </w:pPr>
            <w:r w:rsidRPr="007449F5">
              <w:rPr>
                <w:sz w:val="18"/>
                <w:szCs w:val="18"/>
              </w:rPr>
              <w:t>valor típico</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spacing w:before="60" w:after="60"/>
              <w:ind w:firstLine="1"/>
              <w:jc w:val="center"/>
              <w:rPr>
                <w:sz w:val="18"/>
                <w:szCs w:val="18"/>
              </w:rPr>
            </w:pPr>
            <w:r w:rsidRPr="007449F5">
              <w:rPr>
                <w:sz w:val="18"/>
                <w:szCs w:val="18"/>
              </w:rPr>
              <w:t>% massa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5DA8" w:rsidRPr="007449F5" w:rsidRDefault="00795DA8" w:rsidP="00795DA8">
            <w:pPr>
              <w:spacing w:before="60" w:after="60"/>
              <w:jc w:val="center"/>
              <w:rPr>
                <w:sz w:val="18"/>
                <w:szCs w:val="18"/>
              </w:rPr>
            </w:pPr>
            <w:r w:rsidRPr="007449F5">
              <w:rPr>
                <w:sz w:val="18"/>
                <w:szCs w:val="18"/>
              </w:rPr>
              <w:t>IP 346</w:t>
            </w:r>
          </w:p>
        </w:tc>
      </w:tr>
      <w:tr w:rsidR="00795DA8" w:rsidRPr="007449F5" w:rsidTr="00795DA8">
        <w:trPr>
          <w:trHeight w:val="403"/>
        </w:trPr>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Default="00795DA8" w:rsidP="00795DA8">
            <w:pPr>
              <w:rPr>
                <w:sz w:val="18"/>
                <w:szCs w:val="18"/>
              </w:rPr>
            </w:pPr>
            <w:r w:rsidRPr="007449F5">
              <w:rPr>
                <w:sz w:val="18"/>
                <w:szCs w:val="18"/>
              </w:rPr>
              <w:lastRenderedPageBreak/>
              <w:t>21. Estabilidade ao cisalhamento, máx.</w:t>
            </w:r>
          </w:p>
          <w:p w:rsidR="00795DA8" w:rsidRPr="007449F5" w:rsidRDefault="00795DA8" w:rsidP="00795DA8">
            <w:pPr>
              <w:rPr>
                <w:sz w:val="18"/>
                <w:szCs w:val="18"/>
              </w:rPr>
            </w:pPr>
            <w:r w:rsidRPr="00DC72C3">
              <w:rPr>
                <w:color w:val="FF0000"/>
                <w:sz w:val="18"/>
                <w:szCs w:val="18"/>
              </w:rPr>
              <w:t>(incluído)</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1</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1</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1</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1</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w:t>
            </w:r>
          </w:p>
          <w:p w:rsidR="00795DA8" w:rsidRPr="007449F5" w:rsidRDefault="00795DA8" w:rsidP="00795DA8">
            <w:pPr>
              <w:jc w:val="center"/>
              <w:rPr>
                <w:sz w:val="18"/>
                <w:szCs w:val="18"/>
              </w:rPr>
            </w:pPr>
            <w:r w:rsidRPr="007449F5">
              <w:rPr>
                <w:sz w:val="18"/>
                <w:szCs w:val="18"/>
              </w:rPr>
              <w:t xml:space="preserve">(queda da </w:t>
            </w:r>
            <w:proofErr w:type="spellStart"/>
            <w:r w:rsidRPr="007449F5">
              <w:rPr>
                <w:sz w:val="18"/>
                <w:szCs w:val="18"/>
              </w:rPr>
              <w:t>visc</w:t>
            </w:r>
            <w:proofErr w:type="spellEnd"/>
            <w:r w:rsidRPr="007449F5">
              <w:rPr>
                <w:sz w:val="18"/>
                <w:szCs w:val="18"/>
              </w:rPr>
              <w:t>. cinem. a 100°C, 90 ciclos)</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795DA8" w:rsidRPr="007449F5" w:rsidRDefault="00795DA8" w:rsidP="00795DA8">
            <w:pPr>
              <w:jc w:val="center"/>
              <w:rPr>
                <w:sz w:val="18"/>
                <w:szCs w:val="18"/>
              </w:rPr>
            </w:pPr>
            <w:r w:rsidRPr="007449F5">
              <w:rPr>
                <w:sz w:val="18"/>
                <w:szCs w:val="18"/>
              </w:rPr>
              <w:t>ASTM 6278</w:t>
            </w:r>
          </w:p>
          <w:p w:rsidR="00795DA8" w:rsidRPr="007449F5" w:rsidRDefault="00795DA8" w:rsidP="00795DA8">
            <w:pPr>
              <w:jc w:val="center"/>
              <w:rPr>
                <w:sz w:val="18"/>
                <w:szCs w:val="18"/>
              </w:rPr>
            </w:pPr>
            <w:r w:rsidRPr="007449F5">
              <w:rPr>
                <w:sz w:val="18"/>
                <w:szCs w:val="18"/>
              </w:rPr>
              <w:t>NBR 14325</w:t>
            </w:r>
          </w:p>
          <w:p w:rsidR="00795DA8" w:rsidRPr="007449F5" w:rsidRDefault="00795DA8" w:rsidP="00795DA8">
            <w:pPr>
              <w:jc w:val="center"/>
              <w:rPr>
                <w:sz w:val="18"/>
                <w:szCs w:val="18"/>
              </w:rPr>
            </w:pPr>
            <w:r w:rsidRPr="007449F5">
              <w:rPr>
                <w:sz w:val="18"/>
                <w:szCs w:val="18"/>
              </w:rPr>
              <w:t>CEC L-014-3</w:t>
            </w:r>
          </w:p>
        </w:tc>
      </w:tr>
    </w:tbl>
    <w:p w:rsidR="00795DA8" w:rsidRPr="007449F5" w:rsidRDefault="00795DA8" w:rsidP="00795DA8">
      <w:pPr>
        <w:jc w:val="both"/>
        <w:rPr>
          <w:bCs/>
          <w:szCs w:val="24"/>
        </w:rPr>
      </w:pPr>
    </w:p>
    <w:p w:rsidR="00795DA8" w:rsidRPr="007449F5" w:rsidRDefault="00795DA8" w:rsidP="00795DA8">
      <w:pPr>
        <w:jc w:val="both"/>
        <w:rPr>
          <w:bCs/>
          <w:szCs w:val="24"/>
        </w:rPr>
      </w:pPr>
    </w:p>
    <w:p w:rsidR="00795DA8" w:rsidRPr="007449F5" w:rsidRDefault="00795DA8" w:rsidP="00795DA8">
      <w:pPr>
        <w:jc w:val="both"/>
        <w:rPr>
          <w:bCs/>
          <w:szCs w:val="24"/>
        </w:rPr>
      </w:pPr>
    </w:p>
    <w:p w:rsidR="00795DA8" w:rsidRPr="00795DA8" w:rsidRDefault="00795DA8" w:rsidP="00795DA8">
      <w:pPr>
        <w:pStyle w:val="NormalWeb"/>
        <w:numPr>
          <w:ilvl w:val="0"/>
          <w:numId w:val="27"/>
        </w:numPr>
        <w:spacing w:before="0" w:after="313" w:line="250" w:lineRule="atLeast"/>
        <w:jc w:val="both"/>
        <w:rPr>
          <w:rFonts w:ascii="Times New Roman" w:hAnsi="Times New Roman"/>
          <w:b/>
          <w:szCs w:val="24"/>
        </w:rPr>
      </w:pPr>
      <w:r w:rsidRPr="00795DA8">
        <w:rPr>
          <w:rFonts w:ascii="Times New Roman" w:hAnsi="Times New Roman"/>
          <w:b/>
          <w:szCs w:val="24"/>
        </w:rPr>
        <w:t>ÁREAS DE INTERFACE NA ANP</w:t>
      </w:r>
    </w:p>
    <w:p w:rsidR="00795DA8" w:rsidRPr="00795DA8" w:rsidRDefault="00795DA8" w:rsidP="00795DA8">
      <w:pPr>
        <w:pStyle w:val="NormalWeb"/>
        <w:spacing w:before="0" w:after="313" w:line="250" w:lineRule="atLeast"/>
        <w:jc w:val="both"/>
        <w:rPr>
          <w:rFonts w:ascii="Times New Roman" w:hAnsi="Times New Roman"/>
          <w:b/>
          <w:szCs w:val="24"/>
        </w:rPr>
      </w:pPr>
      <w:r w:rsidRPr="00795DA8">
        <w:rPr>
          <w:rFonts w:ascii="Times New Roman" w:hAnsi="Times New Roman"/>
          <w:bCs/>
          <w:szCs w:val="24"/>
        </w:rPr>
        <w:t>Foram consideradas como áreas relacionadas ao processo de revisão em tela a Superintendência de Abastecimento, a Superintendência de Fiscalização do Abastecimento e a Coordenadoria de Defesa da Concorrência.</w:t>
      </w:r>
    </w:p>
    <w:p w:rsidR="00795DA8" w:rsidRPr="00795DA8" w:rsidRDefault="00795DA8" w:rsidP="00795DA8">
      <w:pPr>
        <w:pStyle w:val="PargrafodaLista"/>
        <w:tabs>
          <w:tab w:val="left" w:pos="1418"/>
        </w:tabs>
        <w:spacing w:after="120"/>
        <w:ind w:left="0"/>
        <w:jc w:val="both"/>
        <w:rPr>
          <w:bCs/>
          <w:sz w:val="24"/>
          <w:szCs w:val="24"/>
        </w:rPr>
      </w:pPr>
      <w:r w:rsidRPr="00795DA8">
        <w:rPr>
          <w:bCs/>
          <w:sz w:val="24"/>
          <w:szCs w:val="24"/>
        </w:rPr>
        <w:t xml:space="preserve">Foram enviados memorandos a essas </w:t>
      </w:r>
      <w:r w:rsidR="00F90B10">
        <w:rPr>
          <w:bCs/>
          <w:sz w:val="24"/>
          <w:szCs w:val="24"/>
        </w:rPr>
        <w:t xml:space="preserve">duas </w:t>
      </w:r>
      <w:r w:rsidRPr="00795DA8">
        <w:rPr>
          <w:bCs/>
          <w:sz w:val="24"/>
          <w:szCs w:val="24"/>
        </w:rPr>
        <w:t xml:space="preserve">superintendências </w:t>
      </w:r>
      <w:r w:rsidR="00F90B10">
        <w:rPr>
          <w:bCs/>
          <w:sz w:val="24"/>
          <w:szCs w:val="24"/>
        </w:rPr>
        <w:t xml:space="preserve">e coordenadoria </w:t>
      </w:r>
      <w:r w:rsidRPr="00795DA8">
        <w:rPr>
          <w:bCs/>
          <w:sz w:val="24"/>
          <w:szCs w:val="24"/>
        </w:rPr>
        <w:t>para opinarem sobre o Relatório Técnico CPT n°18/2015, em que as propostas de especificação foram apresentadas bem como suas motivações.</w:t>
      </w:r>
    </w:p>
    <w:p w:rsidR="00795DA8" w:rsidRDefault="00795DA8" w:rsidP="00795DA8">
      <w:pPr>
        <w:pStyle w:val="PargrafodaLista"/>
        <w:tabs>
          <w:tab w:val="left" w:pos="1418"/>
        </w:tabs>
        <w:spacing w:after="120"/>
        <w:ind w:left="0"/>
        <w:jc w:val="both"/>
        <w:rPr>
          <w:bCs/>
          <w:sz w:val="24"/>
          <w:szCs w:val="24"/>
        </w:rPr>
      </w:pPr>
      <w:r w:rsidRPr="00795DA8">
        <w:rPr>
          <w:bCs/>
          <w:sz w:val="24"/>
          <w:szCs w:val="24"/>
        </w:rPr>
        <w:t xml:space="preserve">Embora SAB e SFI, naquele momento, não tenham emitido consideração, </w:t>
      </w:r>
      <w:r w:rsidR="001205D3">
        <w:rPr>
          <w:bCs/>
          <w:sz w:val="24"/>
          <w:szCs w:val="24"/>
        </w:rPr>
        <w:t>durante a tramitação da PA n° 310/2016 elaboraram parecer sobre a minuta de resolução.</w:t>
      </w:r>
    </w:p>
    <w:p w:rsidR="001205D3" w:rsidRPr="00795DA8" w:rsidRDefault="001205D3" w:rsidP="00795DA8">
      <w:pPr>
        <w:pStyle w:val="PargrafodaLista"/>
        <w:tabs>
          <w:tab w:val="left" w:pos="1418"/>
        </w:tabs>
        <w:spacing w:after="120"/>
        <w:ind w:left="0"/>
        <w:jc w:val="both"/>
        <w:rPr>
          <w:bCs/>
          <w:sz w:val="24"/>
          <w:szCs w:val="24"/>
        </w:rPr>
      </w:pPr>
    </w:p>
    <w:p w:rsidR="00795DA8" w:rsidRPr="00795DA8" w:rsidRDefault="00795DA8" w:rsidP="00795DA8">
      <w:pPr>
        <w:pStyle w:val="PargrafodaLista"/>
        <w:numPr>
          <w:ilvl w:val="0"/>
          <w:numId w:val="27"/>
        </w:numPr>
        <w:spacing w:after="240"/>
        <w:jc w:val="both"/>
        <w:rPr>
          <w:b/>
          <w:sz w:val="24"/>
          <w:szCs w:val="24"/>
        </w:rPr>
      </w:pPr>
      <w:r w:rsidRPr="00795DA8">
        <w:rPr>
          <w:b/>
          <w:sz w:val="24"/>
          <w:szCs w:val="24"/>
        </w:rPr>
        <w:t>CONCLUSÃO</w:t>
      </w:r>
    </w:p>
    <w:p w:rsidR="00795DA8" w:rsidRPr="00795DA8" w:rsidRDefault="00795DA8" w:rsidP="00795DA8">
      <w:pPr>
        <w:pStyle w:val="PargrafodaLista"/>
        <w:tabs>
          <w:tab w:val="left" w:pos="1418"/>
        </w:tabs>
        <w:spacing w:after="120"/>
        <w:ind w:left="0"/>
        <w:jc w:val="both"/>
        <w:rPr>
          <w:bCs/>
          <w:sz w:val="24"/>
          <w:szCs w:val="24"/>
        </w:rPr>
      </w:pPr>
      <w:r w:rsidRPr="00795DA8">
        <w:rPr>
          <w:bCs/>
          <w:sz w:val="24"/>
          <w:szCs w:val="24"/>
        </w:rPr>
        <w:t>As alterações das Portarias ANP nº 129/1999 e n° 130/1999 fazem parte do trabalho constante que esta Agência tem realizado no sentido de aprimorar cada vez mais a qualidade dos derivados de petróleo comercializados em todo território nacional e, de forma transparente e efetiva, promover o interesse público e de investimentos para o desenvolvimento do País.</w:t>
      </w:r>
    </w:p>
    <w:p w:rsidR="00795DA8" w:rsidRPr="00795DA8" w:rsidRDefault="00795DA8" w:rsidP="00795DA8">
      <w:pPr>
        <w:pStyle w:val="PargrafodaLista"/>
        <w:spacing w:after="120"/>
        <w:ind w:left="0"/>
        <w:jc w:val="both"/>
        <w:rPr>
          <w:bCs/>
          <w:sz w:val="24"/>
          <w:szCs w:val="24"/>
        </w:rPr>
      </w:pPr>
    </w:p>
    <w:p w:rsidR="00795DA8" w:rsidRPr="00795DA8" w:rsidRDefault="00795DA8" w:rsidP="00795DA8">
      <w:pPr>
        <w:pStyle w:val="PargrafodaLista"/>
        <w:spacing w:after="480"/>
        <w:ind w:left="0"/>
        <w:jc w:val="both"/>
        <w:rPr>
          <w:b/>
          <w:bCs/>
          <w:sz w:val="24"/>
          <w:szCs w:val="24"/>
        </w:rPr>
      </w:pPr>
      <w:r w:rsidRPr="00795DA8">
        <w:rPr>
          <w:b/>
          <w:bCs/>
          <w:sz w:val="24"/>
          <w:szCs w:val="24"/>
        </w:rPr>
        <w:t>Elaboração:</w:t>
      </w:r>
    </w:p>
    <w:p w:rsidR="00795DA8" w:rsidRPr="00795DA8" w:rsidRDefault="00795DA8" w:rsidP="00795DA8">
      <w:pPr>
        <w:pStyle w:val="PargrafodaLista"/>
        <w:spacing w:after="120"/>
        <w:ind w:left="0"/>
        <w:jc w:val="both"/>
        <w:rPr>
          <w:bCs/>
          <w:sz w:val="24"/>
          <w:szCs w:val="24"/>
        </w:rPr>
      </w:pPr>
      <w:r w:rsidRPr="00795DA8">
        <w:rPr>
          <w:bCs/>
          <w:sz w:val="24"/>
          <w:szCs w:val="24"/>
        </w:rPr>
        <w:t>___________________________________</w:t>
      </w:r>
    </w:p>
    <w:p w:rsidR="00795DA8" w:rsidRPr="00795DA8" w:rsidRDefault="00795DA8" w:rsidP="00795DA8">
      <w:pPr>
        <w:pStyle w:val="PargrafodaLista"/>
        <w:spacing w:after="120"/>
        <w:ind w:left="0"/>
        <w:jc w:val="both"/>
        <w:rPr>
          <w:bCs/>
          <w:sz w:val="24"/>
          <w:szCs w:val="24"/>
        </w:rPr>
      </w:pPr>
      <w:r w:rsidRPr="00795DA8">
        <w:rPr>
          <w:bCs/>
          <w:sz w:val="24"/>
          <w:szCs w:val="24"/>
        </w:rPr>
        <w:t>Guilherme Vianna de Melo Jacintho</w:t>
      </w:r>
    </w:p>
    <w:p w:rsidR="00795DA8" w:rsidRPr="00795DA8" w:rsidRDefault="00795DA8" w:rsidP="00795DA8">
      <w:pPr>
        <w:pStyle w:val="PargrafodaLista"/>
        <w:spacing w:after="360"/>
        <w:ind w:left="0"/>
        <w:jc w:val="both"/>
        <w:rPr>
          <w:bCs/>
          <w:sz w:val="24"/>
          <w:szCs w:val="24"/>
        </w:rPr>
      </w:pPr>
      <w:r w:rsidRPr="00795DA8">
        <w:rPr>
          <w:bCs/>
          <w:sz w:val="24"/>
          <w:szCs w:val="24"/>
        </w:rPr>
        <w:t>Especialista em Regulação</w:t>
      </w:r>
    </w:p>
    <w:p w:rsidR="00795DA8" w:rsidRPr="00795DA8" w:rsidRDefault="00795DA8" w:rsidP="00795DA8">
      <w:pPr>
        <w:pStyle w:val="PargrafodaLista"/>
        <w:spacing w:after="480"/>
        <w:ind w:left="0"/>
        <w:jc w:val="both"/>
        <w:rPr>
          <w:b/>
          <w:bCs/>
          <w:sz w:val="24"/>
          <w:szCs w:val="24"/>
        </w:rPr>
      </w:pPr>
      <w:r w:rsidRPr="00795DA8">
        <w:rPr>
          <w:b/>
          <w:bCs/>
          <w:sz w:val="24"/>
          <w:szCs w:val="24"/>
        </w:rPr>
        <w:t>Revisão:</w:t>
      </w:r>
    </w:p>
    <w:p w:rsidR="00795DA8" w:rsidRPr="00795DA8" w:rsidRDefault="00795DA8" w:rsidP="00795DA8">
      <w:pPr>
        <w:pStyle w:val="PargrafodaLista"/>
        <w:spacing w:after="120"/>
        <w:ind w:left="0"/>
        <w:jc w:val="both"/>
        <w:rPr>
          <w:bCs/>
          <w:sz w:val="24"/>
          <w:szCs w:val="24"/>
        </w:rPr>
      </w:pPr>
      <w:r w:rsidRPr="00795DA8">
        <w:rPr>
          <w:bCs/>
          <w:sz w:val="24"/>
          <w:szCs w:val="24"/>
        </w:rPr>
        <w:t>___________________________________</w:t>
      </w:r>
    </w:p>
    <w:p w:rsidR="00795DA8" w:rsidRPr="00795DA8" w:rsidRDefault="00D744A3" w:rsidP="00795DA8">
      <w:pPr>
        <w:pStyle w:val="PargrafodaLista"/>
        <w:spacing w:after="120"/>
        <w:ind w:left="0"/>
        <w:jc w:val="both"/>
        <w:rPr>
          <w:bCs/>
          <w:sz w:val="24"/>
          <w:szCs w:val="24"/>
        </w:rPr>
      </w:pPr>
      <w:r>
        <w:rPr>
          <w:bCs/>
          <w:sz w:val="24"/>
          <w:szCs w:val="24"/>
        </w:rPr>
        <w:t xml:space="preserve">Fábio da Silva </w:t>
      </w:r>
      <w:proofErr w:type="spellStart"/>
      <w:r>
        <w:rPr>
          <w:bCs/>
          <w:sz w:val="24"/>
          <w:szCs w:val="24"/>
        </w:rPr>
        <w:t>Vinhado</w:t>
      </w:r>
      <w:proofErr w:type="spellEnd"/>
    </w:p>
    <w:p w:rsidR="00795DA8" w:rsidRPr="00795DA8" w:rsidRDefault="000C07F8" w:rsidP="00795DA8">
      <w:pPr>
        <w:pStyle w:val="PargrafodaLista"/>
        <w:spacing w:after="360"/>
        <w:ind w:left="0"/>
        <w:jc w:val="both"/>
        <w:rPr>
          <w:bCs/>
          <w:sz w:val="24"/>
          <w:szCs w:val="24"/>
        </w:rPr>
      </w:pPr>
      <w:r>
        <w:rPr>
          <w:bCs/>
          <w:sz w:val="24"/>
          <w:szCs w:val="24"/>
        </w:rPr>
        <w:t>Coordenador</w:t>
      </w:r>
      <w:r w:rsidR="00D744A3">
        <w:rPr>
          <w:bCs/>
          <w:sz w:val="24"/>
          <w:szCs w:val="24"/>
        </w:rPr>
        <w:t xml:space="preserve"> do CPT</w:t>
      </w:r>
    </w:p>
    <w:p w:rsidR="00795DA8" w:rsidRPr="00795DA8" w:rsidRDefault="00795DA8" w:rsidP="00795DA8">
      <w:pPr>
        <w:pStyle w:val="PargrafodaLista"/>
        <w:spacing w:after="480"/>
        <w:ind w:left="0"/>
        <w:jc w:val="both"/>
        <w:rPr>
          <w:b/>
          <w:bCs/>
          <w:sz w:val="24"/>
          <w:szCs w:val="24"/>
        </w:rPr>
      </w:pPr>
      <w:r w:rsidRPr="00795DA8">
        <w:rPr>
          <w:b/>
          <w:bCs/>
          <w:sz w:val="24"/>
          <w:szCs w:val="24"/>
        </w:rPr>
        <w:t>Aprovação:</w:t>
      </w:r>
    </w:p>
    <w:p w:rsidR="00795DA8" w:rsidRPr="00795DA8" w:rsidRDefault="00795DA8" w:rsidP="00795DA8">
      <w:pPr>
        <w:pStyle w:val="PargrafodaLista"/>
        <w:spacing w:after="120"/>
        <w:ind w:left="0"/>
        <w:jc w:val="both"/>
        <w:rPr>
          <w:bCs/>
          <w:sz w:val="24"/>
          <w:szCs w:val="24"/>
        </w:rPr>
      </w:pPr>
      <w:r w:rsidRPr="00795DA8">
        <w:rPr>
          <w:bCs/>
          <w:sz w:val="24"/>
          <w:szCs w:val="24"/>
        </w:rPr>
        <w:t>___________________________________</w:t>
      </w:r>
    </w:p>
    <w:p w:rsidR="00795DA8" w:rsidRPr="00795DA8" w:rsidRDefault="00795DA8" w:rsidP="00795DA8">
      <w:pPr>
        <w:pStyle w:val="PargrafodaLista"/>
        <w:spacing w:after="120"/>
        <w:ind w:left="0"/>
        <w:jc w:val="both"/>
        <w:rPr>
          <w:bCs/>
          <w:sz w:val="24"/>
          <w:szCs w:val="24"/>
        </w:rPr>
      </w:pPr>
      <w:r w:rsidRPr="00795DA8">
        <w:rPr>
          <w:bCs/>
          <w:sz w:val="24"/>
          <w:szCs w:val="24"/>
        </w:rPr>
        <w:t>ROSÂNGELA MOREIRA DE ARAÚJO</w:t>
      </w:r>
    </w:p>
    <w:p w:rsidR="00795DA8" w:rsidRPr="00795DA8" w:rsidRDefault="00795DA8" w:rsidP="00795DA8">
      <w:pPr>
        <w:pStyle w:val="PargrafodaLista"/>
        <w:spacing w:after="120"/>
        <w:ind w:left="0"/>
        <w:jc w:val="both"/>
        <w:rPr>
          <w:bCs/>
          <w:sz w:val="24"/>
          <w:szCs w:val="24"/>
        </w:rPr>
      </w:pPr>
      <w:r w:rsidRPr="00795DA8">
        <w:rPr>
          <w:bCs/>
          <w:sz w:val="24"/>
          <w:szCs w:val="24"/>
        </w:rPr>
        <w:t>Superintendente de Biocombustíveis e Qualidade de Produtos</w:t>
      </w:r>
    </w:p>
    <w:p w:rsidR="009B1E5C" w:rsidRPr="00795DA8" w:rsidRDefault="009B1E5C" w:rsidP="00B204C8">
      <w:pPr>
        <w:autoSpaceDE w:val="0"/>
        <w:autoSpaceDN w:val="0"/>
        <w:adjustRightInd w:val="0"/>
        <w:spacing w:line="360" w:lineRule="auto"/>
        <w:jc w:val="both"/>
        <w:rPr>
          <w:sz w:val="24"/>
          <w:szCs w:val="24"/>
        </w:rPr>
      </w:pPr>
    </w:p>
    <w:sectPr w:rsidR="009B1E5C" w:rsidRPr="00795DA8" w:rsidSect="00725C88">
      <w:footerReference w:type="even" r:id="rId8"/>
      <w:footerReference w:type="default" r:id="rId9"/>
      <w:headerReference w:type="first" r:id="rId10"/>
      <w:footerReference w:type="first" r:id="rId11"/>
      <w:pgSz w:w="11907" w:h="16840" w:code="9"/>
      <w:pgMar w:top="1134" w:right="1134" w:bottom="993" w:left="1701" w:header="680" w:footer="45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83E" w:rsidRDefault="0031583E">
      <w:r>
        <w:separator/>
      </w:r>
    </w:p>
  </w:endnote>
  <w:endnote w:type="continuationSeparator" w:id="0">
    <w:p w:rsidR="0031583E" w:rsidRDefault="0031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1D" w:rsidRDefault="002560D1">
    <w:pPr>
      <w:pStyle w:val="Rodap"/>
      <w:framePr w:wrap="around" w:vAnchor="text" w:hAnchor="margin" w:xAlign="right" w:y="1"/>
      <w:rPr>
        <w:rStyle w:val="Nmerodepgina"/>
      </w:rPr>
    </w:pPr>
    <w:r>
      <w:rPr>
        <w:rStyle w:val="Nmerodepgina"/>
      </w:rPr>
      <w:fldChar w:fldCharType="begin"/>
    </w:r>
    <w:r w:rsidR="00A87D1D">
      <w:rPr>
        <w:rStyle w:val="Nmerodepgina"/>
      </w:rPr>
      <w:instrText xml:space="preserve">PAGE  </w:instrText>
    </w:r>
    <w:r>
      <w:rPr>
        <w:rStyle w:val="Nmerodepgina"/>
      </w:rPr>
      <w:fldChar w:fldCharType="separate"/>
    </w:r>
    <w:r w:rsidR="00A87D1D">
      <w:rPr>
        <w:rStyle w:val="Nmerodepgina"/>
        <w:noProof/>
      </w:rPr>
      <w:t>2</w:t>
    </w:r>
    <w:r>
      <w:rPr>
        <w:rStyle w:val="Nmerodepgina"/>
      </w:rPr>
      <w:fldChar w:fldCharType="end"/>
    </w:r>
  </w:p>
  <w:p w:rsidR="00A87D1D" w:rsidRDefault="00A87D1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1D" w:rsidRDefault="00A87D1D" w:rsidP="00116B26">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1D" w:rsidRDefault="00A87D1D">
    <w:pPr>
      <w:pStyle w:val="Rodap"/>
    </w:pPr>
    <w:r>
      <w:t>GVMJ                                                                                                               SID              00600.0</w:t>
    </w:r>
    <w:r w:rsidR="00F70D6F">
      <w:t>17376</w:t>
    </w:r>
    <w:r>
      <w:t>/2016-</w:t>
    </w:r>
    <w:r w:rsidR="00F70D6F">
      <w:t>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83E" w:rsidRDefault="0031583E">
      <w:r>
        <w:separator/>
      </w:r>
    </w:p>
  </w:footnote>
  <w:footnote w:type="continuationSeparator" w:id="0">
    <w:p w:rsidR="0031583E" w:rsidRDefault="0031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1D" w:rsidRDefault="00A87D1D"/>
  <w:tbl>
    <w:tblPr>
      <w:tblpPr w:leftFromText="141" w:rightFromText="141" w:vertAnchor="text" w:horzAnchor="margin" w:tblpY="-2264"/>
      <w:tblW w:w="9781" w:type="dxa"/>
      <w:tblLayout w:type="fixed"/>
      <w:tblCellMar>
        <w:left w:w="70" w:type="dxa"/>
        <w:right w:w="70" w:type="dxa"/>
      </w:tblCellMar>
      <w:tblLook w:val="0000"/>
    </w:tblPr>
    <w:tblGrid>
      <w:gridCol w:w="1418"/>
      <w:gridCol w:w="8363"/>
    </w:tblGrid>
    <w:tr w:rsidR="00A87D1D" w:rsidRPr="006E1E84" w:rsidTr="00AB56F4">
      <w:trPr>
        <w:trHeight w:val="1845"/>
      </w:trPr>
      <w:tc>
        <w:tcPr>
          <w:tcW w:w="1418" w:type="dxa"/>
        </w:tcPr>
        <w:p w:rsidR="00A87D1D" w:rsidRDefault="002560D1" w:rsidP="00AB56F4">
          <w:pPr>
            <w:pStyle w:val="Cabealho"/>
            <w:tabs>
              <w:tab w:val="center" w:pos="639"/>
            </w:tabs>
            <w:spacing w:before="120"/>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4pt;margin-top:10.85pt;width:42.6pt;height:1in;z-index:-251658752" fillcolor="window">
                <v:imagedata r:id="rId1" o:title=""/>
              </v:shape>
              <o:OLEObject Type="Embed" ProgID="Word.Picture.8" ShapeID="_x0000_s1026" DrawAspect="Content" ObjectID="_1538310106" r:id="rId2"/>
            </w:pict>
          </w:r>
        </w:p>
      </w:tc>
      <w:tc>
        <w:tcPr>
          <w:tcW w:w="8363" w:type="dxa"/>
        </w:tcPr>
        <w:p w:rsidR="00A87D1D" w:rsidRDefault="00A87D1D" w:rsidP="00AB56F4">
          <w:pPr>
            <w:pStyle w:val="Cabealho"/>
            <w:spacing w:before="180"/>
            <w:jc w:val="center"/>
            <w:rPr>
              <w:sz w:val="24"/>
            </w:rPr>
          </w:pPr>
        </w:p>
        <w:p w:rsidR="00A87D1D" w:rsidRDefault="00A87D1D" w:rsidP="00AB56F4">
          <w:pPr>
            <w:pStyle w:val="Cabealho"/>
            <w:spacing w:before="180"/>
            <w:jc w:val="center"/>
            <w:rPr>
              <w:sz w:val="24"/>
            </w:rPr>
          </w:pPr>
        </w:p>
        <w:p w:rsidR="00A87D1D" w:rsidRPr="00D737C1" w:rsidRDefault="00A87D1D" w:rsidP="005B491B">
          <w:pPr>
            <w:pStyle w:val="Cabealho"/>
            <w:spacing w:before="180"/>
            <w:ind w:left="-851" w:firstLine="851"/>
            <w:jc w:val="center"/>
            <w:rPr>
              <w:color w:val="FF0000"/>
              <w:sz w:val="24"/>
            </w:rPr>
          </w:pPr>
          <w:r>
            <w:rPr>
              <w:sz w:val="24"/>
            </w:rPr>
            <w:t>Agência Nacional do Petróleo, Gás Natural e Biocombustíveis – ANP</w:t>
          </w:r>
        </w:p>
      </w:tc>
    </w:tr>
  </w:tbl>
  <w:p w:rsidR="00A87D1D" w:rsidRDefault="00A87D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74BA"/>
    <w:multiLevelType w:val="singleLevel"/>
    <w:tmpl w:val="91AACF40"/>
    <w:lvl w:ilvl="0">
      <w:start w:val="1"/>
      <w:numFmt w:val="decimal"/>
      <w:lvlText w:val="%1."/>
      <w:lvlJc w:val="left"/>
      <w:pPr>
        <w:tabs>
          <w:tab w:val="num" w:pos="1410"/>
        </w:tabs>
        <w:ind w:left="1410" w:hanging="1410"/>
      </w:pPr>
      <w:rPr>
        <w:rFonts w:hint="default"/>
      </w:rPr>
    </w:lvl>
  </w:abstractNum>
  <w:abstractNum w:abstractNumId="1">
    <w:nsid w:val="0A081276"/>
    <w:multiLevelType w:val="hybridMultilevel"/>
    <w:tmpl w:val="635ADBCA"/>
    <w:lvl w:ilvl="0" w:tplc="F174AB74">
      <w:start w:val="1"/>
      <w:numFmt w:val="decimal"/>
      <w:lvlText w:val="%1."/>
      <w:lvlJc w:val="left"/>
      <w:pPr>
        <w:ind w:left="1070" w:hanging="360"/>
      </w:pPr>
      <w:rPr>
        <w:rFonts w:ascii="Times New Roman" w:hAnsi="Times New Roman" w:cs="Times New Roman" w:hint="default"/>
        <w:sz w:val="24"/>
        <w:szCs w:val="24"/>
        <w:vertAlign w:val="baseli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0AB86D13"/>
    <w:multiLevelType w:val="multilevel"/>
    <w:tmpl w:val="D1FC6FA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sz w:val="20"/>
        <w:szCs w:val="2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B7715FF"/>
    <w:multiLevelType w:val="singleLevel"/>
    <w:tmpl w:val="30022A04"/>
    <w:lvl w:ilvl="0">
      <w:start w:val="1"/>
      <w:numFmt w:val="decimal"/>
      <w:lvlText w:val="%1."/>
      <w:lvlJc w:val="left"/>
      <w:pPr>
        <w:tabs>
          <w:tab w:val="num" w:pos="2123"/>
        </w:tabs>
        <w:ind w:left="2123" w:hanging="705"/>
      </w:pPr>
      <w:rPr>
        <w:rFonts w:hint="default"/>
      </w:rPr>
    </w:lvl>
  </w:abstractNum>
  <w:abstractNum w:abstractNumId="4">
    <w:nsid w:val="0D5644B9"/>
    <w:multiLevelType w:val="singleLevel"/>
    <w:tmpl w:val="E10E6356"/>
    <w:lvl w:ilvl="0">
      <w:start w:val="5"/>
      <w:numFmt w:val="decimal"/>
      <w:lvlText w:val="%1."/>
      <w:lvlJc w:val="left"/>
      <w:pPr>
        <w:tabs>
          <w:tab w:val="num" w:pos="1410"/>
        </w:tabs>
        <w:ind w:left="1410" w:hanging="1410"/>
      </w:pPr>
      <w:rPr>
        <w:rFonts w:hint="default"/>
      </w:rPr>
    </w:lvl>
  </w:abstractNum>
  <w:abstractNum w:abstractNumId="5">
    <w:nsid w:val="0FFE3A69"/>
    <w:multiLevelType w:val="singleLevel"/>
    <w:tmpl w:val="30022A04"/>
    <w:lvl w:ilvl="0">
      <w:start w:val="1"/>
      <w:numFmt w:val="decimal"/>
      <w:lvlText w:val="%1."/>
      <w:lvlJc w:val="left"/>
      <w:pPr>
        <w:tabs>
          <w:tab w:val="num" w:pos="2123"/>
        </w:tabs>
        <w:ind w:left="2123" w:hanging="705"/>
      </w:pPr>
      <w:rPr>
        <w:rFonts w:hint="default"/>
      </w:rPr>
    </w:lvl>
  </w:abstractNum>
  <w:abstractNum w:abstractNumId="6">
    <w:nsid w:val="105D7027"/>
    <w:multiLevelType w:val="hybridMultilevel"/>
    <w:tmpl w:val="AAF8924C"/>
    <w:lvl w:ilvl="0" w:tplc="0416001B">
      <w:start w:val="1"/>
      <w:numFmt w:val="low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6410185"/>
    <w:multiLevelType w:val="singleLevel"/>
    <w:tmpl w:val="E10E6356"/>
    <w:lvl w:ilvl="0">
      <w:start w:val="5"/>
      <w:numFmt w:val="decimal"/>
      <w:lvlText w:val="%1."/>
      <w:lvlJc w:val="left"/>
      <w:pPr>
        <w:tabs>
          <w:tab w:val="num" w:pos="1410"/>
        </w:tabs>
        <w:ind w:left="1410" w:hanging="1410"/>
      </w:pPr>
      <w:rPr>
        <w:rFonts w:hint="default"/>
      </w:rPr>
    </w:lvl>
  </w:abstractNum>
  <w:abstractNum w:abstractNumId="8">
    <w:nsid w:val="20E77E12"/>
    <w:multiLevelType w:val="hybridMultilevel"/>
    <w:tmpl w:val="831062B6"/>
    <w:lvl w:ilvl="0" w:tplc="68E47E5E">
      <w:start w:val="1"/>
      <w:numFmt w:val="decimal"/>
      <w:lvlText w:val="%1."/>
      <w:lvlJc w:val="left"/>
      <w:pPr>
        <w:ind w:left="360" w:hanging="360"/>
      </w:pPr>
      <w:rPr>
        <w:rFonts w:ascii="Times New Roman" w:hAnsi="Times New Roman" w:cs="Times New Roman" w:hint="default"/>
        <w:b w:val="0"/>
        <w:i/>
        <w:sz w:val="24"/>
        <w:szCs w:val="24"/>
        <w:vertAlign w:val="baseline"/>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220848CD"/>
    <w:multiLevelType w:val="singleLevel"/>
    <w:tmpl w:val="E10E6356"/>
    <w:lvl w:ilvl="0">
      <w:start w:val="5"/>
      <w:numFmt w:val="decimal"/>
      <w:lvlText w:val="%1."/>
      <w:lvlJc w:val="left"/>
      <w:pPr>
        <w:tabs>
          <w:tab w:val="num" w:pos="1410"/>
        </w:tabs>
        <w:ind w:left="1410" w:hanging="1410"/>
      </w:pPr>
      <w:rPr>
        <w:rFonts w:hint="default"/>
      </w:rPr>
    </w:lvl>
  </w:abstractNum>
  <w:abstractNum w:abstractNumId="10">
    <w:nsid w:val="24A04307"/>
    <w:multiLevelType w:val="singleLevel"/>
    <w:tmpl w:val="0416000F"/>
    <w:lvl w:ilvl="0">
      <w:start w:val="1"/>
      <w:numFmt w:val="decimal"/>
      <w:lvlText w:val="%1."/>
      <w:lvlJc w:val="left"/>
      <w:pPr>
        <w:tabs>
          <w:tab w:val="num" w:pos="360"/>
        </w:tabs>
        <w:ind w:left="360" w:hanging="360"/>
      </w:pPr>
    </w:lvl>
  </w:abstractNum>
  <w:abstractNum w:abstractNumId="11">
    <w:nsid w:val="2B813D91"/>
    <w:multiLevelType w:val="singleLevel"/>
    <w:tmpl w:val="0416000F"/>
    <w:lvl w:ilvl="0">
      <w:start w:val="1"/>
      <w:numFmt w:val="decimal"/>
      <w:lvlText w:val="%1."/>
      <w:lvlJc w:val="left"/>
      <w:pPr>
        <w:tabs>
          <w:tab w:val="num" w:pos="360"/>
        </w:tabs>
        <w:ind w:left="360" w:hanging="360"/>
      </w:pPr>
    </w:lvl>
  </w:abstractNum>
  <w:abstractNum w:abstractNumId="12">
    <w:nsid w:val="31E85EE4"/>
    <w:multiLevelType w:val="singleLevel"/>
    <w:tmpl w:val="50CAA88E"/>
    <w:lvl w:ilvl="0">
      <w:start w:val="1"/>
      <w:numFmt w:val="decimal"/>
      <w:lvlText w:val="%1."/>
      <w:lvlJc w:val="left"/>
      <w:pPr>
        <w:tabs>
          <w:tab w:val="num" w:pos="1200"/>
        </w:tabs>
        <w:ind w:left="1200" w:hanging="1200"/>
      </w:pPr>
      <w:rPr>
        <w:rFonts w:hint="default"/>
      </w:rPr>
    </w:lvl>
  </w:abstractNum>
  <w:abstractNum w:abstractNumId="13">
    <w:nsid w:val="32A3532A"/>
    <w:multiLevelType w:val="singleLevel"/>
    <w:tmpl w:val="0416000F"/>
    <w:lvl w:ilvl="0">
      <w:start w:val="1"/>
      <w:numFmt w:val="decimal"/>
      <w:lvlText w:val="%1."/>
      <w:lvlJc w:val="left"/>
      <w:pPr>
        <w:tabs>
          <w:tab w:val="num" w:pos="360"/>
        </w:tabs>
        <w:ind w:left="360" w:hanging="360"/>
      </w:pPr>
    </w:lvl>
  </w:abstractNum>
  <w:abstractNum w:abstractNumId="14">
    <w:nsid w:val="35C04638"/>
    <w:multiLevelType w:val="singleLevel"/>
    <w:tmpl w:val="50CAA88E"/>
    <w:lvl w:ilvl="0">
      <w:start w:val="1"/>
      <w:numFmt w:val="decimal"/>
      <w:lvlText w:val="%1."/>
      <w:lvlJc w:val="left"/>
      <w:pPr>
        <w:tabs>
          <w:tab w:val="num" w:pos="1200"/>
        </w:tabs>
        <w:ind w:left="1200" w:hanging="1200"/>
      </w:pPr>
      <w:rPr>
        <w:rFonts w:hint="default"/>
      </w:rPr>
    </w:lvl>
  </w:abstractNum>
  <w:abstractNum w:abstractNumId="15">
    <w:nsid w:val="36B74700"/>
    <w:multiLevelType w:val="hybridMultilevel"/>
    <w:tmpl w:val="AAF8924C"/>
    <w:lvl w:ilvl="0" w:tplc="0416001B">
      <w:start w:val="1"/>
      <w:numFmt w:val="low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3B8464FE"/>
    <w:multiLevelType w:val="singleLevel"/>
    <w:tmpl w:val="E10E6356"/>
    <w:lvl w:ilvl="0">
      <w:start w:val="5"/>
      <w:numFmt w:val="decimal"/>
      <w:lvlText w:val="%1."/>
      <w:lvlJc w:val="left"/>
      <w:pPr>
        <w:tabs>
          <w:tab w:val="num" w:pos="1410"/>
        </w:tabs>
        <w:ind w:left="1410" w:hanging="1410"/>
      </w:pPr>
      <w:rPr>
        <w:rFonts w:hint="default"/>
      </w:rPr>
    </w:lvl>
  </w:abstractNum>
  <w:abstractNum w:abstractNumId="17">
    <w:nsid w:val="3E2019FE"/>
    <w:multiLevelType w:val="hybridMultilevel"/>
    <w:tmpl w:val="F3EA08C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0694B36"/>
    <w:multiLevelType w:val="singleLevel"/>
    <w:tmpl w:val="0416000F"/>
    <w:lvl w:ilvl="0">
      <w:start w:val="1"/>
      <w:numFmt w:val="decimal"/>
      <w:lvlText w:val="%1."/>
      <w:lvlJc w:val="left"/>
      <w:pPr>
        <w:tabs>
          <w:tab w:val="num" w:pos="360"/>
        </w:tabs>
        <w:ind w:left="360" w:hanging="360"/>
      </w:pPr>
    </w:lvl>
  </w:abstractNum>
  <w:abstractNum w:abstractNumId="19">
    <w:nsid w:val="43734535"/>
    <w:multiLevelType w:val="singleLevel"/>
    <w:tmpl w:val="E10E6356"/>
    <w:lvl w:ilvl="0">
      <w:start w:val="5"/>
      <w:numFmt w:val="decimal"/>
      <w:lvlText w:val="%1."/>
      <w:lvlJc w:val="left"/>
      <w:pPr>
        <w:tabs>
          <w:tab w:val="num" w:pos="1410"/>
        </w:tabs>
        <w:ind w:left="1410" w:hanging="1410"/>
      </w:pPr>
      <w:rPr>
        <w:rFonts w:hint="default"/>
      </w:rPr>
    </w:lvl>
  </w:abstractNum>
  <w:abstractNum w:abstractNumId="2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21">
    <w:nsid w:val="44FD51D1"/>
    <w:multiLevelType w:val="singleLevel"/>
    <w:tmpl w:val="91329222"/>
    <w:lvl w:ilvl="0">
      <w:start w:val="1"/>
      <w:numFmt w:val="decimal"/>
      <w:lvlText w:val="%1."/>
      <w:lvlJc w:val="left"/>
      <w:pPr>
        <w:tabs>
          <w:tab w:val="num" w:pos="1418"/>
        </w:tabs>
        <w:ind w:left="1418" w:hanging="1418"/>
      </w:pPr>
      <w:rPr>
        <w:spacing w:val="46"/>
      </w:rPr>
    </w:lvl>
  </w:abstractNum>
  <w:abstractNum w:abstractNumId="22">
    <w:nsid w:val="52CC2DCA"/>
    <w:multiLevelType w:val="multilevel"/>
    <w:tmpl w:val="9CF0315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50604B7"/>
    <w:multiLevelType w:val="singleLevel"/>
    <w:tmpl w:val="E10E6356"/>
    <w:lvl w:ilvl="0">
      <w:start w:val="8"/>
      <w:numFmt w:val="decimal"/>
      <w:lvlText w:val="%1."/>
      <w:lvlJc w:val="left"/>
      <w:pPr>
        <w:tabs>
          <w:tab w:val="num" w:pos="1410"/>
        </w:tabs>
        <w:ind w:left="1410" w:hanging="1410"/>
      </w:pPr>
      <w:rPr>
        <w:rFonts w:hint="default"/>
      </w:rPr>
    </w:lvl>
  </w:abstractNum>
  <w:abstractNum w:abstractNumId="24">
    <w:nsid w:val="5A9D0189"/>
    <w:multiLevelType w:val="hybridMultilevel"/>
    <w:tmpl w:val="1AFA6E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B06A8D"/>
    <w:multiLevelType w:val="hybridMultilevel"/>
    <w:tmpl w:val="046CE4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771E0D"/>
    <w:multiLevelType w:val="singleLevel"/>
    <w:tmpl w:val="0416000F"/>
    <w:lvl w:ilvl="0">
      <w:start w:val="1"/>
      <w:numFmt w:val="decimal"/>
      <w:lvlText w:val="%1."/>
      <w:lvlJc w:val="left"/>
      <w:pPr>
        <w:tabs>
          <w:tab w:val="num" w:pos="360"/>
        </w:tabs>
        <w:ind w:left="360" w:hanging="360"/>
      </w:pPr>
    </w:lvl>
  </w:abstractNum>
  <w:abstractNum w:abstractNumId="27">
    <w:nsid w:val="7B746580"/>
    <w:multiLevelType w:val="hybridMultilevel"/>
    <w:tmpl w:val="5AEA3BE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D5C7A99"/>
    <w:multiLevelType w:val="singleLevel"/>
    <w:tmpl w:val="50CAA88E"/>
    <w:lvl w:ilvl="0">
      <w:start w:val="1"/>
      <w:numFmt w:val="decimal"/>
      <w:lvlText w:val="%1."/>
      <w:lvlJc w:val="left"/>
      <w:pPr>
        <w:tabs>
          <w:tab w:val="num" w:pos="1200"/>
        </w:tabs>
        <w:ind w:left="1200" w:hanging="1200"/>
      </w:pPr>
      <w:rPr>
        <w:rFonts w:hint="default"/>
      </w:rPr>
    </w:lvl>
  </w:abstractNum>
  <w:abstractNum w:abstractNumId="29">
    <w:nsid w:val="7E7E6F7E"/>
    <w:multiLevelType w:val="singleLevel"/>
    <w:tmpl w:val="4602419E"/>
    <w:lvl w:ilvl="0">
      <w:start w:val="2"/>
      <w:numFmt w:val="decimal"/>
      <w:lvlText w:val="%1."/>
      <w:lvlJc w:val="left"/>
      <w:pPr>
        <w:tabs>
          <w:tab w:val="num" w:pos="1418"/>
        </w:tabs>
        <w:ind w:left="1418" w:hanging="1418"/>
      </w:pPr>
      <w:rPr>
        <w:b w:val="0"/>
        <w:i w:val="0"/>
        <w:sz w:val="20"/>
      </w:rPr>
    </w:lvl>
  </w:abstractNum>
  <w:num w:numId="1">
    <w:abstractNumId w:val="29"/>
  </w:num>
  <w:num w:numId="2">
    <w:abstractNumId w:val="11"/>
  </w:num>
  <w:num w:numId="3">
    <w:abstractNumId w:val="7"/>
  </w:num>
  <w:num w:numId="4">
    <w:abstractNumId w:val="16"/>
  </w:num>
  <w:num w:numId="5">
    <w:abstractNumId w:val="19"/>
  </w:num>
  <w:num w:numId="6">
    <w:abstractNumId w:val="23"/>
  </w:num>
  <w:num w:numId="7">
    <w:abstractNumId w:val="4"/>
  </w:num>
  <w:num w:numId="8">
    <w:abstractNumId w:val="9"/>
  </w:num>
  <w:num w:numId="9">
    <w:abstractNumId w:val="14"/>
  </w:num>
  <w:num w:numId="10">
    <w:abstractNumId w:val="28"/>
  </w:num>
  <w:num w:numId="11">
    <w:abstractNumId w:val="10"/>
  </w:num>
  <w:num w:numId="12">
    <w:abstractNumId w:val="13"/>
  </w:num>
  <w:num w:numId="13">
    <w:abstractNumId w:val="18"/>
  </w:num>
  <w:num w:numId="14">
    <w:abstractNumId w:val="12"/>
  </w:num>
  <w:num w:numId="15">
    <w:abstractNumId w:val="3"/>
  </w:num>
  <w:num w:numId="16">
    <w:abstractNumId w:val="5"/>
  </w:num>
  <w:num w:numId="17">
    <w:abstractNumId w:val="26"/>
  </w:num>
  <w:num w:numId="18">
    <w:abstractNumId w:val="0"/>
  </w:num>
  <w:num w:numId="19">
    <w:abstractNumId w:val="20"/>
  </w:num>
  <w:num w:numId="20">
    <w:abstractNumId w:val="1"/>
  </w:num>
  <w:num w:numId="21">
    <w:abstractNumId w:val="8"/>
  </w:num>
  <w:num w:numId="22">
    <w:abstractNumId w:val="24"/>
  </w:num>
  <w:num w:numId="23">
    <w:abstractNumId w:val="21"/>
    <w:lvlOverride w:ilvl="0">
      <w:startOverride w:val="1"/>
    </w:lvlOverride>
  </w:num>
  <w:num w:numId="24">
    <w:abstractNumId w:val="27"/>
  </w:num>
  <w:num w:numId="25">
    <w:abstractNumId w:val="2"/>
  </w:num>
  <w:num w:numId="26">
    <w:abstractNumId w:val="17"/>
  </w:num>
  <w:num w:numId="27">
    <w:abstractNumId w:val="22"/>
  </w:num>
  <w:num w:numId="28">
    <w:abstractNumId w:val="25"/>
  </w:num>
  <w:num w:numId="29">
    <w:abstractNumId w:val="15"/>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44753A"/>
    <w:rsid w:val="0000047C"/>
    <w:rsid w:val="00001EF9"/>
    <w:rsid w:val="0000474D"/>
    <w:rsid w:val="000069B6"/>
    <w:rsid w:val="00012E81"/>
    <w:rsid w:val="00013FB9"/>
    <w:rsid w:val="00016973"/>
    <w:rsid w:val="00017637"/>
    <w:rsid w:val="00017EF7"/>
    <w:rsid w:val="00025A3C"/>
    <w:rsid w:val="00026469"/>
    <w:rsid w:val="0003032F"/>
    <w:rsid w:val="00032CE1"/>
    <w:rsid w:val="00033F67"/>
    <w:rsid w:val="00035254"/>
    <w:rsid w:val="0004067D"/>
    <w:rsid w:val="0005243B"/>
    <w:rsid w:val="00053C42"/>
    <w:rsid w:val="0006339A"/>
    <w:rsid w:val="00067139"/>
    <w:rsid w:val="00067507"/>
    <w:rsid w:val="00070CB2"/>
    <w:rsid w:val="00075BE3"/>
    <w:rsid w:val="0007622F"/>
    <w:rsid w:val="000762FB"/>
    <w:rsid w:val="00080A45"/>
    <w:rsid w:val="00080BA6"/>
    <w:rsid w:val="00082479"/>
    <w:rsid w:val="00082D94"/>
    <w:rsid w:val="000859A9"/>
    <w:rsid w:val="000860CD"/>
    <w:rsid w:val="00086287"/>
    <w:rsid w:val="00090306"/>
    <w:rsid w:val="00094634"/>
    <w:rsid w:val="000A23B4"/>
    <w:rsid w:val="000A7D61"/>
    <w:rsid w:val="000B39C3"/>
    <w:rsid w:val="000B6B6F"/>
    <w:rsid w:val="000C07F8"/>
    <w:rsid w:val="000C1C25"/>
    <w:rsid w:val="000C2559"/>
    <w:rsid w:val="000C2FEE"/>
    <w:rsid w:val="000D17C3"/>
    <w:rsid w:val="000D2AD5"/>
    <w:rsid w:val="000E295C"/>
    <w:rsid w:val="000E6157"/>
    <w:rsid w:val="000E6E41"/>
    <w:rsid w:val="000E78DF"/>
    <w:rsid w:val="0010192C"/>
    <w:rsid w:val="0010380B"/>
    <w:rsid w:val="0010752D"/>
    <w:rsid w:val="00116B26"/>
    <w:rsid w:val="00117D51"/>
    <w:rsid w:val="001205D3"/>
    <w:rsid w:val="00125C41"/>
    <w:rsid w:val="0013439E"/>
    <w:rsid w:val="001403B2"/>
    <w:rsid w:val="001452D3"/>
    <w:rsid w:val="00150452"/>
    <w:rsid w:val="00150AA4"/>
    <w:rsid w:val="00156614"/>
    <w:rsid w:val="00161983"/>
    <w:rsid w:val="00164987"/>
    <w:rsid w:val="001654C1"/>
    <w:rsid w:val="00181C7C"/>
    <w:rsid w:val="0018469D"/>
    <w:rsid w:val="001856F2"/>
    <w:rsid w:val="001931D9"/>
    <w:rsid w:val="001A5527"/>
    <w:rsid w:val="001A6378"/>
    <w:rsid w:val="001A6FE5"/>
    <w:rsid w:val="001A71BD"/>
    <w:rsid w:val="001B651C"/>
    <w:rsid w:val="001D1F48"/>
    <w:rsid w:val="001D4F71"/>
    <w:rsid w:val="001D7226"/>
    <w:rsid w:val="001E2910"/>
    <w:rsid w:val="001F18A6"/>
    <w:rsid w:val="001F566A"/>
    <w:rsid w:val="001F7124"/>
    <w:rsid w:val="001F749A"/>
    <w:rsid w:val="002011D1"/>
    <w:rsid w:val="00203E0B"/>
    <w:rsid w:val="0020538E"/>
    <w:rsid w:val="00205641"/>
    <w:rsid w:val="0020787C"/>
    <w:rsid w:val="00212B54"/>
    <w:rsid w:val="002168D1"/>
    <w:rsid w:val="00226E0E"/>
    <w:rsid w:val="00236385"/>
    <w:rsid w:val="00240714"/>
    <w:rsid w:val="002416DF"/>
    <w:rsid w:val="00241A9D"/>
    <w:rsid w:val="00245A28"/>
    <w:rsid w:val="00246811"/>
    <w:rsid w:val="002471C0"/>
    <w:rsid w:val="0025320B"/>
    <w:rsid w:val="00253C98"/>
    <w:rsid w:val="0025599D"/>
    <w:rsid w:val="002560D1"/>
    <w:rsid w:val="00277D6C"/>
    <w:rsid w:val="00286969"/>
    <w:rsid w:val="00292BBC"/>
    <w:rsid w:val="00295D8B"/>
    <w:rsid w:val="002A1F3F"/>
    <w:rsid w:val="002A3C85"/>
    <w:rsid w:val="002A7439"/>
    <w:rsid w:val="002B03C2"/>
    <w:rsid w:val="002B15FB"/>
    <w:rsid w:val="002B340D"/>
    <w:rsid w:val="002B66C2"/>
    <w:rsid w:val="002B777A"/>
    <w:rsid w:val="002C21FA"/>
    <w:rsid w:val="002C7198"/>
    <w:rsid w:val="002C7DC8"/>
    <w:rsid w:val="002D0F88"/>
    <w:rsid w:val="002D1C3E"/>
    <w:rsid w:val="002D28FE"/>
    <w:rsid w:val="002D4C6C"/>
    <w:rsid w:val="002D6713"/>
    <w:rsid w:val="002D78FB"/>
    <w:rsid w:val="002F29EB"/>
    <w:rsid w:val="002F63B9"/>
    <w:rsid w:val="002F63E2"/>
    <w:rsid w:val="0030149C"/>
    <w:rsid w:val="003114C0"/>
    <w:rsid w:val="003142CC"/>
    <w:rsid w:val="0031543F"/>
    <w:rsid w:val="0031583E"/>
    <w:rsid w:val="00326236"/>
    <w:rsid w:val="00327524"/>
    <w:rsid w:val="00330501"/>
    <w:rsid w:val="00331219"/>
    <w:rsid w:val="00335066"/>
    <w:rsid w:val="00340361"/>
    <w:rsid w:val="003444BD"/>
    <w:rsid w:val="00345546"/>
    <w:rsid w:val="00347398"/>
    <w:rsid w:val="00350828"/>
    <w:rsid w:val="003570BF"/>
    <w:rsid w:val="0035727F"/>
    <w:rsid w:val="00362D61"/>
    <w:rsid w:val="00364B12"/>
    <w:rsid w:val="00364F1D"/>
    <w:rsid w:val="0036604B"/>
    <w:rsid w:val="00374A0E"/>
    <w:rsid w:val="003824D9"/>
    <w:rsid w:val="003826C5"/>
    <w:rsid w:val="00392C5E"/>
    <w:rsid w:val="00394BD3"/>
    <w:rsid w:val="00395212"/>
    <w:rsid w:val="003A229C"/>
    <w:rsid w:val="003A3BBB"/>
    <w:rsid w:val="003A41F6"/>
    <w:rsid w:val="003A6657"/>
    <w:rsid w:val="003A7DBA"/>
    <w:rsid w:val="003B6BDC"/>
    <w:rsid w:val="003C0FFA"/>
    <w:rsid w:val="003C7995"/>
    <w:rsid w:val="003D1AD3"/>
    <w:rsid w:val="003D3B01"/>
    <w:rsid w:val="003D4089"/>
    <w:rsid w:val="003D54C1"/>
    <w:rsid w:val="003D65BC"/>
    <w:rsid w:val="003D7C83"/>
    <w:rsid w:val="003E2FFF"/>
    <w:rsid w:val="003E3459"/>
    <w:rsid w:val="003E5CC9"/>
    <w:rsid w:val="003E7E95"/>
    <w:rsid w:val="00400F07"/>
    <w:rsid w:val="00405145"/>
    <w:rsid w:val="00405E7B"/>
    <w:rsid w:val="00417956"/>
    <w:rsid w:val="00426A87"/>
    <w:rsid w:val="00435961"/>
    <w:rsid w:val="00440A13"/>
    <w:rsid w:val="00441866"/>
    <w:rsid w:val="004446B4"/>
    <w:rsid w:val="00445090"/>
    <w:rsid w:val="0044753A"/>
    <w:rsid w:val="00451C69"/>
    <w:rsid w:val="00454132"/>
    <w:rsid w:val="00454262"/>
    <w:rsid w:val="0047150E"/>
    <w:rsid w:val="00472430"/>
    <w:rsid w:val="00473A1D"/>
    <w:rsid w:val="00474F89"/>
    <w:rsid w:val="004777CD"/>
    <w:rsid w:val="004824D2"/>
    <w:rsid w:val="00482878"/>
    <w:rsid w:val="004870C6"/>
    <w:rsid w:val="00490363"/>
    <w:rsid w:val="004936C2"/>
    <w:rsid w:val="00493F2D"/>
    <w:rsid w:val="004A1839"/>
    <w:rsid w:val="004A653F"/>
    <w:rsid w:val="004A7F67"/>
    <w:rsid w:val="004B4846"/>
    <w:rsid w:val="004B48B6"/>
    <w:rsid w:val="004B7E4C"/>
    <w:rsid w:val="004C1669"/>
    <w:rsid w:val="004C3BC9"/>
    <w:rsid w:val="004C40DD"/>
    <w:rsid w:val="004D2186"/>
    <w:rsid w:val="004D6850"/>
    <w:rsid w:val="004E0563"/>
    <w:rsid w:val="004E2F88"/>
    <w:rsid w:val="004E6108"/>
    <w:rsid w:val="004E6421"/>
    <w:rsid w:val="004F388F"/>
    <w:rsid w:val="00504FA8"/>
    <w:rsid w:val="00505A6C"/>
    <w:rsid w:val="00505D25"/>
    <w:rsid w:val="005069C7"/>
    <w:rsid w:val="00507847"/>
    <w:rsid w:val="00512F42"/>
    <w:rsid w:val="00516D19"/>
    <w:rsid w:val="00520226"/>
    <w:rsid w:val="00520CF2"/>
    <w:rsid w:val="005238B4"/>
    <w:rsid w:val="00523918"/>
    <w:rsid w:val="005245A3"/>
    <w:rsid w:val="00525F3F"/>
    <w:rsid w:val="00527C68"/>
    <w:rsid w:val="0053131E"/>
    <w:rsid w:val="0053663B"/>
    <w:rsid w:val="00536B3E"/>
    <w:rsid w:val="00540D25"/>
    <w:rsid w:val="0054364D"/>
    <w:rsid w:val="00546797"/>
    <w:rsid w:val="00551A66"/>
    <w:rsid w:val="005548E9"/>
    <w:rsid w:val="00560242"/>
    <w:rsid w:val="00562206"/>
    <w:rsid w:val="005652F7"/>
    <w:rsid w:val="005705F4"/>
    <w:rsid w:val="00581671"/>
    <w:rsid w:val="005832CF"/>
    <w:rsid w:val="005876FF"/>
    <w:rsid w:val="00594E96"/>
    <w:rsid w:val="005A03A1"/>
    <w:rsid w:val="005A3B7E"/>
    <w:rsid w:val="005A7069"/>
    <w:rsid w:val="005B2C1F"/>
    <w:rsid w:val="005B491B"/>
    <w:rsid w:val="005B626E"/>
    <w:rsid w:val="005B6F39"/>
    <w:rsid w:val="005C2AB9"/>
    <w:rsid w:val="005C4722"/>
    <w:rsid w:val="005C6DC0"/>
    <w:rsid w:val="005C6F2B"/>
    <w:rsid w:val="005D449C"/>
    <w:rsid w:val="005D6395"/>
    <w:rsid w:val="005D7929"/>
    <w:rsid w:val="005E4B70"/>
    <w:rsid w:val="005F216D"/>
    <w:rsid w:val="005F4B3A"/>
    <w:rsid w:val="005F7951"/>
    <w:rsid w:val="005F7A80"/>
    <w:rsid w:val="00601251"/>
    <w:rsid w:val="0060619E"/>
    <w:rsid w:val="006161B2"/>
    <w:rsid w:val="0062053D"/>
    <w:rsid w:val="006222A0"/>
    <w:rsid w:val="00626438"/>
    <w:rsid w:val="0063194A"/>
    <w:rsid w:val="00632629"/>
    <w:rsid w:val="00634737"/>
    <w:rsid w:val="006376C7"/>
    <w:rsid w:val="006478C5"/>
    <w:rsid w:val="00647A64"/>
    <w:rsid w:val="0065304B"/>
    <w:rsid w:val="0067161C"/>
    <w:rsid w:val="00680566"/>
    <w:rsid w:val="006813BE"/>
    <w:rsid w:val="00683D3D"/>
    <w:rsid w:val="00683D9F"/>
    <w:rsid w:val="0068423E"/>
    <w:rsid w:val="0068761F"/>
    <w:rsid w:val="0069040A"/>
    <w:rsid w:val="006910C1"/>
    <w:rsid w:val="00694640"/>
    <w:rsid w:val="006A08FF"/>
    <w:rsid w:val="006A228C"/>
    <w:rsid w:val="006A4430"/>
    <w:rsid w:val="006A4492"/>
    <w:rsid w:val="006A76BB"/>
    <w:rsid w:val="006B14C8"/>
    <w:rsid w:val="006C1AD8"/>
    <w:rsid w:val="006C335B"/>
    <w:rsid w:val="006C3B6A"/>
    <w:rsid w:val="006C4455"/>
    <w:rsid w:val="006C5449"/>
    <w:rsid w:val="006E1E84"/>
    <w:rsid w:val="006E52B3"/>
    <w:rsid w:val="006E649B"/>
    <w:rsid w:val="006E7C91"/>
    <w:rsid w:val="006F22DB"/>
    <w:rsid w:val="006F6D55"/>
    <w:rsid w:val="006F7A50"/>
    <w:rsid w:val="00707549"/>
    <w:rsid w:val="00714A09"/>
    <w:rsid w:val="00715BB0"/>
    <w:rsid w:val="007160ED"/>
    <w:rsid w:val="0071724F"/>
    <w:rsid w:val="007178DC"/>
    <w:rsid w:val="00722CF7"/>
    <w:rsid w:val="00725AFE"/>
    <w:rsid w:val="00725C88"/>
    <w:rsid w:val="00730A86"/>
    <w:rsid w:val="0073317A"/>
    <w:rsid w:val="007334DA"/>
    <w:rsid w:val="007510D3"/>
    <w:rsid w:val="00753547"/>
    <w:rsid w:val="007565EA"/>
    <w:rsid w:val="00756E06"/>
    <w:rsid w:val="00760DBC"/>
    <w:rsid w:val="00763164"/>
    <w:rsid w:val="00772253"/>
    <w:rsid w:val="00772C15"/>
    <w:rsid w:val="0077336E"/>
    <w:rsid w:val="007739DB"/>
    <w:rsid w:val="00785EE2"/>
    <w:rsid w:val="00786A12"/>
    <w:rsid w:val="007876FA"/>
    <w:rsid w:val="007879F9"/>
    <w:rsid w:val="00795DA8"/>
    <w:rsid w:val="007970C1"/>
    <w:rsid w:val="007A13C7"/>
    <w:rsid w:val="007A1D0F"/>
    <w:rsid w:val="007A2A84"/>
    <w:rsid w:val="007A71A9"/>
    <w:rsid w:val="007A71EC"/>
    <w:rsid w:val="007B0997"/>
    <w:rsid w:val="007C56FC"/>
    <w:rsid w:val="007D7CD9"/>
    <w:rsid w:val="007E5B85"/>
    <w:rsid w:val="007F4295"/>
    <w:rsid w:val="007F5539"/>
    <w:rsid w:val="007F67D2"/>
    <w:rsid w:val="007F6CE3"/>
    <w:rsid w:val="0080073F"/>
    <w:rsid w:val="00807DAD"/>
    <w:rsid w:val="00814041"/>
    <w:rsid w:val="00817D37"/>
    <w:rsid w:val="00823BE9"/>
    <w:rsid w:val="0082743A"/>
    <w:rsid w:val="00832C26"/>
    <w:rsid w:val="00843FB2"/>
    <w:rsid w:val="0085239D"/>
    <w:rsid w:val="00856E25"/>
    <w:rsid w:val="00862FA5"/>
    <w:rsid w:val="00881C88"/>
    <w:rsid w:val="0088238B"/>
    <w:rsid w:val="00887A03"/>
    <w:rsid w:val="00892944"/>
    <w:rsid w:val="00892A3D"/>
    <w:rsid w:val="0089521A"/>
    <w:rsid w:val="008A07EA"/>
    <w:rsid w:val="008A7E4E"/>
    <w:rsid w:val="008B1A9D"/>
    <w:rsid w:val="008B6229"/>
    <w:rsid w:val="008C18B1"/>
    <w:rsid w:val="008D0120"/>
    <w:rsid w:val="008D4AEC"/>
    <w:rsid w:val="008E3034"/>
    <w:rsid w:val="008F2972"/>
    <w:rsid w:val="008F30CA"/>
    <w:rsid w:val="008F3DC9"/>
    <w:rsid w:val="00905368"/>
    <w:rsid w:val="00905D69"/>
    <w:rsid w:val="00907089"/>
    <w:rsid w:val="00910B57"/>
    <w:rsid w:val="00914F87"/>
    <w:rsid w:val="009174AD"/>
    <w:rsid w:val="00920D7E"/>
    <w:rsid w:val="009220E6"/>
    <w:rsid w:val="00922AA0"/>
    <w:rsid w:val="0092736D"/>
    <w:rsid w:val="009273AF"/>
    <w:rsid w:val="009345E7"/>
    <w:rsid w:val="009348A6"/>
    <w:rsid w:val="009360EC"/>
    <w:rsid w:val="00937870"/>
    <w:rsid w:val="00941174"/>
    <w:rsid w:val="009414C0"/>
    <w:rsid w:val="00950724"/>
    <w:rsid w:val="0095395F"/>
    <w:rsid w:val="00955520"/>
    <w:rsid w:val="0096450E"/>
    <w:rsid w:val="00964DB1"/>
    <w:rsid w:val="009673B4"/>
    <w:rsid w:val="00977365"/>
    <w:rsid w:val="00977786"/>
    <w:rsid w:val="00982B52"/>
    <w:rsid w:val="00990046"/>
    <w:rsid w:val="009A32DE"/>
    <w:rsid w:val="009B0E1E"/>
    <w:rsid w:val="009B1E5C"/>
    <w:rsid w:val="009B42C4"/>
    <w:rsid w:val="009B4DCB"/>
    <w:rsid w:val="009B4FA3"/>
    <w:rsid w:val="009B558E"/>
    <w:rsid w:val="009B5731"/>
    <w:rsid w:val="009C23B4"/>
    <w:rsid w:val="009C5AA9"/>
    <w:rsid w:val="009D23EA"/>
    <w:rsid w:val="009D2F8A"/>
    <w:rsid w:val="009D79B7"/>
    <w:rsid w:val="009E78FC"/>
    <w:rsid w:val="009F15F0"/>
    <w:rsid w:val="009F3E8C"/>
    <w:rsid w:val="00A03AC3"/>
    <w:rsid w:val="00A077E7"/>
    <w:rsid w:val="00A14E94"/>
    <w:rsid w:val="00A21426"/>
    <w:rsid w:val="00A2629C"/>
    <w:rsid w:val="00A32EF5"/>
    <w:rsid w:val="00A3304A"/>
    <w:rsid w:val="00A42F58"/>
    <w:rsid w:val="00A54362"/>
    <w:rsid w:val="00A54655"/>
    <w:rsid w:val="00A63716"/>
    <w:rsid w:val="00A71B0D"/>
    <w:rsid w:val="00A735BD"/>
    <w:rsid w:val="00A73D66"/>
    <w:rsid w:val="00A835DC"/>
    <w:rsid w:val="00A838F2"/>
    <w:rsid w:val="00A843F1"/>
    <w:rsid w:val="00A87D1D"/>
    <w:rsid w:val="00A9182D"/>
    <w:rsid w:val="00A92429"/>
    <w:rsid w:val="00A94B0A"/>
    <w:rsid w:val="00A97152"/>
    <w:rsid w:val="00AA78CA"/>
    <w:rsid w:val="00AB09F2"/>
    <w:rsid w:val="00AB12F3"/>
    <w:rsid w:val="00AB56F4"/>
    <w:rsid w:val="00AB57F8"/>
    <w:rsid w:val="00AB7A7E"/>
    <w:rsid w:val="00AC3C97"/>
    <w:rsid w:val="00AC5ABA"/>
    <w:rsid w:val="00AD5358"/>
    <w:rsid w:val="00AE25EF"/>
    <w:rsid w:val="00AE5275"/>
    <w:rsid w:val="00AF22CD"/>
    <w:rsid w:val="00AF2882"/>
    <w:rsid w:val="00AF36AD"/>
    <w:rsid w:val="00AF3C8E"/>
    <w:rsid w:val="00AF4A32"/>
    <w:rsid w:val="00AF57C1"/>
    <w:rsid w:val="00AF7DEC"/>
    <w:rsid w:val="00B12D8E"/>
    <w:rsid w:val="00B1345D"/>
    <w:rsid w:val="00B146C1"/>
    <w:rsid w:val="00B15944"/>
    <w:rsid w:val="00B17413"/>
    <w:rsid w:val="00B204C8"/>
    <w:rsid w:val="00B246F2"/>
    <w:rsid w:val="00B24FC0"/>
    <w:rsid w:val="00B27060"/>
    <w:rsid w:val="00B30AA3"/>
    <w:rsid w:val="00B428FD"/>
    <w:rsid w:val="00B450EE"/>
    <w:rsid w:val="00B51A29"/>
    <w:rsid w:val="00B52570"/>
    <w:rsid w:val="00B52A31"/>
    <w:rsid w:val="00B55195"/>
    <w:rsid w:val="00B5601F"/>
    <w:rsid w:val="00B60886"/>
    <w:rsid w:val="00B628B4"/>
    <w:rsid w:val="00B6513C"/>
    <w:rsid w:val="00B67BFE"/>
    <w:rsid w:val="00B67C3E"/>
    <w:rsid w:val="00B74CF6"/>
    <w:rsid w:val="00B8058B"/>
    <w:rsid w:val="00B842EC"/>
    <w:rsid w:val="00B90439"/>
    <w:rsid w:val="00B90887"/>
    <w:rsid w:val="00B91E5C"/>
    <w:rsid w:val="00B92133"/>
    <w:rsid w:val="00BA036B"/>
    <w:rsid w:val="00BA13BB"/>
    <w:rsid w:val="00BA354F"/>
    <w:rsid w:val="00BA356D"/>
    <w:rsid w:val="00BA6BD9"/>
    <w:rsid w:val="00BB1B89"/>
    <w:rsid w:val="00BB2360"/>
    <w:rsid w:val="00BD6E6B"/>
    <w:rsid w:val="00BF2232"/>
    <w:rsid w:val="00BF73F8"/>
    <w:rsid w:val="00C00D7C"/>
    <w:rsid w:val="00C10191"/>
    <w:rsid w:val="00C1041C"/>
    <w:rsid w:val="00C15988"/>
    <w:rsid w:val="00C22CBC"/>
    <w:rsid w:val="00C256FF"/>
    <w:rsid w:val="00C26C3A"/>
    <w:rsid w:val="00C313E6"/>
    <w:rsid w:val="00C346A7"/>
    <w:rsid w:val="00C36CD5"/>
    <w:rsid w:val="00C40D04"/>
    <w:rsid w:val="00C435A3"/>
    <w:rsid w:val="00C43618"/>
    <w:rsid w:val="00C5180C"/>
    <w:rsid w:val="00C537C7"/>
    <w:rsid w:val="00C56043"/>
    <w:rsid w:val="00C560CE"/>
    <w:rsid w:val="00C57800"/>
    <w:rsid w:val="00C6357C"/>
    <w:rsid w:val="00C6728D"/>
    <w:rsid w:val="00C71E01"/>
    <w:rsid w:val="00C74342"/>
    <w:rsid w:val="00C7646C"/>
    <w:rsid w:val="00C82324"/>
    <w:rsid w:val="00C87826"/>
    <w:rsid w:val="00CA1D03"/>
    <w:rsid w:val="00CB13D1"/>
    <w:rsid w:val="00CB1B1A"/>
    <w:rsid w:val="00CB21D5"/>
    <w:rsid w:val="00CB2AAF"/>
    <w:rsid w:val="00CB62A9"/>
    <w:rsid w:val="00CC16A8"/>
    <w:rsid w:val="00CC19C5"/>
    <w:rsid w:val="00CD0531"/>
    <w:rsid w:val="00CD1AB7"/>
    <w:rsid w:val="00CD2AC0"/>
    <w:rsid w:val="00CD76C7"/>
    <w:rsid w:val="00CE32E0"/>
    <w:rsid w:val="00CE545D"/>
    <w:rsid w:val="00CE5B70"/>
    <w:rsid w:val="00CF0523"/>
    <w:rsid w:val="00D05429"/>
    <w:rsid w:val="00D0799E"/>
    <w:rsid w:val="00D1061A"/>
    <w:rsid w:val="00D267F5"/>
    <w:rsid w:val="00D304D0"/>
    <w:rsid w:val="00D3351F"/>
    <w:rsid w:val="00D3754D"/>
    <w:rsid w:val="00D37799"/>
    <w:rsid w:val="00D445A1"/>
    <w:rsid w:val="00D451CC"/>
    <w:rsid w:val="00D50915"/>
    <w:rsid w:val="00D51CBE"/>
    <w:rsid w:val="00D53D94"/>
    <w:rsid w:val="00D56D14"/>
    <w:rsid w:val="00D5756A"/>
    <w:rsid w:val="00D60B82"/>
    <w:rsid w:val="00D6204B"/>
    <w:rsid w:val="00D7178D"/>
    <w:rsid w:val="00D737C1"/>
    <w:rsid w:val="00D744A3"/>
    <w:rsid w:val="00D77E03"/>
    <w:rsid w:val="00D83698"/>
    <w:rsid w:val="00DA129E"/>
    <w:rsid w:val="00DA21D9"/>
    <w:rsid w:val="00DA61EB"/>
    <w:rsid w:val="00DA7075"/>
    <w:rsid w:val="00DA7DEF"/>
    <w:rsid w:val="00DA7FD3"/>
    <w:rsid w:val="00DB0B51"/>
    <w:rsid w:val="00DB5B44"/>
    <w:rsid w:val="00DC2A5A"/>
    <w:rsid w:val="00DC2FD8"/>
    <w:rsid w:val="00DC4736"/>
    <w:rsid w:val="00DD0952"/>
    <w:rsid w:val="00DD5107"/>
    <w:rsid w:val="00DD666A"/>
    <w:rsid w:val="00DE07E0"/>
    <w:rsid w:val="00DE1030"/>
    <w:rsid w:val="00DE1EE0"/>
    <w:rsid w:val="00DE2F97"/>
    <w:rsid w:val="00DE311E"/>
    <w:rsid w:val="00DE50E0"/>
    <w:rsid w:val="00DE6347"/>
    <w:rsid w:val="00DF382E"/>
    <w:rsid w:val="00DF5495"/>
    <w:rsid w:val="00E00AB5"/>
    <w:rsid w:val="00E01372"/>
    <w:rsid w:val="00E01E69"/>
    <w:rsid w:val="00E079AC"/>
    <w:rsid w:val="00E07C10"/>
    <w:rsid w:val="00E1567D"/>
    <w:rsid w:val="00E20C17"/>
    <w:rsid w:val="00E21FE7"/>
    <w:rsid w:val="00E238D0"/>
    <w:rsid w:val="00E23FCF"/>
    <w:rsid w:val="00E25259"/>
    <w:rsid w:val="00E30E6F"/>
    <w:rsid w:val="00E30EC3"/>
    <w:rsid w:val="00E31FF3"/>
    <w:rsid w:val="00E33593"/>
    <w:rsid w:val="00E357D2"/>
    <w:rsid w:val="00E409DE"/>
    <w:rsid w:val="00E45A51"/>
    <w:rsid w:val="00E55AC9"/>
    <w:rsid w:val="00E61AAC"/>
    <w:rsid w:val="00E6604E"/>
    <w:rsid w:val="00E67D37"/>
    <w:rsid w:val="00E85A60"/>
    <w:rsid w:val="00E85F4E"/>
    <w:rsid w:val="00E930F1"/>
    <w:rsid w:val="00EA2E6C"/>
    <w:rsid w:val="00EA3AAE"/>
    <w:rsid w:val="00EA472E"/>
    <w:rsid w:val="00EA537F"/>
    <w:rsid w:val="00EA56C0"/>
    <w:rsid w:val="00EB142D"/>
    <w:rsid w:val="00EB1681"/>
    <w:rsid w:val="00EB1B8F"/>
    <w:rsid w:val="00EB3603"/>
    <w:rsid w:val="00EB5646"/>
    <w:rsid w:val="00EC498A"/>
    <w:rsid w:val="00ED0F7E"/>
    <w:rsid w:val="00ED46D3"/>
    <w:rsid w:val="00EE2F4B"/>
    <w:rsid w:val="00EE4F53"/>
    <w:rsid w:val="00EE5139"/>
    <w:rsid w:val="00EE6115"/>
    <w:rsid w:val="00F04971"/>
    <w:rsid w:val="00F1270C"/>
    <w:rsid w:val="00F14632"/>
    <w:rsid w:val="00F164F9"/>
    <w:rsid w:val="00F167DC"/>
    <w:rsid w:val="00F17A15"/>
    <w:rsid w:val="00F210DC"/>
    <w:rsid w:val="00F22139"/>
    <w:rsid w:val="00F2426D"/>
    <w:rsid w:val="00F24335"/>
    <w:rsid w:val="00F2529E"/>
    <w:rsid w:val="00F27FF7"/>
    <w:rsid w:val="00F330FB"/>
    <w:rsid w:val="00F3530F"/>
    <w:rsid w:val="00F45D04"/>
    <w:rsid w:val="00F503E9"/>
    <w:rsid w:val="00F54AA0"/>
    <w:rsid w:val="00F6051F"/>
    <w:rsid w:val="00F66DE0"/>
    <w:rsid w:val="00F700B8"/>
    <w:rsid w:val="00F70927"/>
    <w:rsid w:val="00F70D6F"/>
    <w:rsid w:val="00F73460"/>
    <w:rsid w:val="00F74755"/>
    <w:rsid w:val="00F80624"/>
    <w:rsid w:val="00F81FE1"/>
    <w:rsid w:val="00F8403A"/>
    <w:rsid w:val="00F84C07"/>
    <w:rsid w:val="00F85D35"/>
    <w:rsid w:val="00F90B10"/>
    <w:rsid w:val="00F949AC"/>
    <w:rsid w:val="00F958B4"/>
    <w:rsid w:val="00FA4C5B"/>
    <w:rsid w:val="00FA4E82"/>
    <w:rsid w:val="00FA61A9"/>
    <w:rsid w:val="00FA7692"/>
    <w:rsid w:val="00FB1AF2"/>
    <w:rsid w:val="00FB5275"/>
    <w:rsid w:val="00FB6F8D"/>
    <w:rsid w:val="00FC09C9"/>
    <w:rsid w:val="00FC504F"/>
    <w:rsid w:val="00FC530D"/>
    <w:rsid w:val="00FC607A"/>
    <w:rsid w:val="00FD1E6A"/>
    <w:rsid w:val="00FD2019"/>
    <w:rsid w:val="00FD5CC8"/>
    <w:rsid w:val="00FD62E1"/>
    <w:rsid w:val="00FF4FB9"/>
    <w:rsid w:val="00FF63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7D"/>
  </w:style>
  <w:style w:type="paragraph" w:styleId="Ttulo1">
    <w:name w:val="heading 1"/>
    <w:basedOn w:val="Normal"/>
    <w:next w:val="Normal"/>
    <w:qFormat/>
    <w:rsid w:val="00E1567D"/>
    <w:pPr>
      <w:keepNext/>
      <w:spacing w:line="240" w:lineRule="atLeast"/>
      <w:outlineLvl w:val="0"/>
    </w:pPr>
    <w:rPr>
      <w:snapToGrid w:val="0"/>
      <w:color w:val="000000"/>
      <w:sz w:val="24"/>
    </w:rPr>
  </w:style>
  <w:style w:type="paragraph" w:styleId="Ttulo2">
    <w:name w:val="heading 2"/>
    <w:basedOn w:val="Normal"/>
    <w:next w:val="Normal"/>
    <w:qFormat/>
    <w:rsid w:val="00E1567D"/>
    <w:pPr>
      <w:keepNext/>
      <w:outlineLvl w:val="1"/>
    </w:pPr>
    <w:rPr>
      <w:sz w:val="24"/>
    </w:rPr>
  </w:style>
  <w:style w:type="paragraph" w:styleId="Ttulo8">
    <w:name w:val="heading 8"/>
    <w:basedOn w:val="Normal"/>
    <w:next w:val="Normal"/>
    <w:qFormat/>
    <w:rsid w:val="00E1567D"/>
    <w:pPr>
      <w:keepNext/>
      <w:jc w:val="center"/>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E1567D"/>
    <w:rPr>
      <w:b/>
    </w:rPr>
  </w:style>
  <w:style w:type="paragraph" w:customStyle="1" w:styleId="Blockquote">
    <w:name w:val="Blockquote"/>
    <w:basedOn w:val="Normal"/>
    <w:rsid w:val="00E1567D"/>
    <w:pPr>
      <w:spacing w:before="100" w:after="100"/>
      <w:ind w:left="360" w:right="360"/>
    </w:pPr>
    <w:rPr>
      <w:snapToGrid w:val="0"/>
      <w:sz w:val="24"/>
    </w:rPr>
  </w:style>
  <w:style w:type="paragraph" w:styleId="Cabealho">
    <w:name w:val="header"/>
    <w:basedOn w:val="Normal"/>
    <w:link w:val="CabealhoChar"/>
    <w:rsid w:val="00E1567D"/>
    <w:pPr>
      <w:tabs>
        <w:tab w:val="center" w:pos="4419"/>
        <w:tab w:val="right" w:pos="8838"/>
      </w:tabs>
    </w:pPr>
  </w:style>
  <w:style w:type="paragraph" w:styleId="Rodap">
    <w:name w:val="footer"/>
    <w:basedOn w:val="Normal"/>
    <w:link w:val="RodapChar"/>
    <w:uiPriority w:val="99"/>
    <w:rsid w:val="00E1567D"/>
    <w:pPr>
      <w:tabs>
        <w:tab w:val="center" w:pos="4419"/>
        <w:tab w:val="right" w:pos="8838"/>
      </w:tabs>
    </w:pPr>
  </w:style>
  <w:style w:type="paragraph" w:styleId="NormalWeb">
    <w:name w:val="Normal (Web)"/>
    <w:basedOn w:val="Normal"/>
    <w:uiPriority w:val="99"/>
    <w:rsid w:val="00E1567D"/>
    <w:pPr>
      <w:spacing w:before="100" w:after="100"/>
    </w:pPr>
    <w:rPr>
      <w:rFonts w:ascii="Arial Unicode MS" w:eastAsia="Arial Unicode MS" w:hAnsi="Arial Unicode MS"/>
      <w:sz w:val="24"/>
    </w:rPr>
  </w:style>
  <w:style w:type="paragraph" w:styleId="Ttulo">
    <w:name w:val="Title"/>
    <w:basedOn w:val="Normal"/>
    <w:qFormat/>
    <w:rsid w:val="00E1567D"/>
    <w:pPr>
      <w:jc w:val="center"/>
    </w:pPr>
    <w:rPr>
      <w:sz w:val="24"/>
    </w:rPr>
  </w:style>
  <w:style w:type="paragraph" w:styleId="Recuodecorpodetexto">
    <w:name w:val="Body Text Indent"/>
    <w:basedOn w:val="Normal"/>
    <w:semiHidden/>
    <w:rsid w:val="00E1567D"/>
    <w:pPr>
      <w:tabs>
        <w:tab w:val="left" w:pos="6946"/>
      </w:tabs>
      <w:ind w:firstLine="1418"/>
      <w:jc w:val="both"/>
    </w:pPr>
    <w:rPr>
      <w:sz w:val="24"/>
    </w:rPr>
  </w:style>
  <w:style w:type="paragraph" w:customStyle="1" w:styleId="p2">
    <w:name w:val="p2"/>
    <w:basedOn w:val="Normal"/>
    <w:rsid w:val="00E1567D"/>
    <w:pPr>
      <w:widowControl w:val="0"/>
      <w:tabs>
        <w:tab w:val="left" w:pos="204"/>
      </w:tabs>
      <w:overflowPunct w:val="0"/>
      <w:autoSpaceDE w:val="0"/>
      <w:autoSpaceDN w:val="0"/>
      <w:adjustRightInd w:val="0"/>
      <w:spacing w:line="1014" w:lineRule="atLeast"/>
      <w:jc w:val="both"/>
      <w:textAlignment w:val="baseline"/>
    </w:pPr>
    <w:rPr>
      <w:rFonts w:ascii="Arial" w:hAnsi="Arial"/>
      <w:sz w:val="24"/>
    </w:rPr>
  </w:style>
  <w:style w:type="character" w:styleId="Nmerodepgina">
    <w:name w:val="page number"/>
    <w:basedOn w:val="Fontepargpadro"/>
    <w:semiHidden/>
    <w:rsid w:val="00E1567D"/>
  </w:style>
  <w:style w:type="paragraph" w:styleId="Corpodetexto2">
    <w:name w:val="Body Text 2"/>
    <w:basedOn w:val="Normal"/>
    <w:semiHidden/>
    <w:rsid w:val="00E1567D"/>
    <w:pPr>
      <w:jc w:val="both"/>
    </w:pPr>
    <w:rPr>
      <w:sz w:val="32"/>
    </w:rPr>
  </w:style>
  <w:style w:type="paragraph" w:styleId="Recuodecorpodetexto2">
    <w:name w:val="Body Text Indent 2"/>
    <w:basedOn w:val="Normal"/>
    <w:semiHidden/>
    <w:rsid w:val="00E1567D"/>
    <w:pPr>
      <w:spacing w:before="120" w:after="120"/>
      <w:ind w:firstLine="1701"/>
      <w:jc w:val="both"/>
    </w:pPr>
    <w:rPr>
      <w:rFonts w:ascii="Arial" w:hAnsi="Arial"/>
      <w:sz w:val="24"/>
    </w:rPr>
  </w:style>
  <w:style w:type="paragraph" w:styleId="Corpodetexto">
    <w:name w:val="Body Text"/>
    <w:basedOn w:val="Normal"/>
    <w:semiHidden/>
    <w:rsid w:val="00E1567D"/>
    <w:pPr>
      <w:jc w:val="both"/>
    </w:pPr>
    <w:rPr>
      <w:sz w:val="24"/>
    </w:rPr>
  </w:style>
  <w:style w:type="paragraph" w:styleId="Recuodecorpodetexto3">
    <w:name w:val="Body Text Indent 3"/>
    <w:basedOn w:val="Normal"/>
    <w:semiHidden/>
    <w:rsid w:val="00E1567D"/>
    <w:pPr>
      <w:ind w:firstLine="1985"/>
      <w:jc w:val="both"/>
    </w:pPr>
    <w:rPr>
      <w:sz w:val="24"/>
    </w:rPr>
  </w:style>
  <w:style w:type="paragraph" w:styleId="Corpodetexto3">
    <w:name w:val="Body Text 3"/>
    <w:basedOn w:val="Normal"/>
    <w:semiHidden/>
    <w:rsid w:val="00E1567D"/>
    <w:pPr>
      <w:tabs>
        <w:tab w:val="left" w:pos="1418"/>
      </w:tabs>
      <w:spacing w:line="240" w:lineRule="atLeast"/>
      <w:jc w:val="both"/>
    </w:pPr>
    <w:rPr>
      <w:snapToGrid w:val="0"/>
      <w:color w:val="000000"/>
      <w:sz w:val="24"/>
    </w:rPr>
  </w:style>
  <w:style w:type="paragraph" w:customStyle="1" w:styleId="Normalnumerado">
    <w:name w:val="Normal numerado"/>
    <w:basedOn w:val="Normal"/>
    <w:rsid w:val="00D5756A"/>
    <w:pPr>
      <w:numPr>
        <w:numId w:val="19"/>
      </w:numPr>
      <w:tabs>
        <w:tab w:val="clear" w:pos="705"/>
      </w:tabs>
      <w:spacing w:after="120"/>
      <w:ind w:left="0" w:firstLine="0"/>
      <w:jc w:val="both"/>
    </w:pPr>
    <w:rPr>
      <w:snapToGrid w:val="0"/>
    </w:rPr>
  </w:style>
  <w:style w:type="paragraph" w:styleId="PargrafodaLista">
    <w:name w:val="List Paragraph"/>
    <w:basedOn w:val="Normal"/>
    <w:uiPriority w:val="34"/>
    <w:qFormat/>
    <w:rsid w:val="0054364D"/>
    <w:pPr>
      <w:ind w:left="708"/>
    </w:pPr>
  </w:style>
  <w:style w:type="character" w:customStyle="1" w:styleId="RodapChar">
    <w:name w:val="Rodapé Char"/>
    <w:basedOn w:val="Fontepargpadro"/>
    <w:link w:val="Rodap"/>
    <w:uiPriority w:val="99"/>
    <w:rsid w:val="009220E6"/>
  </w:style>
  <w:style w:type="character" w:customStyle="1" w:styleId="CabealhoChar">
    <w:name w:val="Cabeçalho Char"/>
    <w:basedOn w:val="Fontepargpadro"/>
    <w:link w:val="Cabealho"/>
    <w:rsid w:val="009220E6"/>
  </w:style>
  <w:style w:type="character" w:customStyle="1" w:styleId="apple-converted-space">
    <w:name w:val="apple-converted-space"/>
    <w:basedOn w:val="Fontepargpadro"/>
    <w:rsid w:val="008E3034"/>
  </w:style>
  <w:style w:type="paragraph" w:customStyle="1" w:styleId="Normal2">
    <w:name w:val="Normal2"/>
    <w:basedOn w:val="Normal"/>
    <w:rsid w:val="00F2426D"/>
    <w:pPr>
      <w:spacing w:before="40" w:after="40"/>
      <w:jc w:val="both"/>
    </w:pPr>
    <w:rPr>
      <w:rFonts w:ascii="Optimum" w:hAnsi="Optimum"/>
      <w:sz w:val="22"/>
    </w:rPr>
  </w:style>
  <w:style w:type="table" w:styleId="Tabelacomgrade">
    <w:name w:val="Table Grid"/>
    <w:basedOn w:val="Tabelanormal"/>
    <w:uiPriority w:val="59"/>
    <w:rsid w:val="00F24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E5CC9"/>
    <w:rPr>
      <w:rFonts w:ascii="Tahoma" w:hAnsi="Tahoma" w:cs="Tahoma"/>
      <w:sz w:val="16"/>
      <w:szCs w:val="16"/>
    </w:rPr>
  </w:style>
  <w:style w:type="character" w:customStyle="1" w:styleId="TextodebaloChar">
    <w:name w:val="Texto de balão Char"/>
    <w:basedOn w:val="Fontepargpadro"/>
    <w:link w:val="Textodebalo"/>
    <w:uiPriority w:val="99"/>
    <w:semiHidden/>
    <w:rsid w:val="003E5CC9"/>
    <w:rPr>
      <w:rFonts w:ascii="Tahoma" w:hAnsi="Tahoma" w:cs="Tahoma"/>
      <w:sz w:val="16"/>
      <w:szCs w:val="16"/>
    </w:rPr>
  </w:style>
  <w:style w:type="paragraph" w:customStyle="1" w:styleId="texto">
    <w:name w:val="texto"/>
    <w:basedOn w:val="Normal"/>
    <w:rsid w:val="00795DA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23850279">
      <w:bodyDiv w:val="1"/>
      <w:marLeft w:val="0"/>
      <w:marRight w:val="0"/>
      <w:marTop w:val="0"/>
      <w:marBottom w:val="0"/>
      <w:divBdr>
        <w:top w:val="none" w:sz="0" w:space="0" w:color="auto"/>
        <w:left w:val="none" w:sz="0" w:space="0" w:color="auto"/>
        <w:bottom w:val="none" w:sz="0" w:space="0" w:color="auto"/>
        <w:right w:val="none" w:sz="0" w:space="0" w:color="auto"/>
      </w:divBdr>
    </w:div>
    <w:div w:id="14439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SECRETARIA\Documentos%202010\Notas%20%20T&#233;cnicas\modelonotat&#233;cnica_201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8519-E71E-4F29-BEAF-013959C4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modelonotatécnica_2010</Template>
  <TotalTime>4</TotalTime>
  <Pages>7</Pages>
  <Words>2398</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PROJETO DE LEI</vt:lpstr>
    </vt:vector>
  </TitlesOfParts>
  <Company>Home</Company>
  <LinksUpToDate>false</LinksUpToDate>
  <CharactersWithSpaces>15321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creator>jlins</dc:creator>
  <cp:lastModifiedBy>gjacintho</cp:lastModifiedBy>
  <cp:revision>5</cp:revision>
  <cp:lastPrinted>2016-03-29T19:27:00Z</cp:lastPrinted>
  <dcterms:created xsi:type="dcterms:W3CDTF">2016-10-18T13:16:00Z</dcterms:created>
  <dcterms:modified xsi:type="dcterms:W3CDTF">2016-10-18T17:35:00Z</dcterms:modified>
</cp:coreProperties>
</file>