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31" w:rsidRPr="009E418B" w:rsidRDefault="00A42B31" w:rsidP="00D55C03">
      <w:pPr>
        <w:pStyle w:val="norma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26"/>
          <w:szCs w:val="26"/>
        </w:rPr>
      </w:pPr>
      <w:r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</w:rPr>
        <w:t xml:space="preserve">RESOLUÇÃO ANP Nº </w:t>
      </w:r>
      <w:r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  <w:highlight w:val="yellow"/>
        </w:rPr>
        <w:t>XX, DE XX.XX.</w:t>
      </w:r>
      <w:r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</w:rPr>
        <w:t>201</w:t>
      </w:r>
      <w:r w:rsidR="00EE6727"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</w:rPr>
        <w:t>6</w:t>
      </w:r>
      <w:r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</w:rPr>
        <w:t xml:space="preserve"> - DOU </w:t>
      </w:r>
      <w:r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  <w:highlight w:val="yellow"/>
        </w:rPr>
        <w:t>XX.XX.</w:t>
      </w:r>
      <w:r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</w:rPr>
        <w:t>201</w:t>
      </w:r>
      <w:r w:rsidR="00EE6727" w:rsidRPr="009E418B">
        <w:rPr>
          <w:rFonts w:ascii="Arial" w:hAnsi="Arial" w:cs="Arial"/>
          <w:b/>
          <w:bCs/>
          <w:color w:val="17365D" w:themeColor="text2" w:themeShade="BF"/>
          <w:sz w:val="26"/>
          <w:szCs w:val="26"/>
        </w:rPr>
        <w:t>6</w:t>
      </w: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 </w:t>
      </w: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A DIRETORA-GERAL da AGÊNCIA NACIONAL DO PETRÓLEO, GÁS NATURAL E BIOCOMBUSTÍVEIS - ANP, no uso das atribuições legais, tendo em vista as disposições da Lei nº</w:t>
      </w:r>
      <w:r w:rsidRPr="009E418B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6" w:history="1">
        <w:r w:rsidRPr="009E418B">
          <w:rPr>
            <w:rStyle w:val="Hyperlink"/>
            <w:rFonts w:ascii="Arial" w:hAnsi="Arial" w:cs="Arial"/>
            <w:i/>
            <w:iCs/>
            <w:color w:val="17365D" w:themeColor="text2" w:themeShade="BF"/>
            <w:sz w:val="20"/>
            <w:szCs w:val="20"/>
          </w:rPr>
          <w:t>9.478</w:t>
        </w:r>
      </w:hyperlink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, de 06 de agosto de 1997, e suas alterações, e com base na Reunião de Diretoria nº </w:t>
      </w:r>
      <w:r w:rsidR="00EE6727" w:rsidRPr="009E418B">
        <w:rPr>
          <w:rFonts w:ascii="Arial" w:hAnsi="Arial" w:cs="Arial"/>
          <w:color w:val="17365D" w:themeColor="text2" w:themeShade="BF"/>
          <w:sz w:val="20"/>
          <w:szCs w:val="20"/>
          <w:highlight w:val="yellow"/>
        </w:rPr>
        <w:t>xxx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, de </w:t>
      </w:r>
      <w:r w:rsidR="009A2469" w:rsidRPr="009E418B">
        <w:rPr>
          <w:rFonts w:ascii="Arial" w:hAnsi="Arial" w:cs="Arial"/>
          <w:color w:val="17365D" w:themeColor="text2" w:themeShade="BF"/>
          <w:sz w:val="20"/>
          <w:szCs w:val="20"/>
          <w:highlight w:val="yellow"/>
        </w:rPr>
        <w:t>xx</w:t>
      </w:r>
      <w:r w:rsidRPr="009E418B">
        <w:rPr>
          <w:rFonts w:ascii="Arial" w:hAnsi="Arial" w:cs="Arial"/>
          <w:color w:val="17365D" w:themeColor="text2" w:themeShade="BF"/>
          <w:sz w:val="20"/>
          <w:szCs w:val="20"/>
          <w:highlight w:val="yellow"/>
        </w:rPr>
        <w:t xml:space="preserve"> de </w:t>
      </w:r>
      <w:proofErr w:type="spellStart"/>
      <w:r w:rsidR="009A2469" w:rsidRPr="009E418B">
        <w:rPr>
          <w:rFonts w:ascii="Arial" w:hAnsi="Arial" w:cs="Arial"/>
          <w:color w:val="17365D" w:themeColor="text2" w:themeShade="BF"/>
          <w:sz w:val="20"/>
          <w:szCs w:val="20"/>
          <w:highlight w:val="yellow"/>
        </w:rPr>
        <w:t>xxxx</w:t>
      </w:r>
      <w:proofErr w:type="spellEnd"/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de 201</w:t>
      </w:r>
      <w:r w:rsidR="00EE6727" w:rsidRPr="009E418B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;</w:t>
      </w: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Considerando que compete à ANP implementar a política nacional do petróleo, gás natural e biocombustíveis, com ênfase na garantia do suprimento de derivados de petróleo, gás natural e seus derivados, e de biocombustíveis, em todo o território nacional, e na proteção dos interesses dos consumidores quanto a preço, qualidade e oferta de produtos;</w:t>
      </w: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Considerando a </w:t>
      </w:r>
      <w:r w:rsidR="009A2469" w:rsidRPr="009E418B">
        <w:rPr>
          <w:rFonts w:ascii="Arial" w:hAnsi="Arial" w:cs="Arial"/>
          <w:color w:val="17365D" w:themeColor="text2" w:themeShade="BF"/>
          <w:sz w:val="20"/>
          <w:szCs w:val="20"/>
        </w:rPr>
        <w:t>grande influência da qualidade do óleo básico no desempenho e características do lubrificante acabado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;</w:t>
      </w: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Considerando a necessidade de estabelecer as responsabilidades dos agentes de mercado envolvidos na produção, importação e comercialização de óleos básicos lubrificantes;</w:t>
      </w: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Considerando a necessidade de se regular o mercado de lubrificantes, promovendo no país a permanência de produtos e insumos adequad</w:t>
      </w:r>
      <w:r w:rsidR="009A2469" w:rsidRPr="009E418B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s ao consumidor brasileiro;</w:t>
      </w:r>
    </w:p>
    <w:p w:rsidR="009A2469" w:rsidRPr="009E418B" w:rsidRDefault="009A2469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</w:p>
    <w:p w:rsidR="00A42B31" w:rsidRPr="009E418B" w:rsidRDefault="00A42B31" w:rsidP="00D55C0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Resolve:</w:t>
      </w:r>
    </w:p>
    <w:p w:rsidR="00A42B31" w:rsidRDefault="00A42B31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1º. Fica estabelecido que a comercialização </w:t>
      </w:r>
      <w:r w:rsidR="00EF5CAF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no 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</w:t>
      </w:r>
      <w:r w:rsidR="00EF5CAF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aís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</w:t>
      </w:r>
      <w:r w:rsidR="005541D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óleos lubrificantes básicos </w:t>
      </w:r>
      <w:r w:rsidR="00427C6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de origem nacional e importados, de primeiro refino ou rerrefinados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427C6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0369F0" w:rsidRPr="00DF060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deverá observar as regras estabelecidas pela presente Resolução, o que inclui as especificações contidas no Anexo, parte integrante d</w:t>
      </w:r>
      <w:r w:rsidR="00DF0603" w:rsidRPr="00DF060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esta norma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</w:t>
      </w:r>
    </w:p>
    <w:p w:rsidR="00E24B12" w:rsidRDefault="0053697B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§</w:t>
      </w:r>
      <w:r w:rsidR="00427C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° </w:t>
      </w:r>
      <w:r w:rsidR="00F83E3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Estão dispensados de atender esta </w:t>
      </w:r>
      <w:r w:rsidR="00235C1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R</w:t>
      </w:r>
      <w:r w:rsidR="00235C15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esolução</w:t>
      </w:r>
      <w:r w:rsidR="000369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os</w:t>
      </w:r>
      <w:r w:rsidR="00F83E3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5D49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</w:t>
      </w:r>
      <w:r w:rsidR="00E3552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gentes econômicos que </w:t>
      </w:r>
      <w:r w:rsidR="000369F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produz</w:t>
      </w:r>
      <w:r w:rsidR="000369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</w:t>
      </w:r>
      <w:r w:rsidR="000369F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m </w:t>
      </w:r>
      <w:r w:rsidR="00E3552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ou </w:t>
      </w:r>
      <w:r w:rsidR="000369F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import</w:t>
      </w:r>
      <w:r w:rsidR="000369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am</w:t>
      </w:r>
      <w:r w:rsidR="000369F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E3552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óleos básicos </w:t>
      </w:r>
      <w:r w:rsidR="00E24B1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para formulação própria</w:t>
      </w:r>
      <w:r w:rsidR="00BD47C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 lubrificante acabado</w:t>
      </w:r>
      <w:r w:rsidR="00E24B1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</w:t>
      </w:r>
    </w:p>
    <w:p w:rsidR="00427C62" w:rsidRPr="009E418B" w:rsidRDefault="00427C62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§2°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Estão dispensados de atender esta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R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esolução</w:t>
      </w:r>
      <w:r w:rsidR="000369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os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gentes econômicos que </w:t>
      </w:r>
      <w:r w:rsidR="000369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comercializam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óleos básicos para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indústria que não </w:t>
      </w:r>
      <w:r w:rsidR="000369F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é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</w:t>
      </w:r>
      <w:r w:rsidR="00A6173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lubrificantes acabados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</w:t>
      </w:r>
    </w:p>
    <w:p w:rsidR="00F23F2F" w:rsidRDefault="00F23F2F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§3° </w:t>
      </w:r>
      <w:r w:rsidR="002A0AB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Somente estão abrangidos por esta </w:t>
      </w:r>
      <w:r w:rsidR="00235C1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R</w:t>
      </w:r>
      <w:r w:rsidR="00235C15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esolução</w:t>
      </w:r>
      <w:r w:rsidR="00235C1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2A0AB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os </w:t>
      </w:r>
      <w:r w:rsidR="00F848C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óleo</w:t>
      </w:r>
      <w:r w:rsidR="00E3552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="00F848C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básicos </w:t>
      </w:r>
      <w:r w:rsidR="00545AF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classificados nos </w:t>
      </w:r>
      <w:r w:rsidR="00495E9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G</w:t>
      </w:r>
      <w:r w:rsidR="00F848C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rupo</w:t>
      </w:r>
      <w:r w:rsidR="00545AF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="00F848C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2A0AB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I, II, III e </w:t>
      </w:r>
      <w:proofErr w:type="spellStart"/>
      <w:r w:rsidR="002A0AB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naftênicos</w:t>
      </w:r>
      <w:proofErr w:type="spellEnd"/>
      <w:r w:rsidR="00A543C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2A0AB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conforme </w:t>
      </w:r>
      <w:r w:rsidR="004813A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 a</w:t>
      </w:r>
      <w:r w:rsidR="002A0AB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rt. 2° desta </w:t>
      </w:r>
      <w:r w:rsidR="00E3552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Resolução.</w:t>
      </w:r>
    </w:p>
    <w:p w:rsidR="002A0AB3" w:rsidRPr="009E418B" w:rsidRDefault="002A0AB3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Art. 2º.</w:t>
      </w:r>
      <w:r w:rsidR="002F085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Para fins dessa Resolução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5541D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2F085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 óleos básicos devem ser classificados conforme</w:t>
      </w:r>
      <w:r w:rsidR="00A543C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os itens de </w:t>
      </w:r>
      <w:r w:rsidR="00C866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i a vi</w:t>
      </w:r>
      <w:r w:rsidR="00A543C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</w:t>
      </w:r>
    </w:p>
    <w:p w:rsidR="002A0AB3" w:rsidRPr="009E418B" w:rsidRDefault="002A0AB3" w:rsidP="00A543C4">
      <w:pPr>
        <w:pStyle w:val="texto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grupo I: teor de saturados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>menor que</w:t>
      </w:r>
      <w:r w:rsidR="00105AAD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90% (m/m), teor de enxofre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>maior que</w:t>
      </w:r>
      <w:r w:rsidR="00105AAD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0,03% (m/m) e índice de viscosidade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 xml:space="preserve">maior que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80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 xml:space="preserve">e menor ou igual a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120;</w:t>
      </w:r>
    </w:p>
    <w:p w:rsidR="002A0AB3" w:rsidRPr="009E418B" w:rsidRDefault="002A0AB3" w:rsidP="00A543C4">
      <w:pPr>
        <w:pStyle w:val="texto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grupo II: teor de saturados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>maior ou igual a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90% (m/m), teor de enxofre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 xml:space="preserve">menor ou igual a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0,03% e índice de viscosidade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 xml:space="preserve">maior que </w:t>
      </w:r>
      <w:r w:rsidR="00105AAD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80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 xml:space="preserve">e menor ou igual a </w:t>
      </w:r>
      <w:r w:rsidR="00105AAD" w:rsidRPr="009E418B">
        <w:rPr>
          <w:rFonts w:ascii="Arial" w:hAnsi="Arial" w:cs="Arial"/>
          <w:color w:val="17365D" w:themeColor="text2" w:themeShade="BF"/>
          <w:sz w:val="20"/>
          <w:szCs w:val="20"/>
        </w:rPr>
        <w:t>120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;</w:t>
      </w:r>
    </w:p>
    <w:p w:rsidR="002A0AB3" w:rsidRPr="009E418B" w:rsidRDefault="002A0AB3" w:rsidP="00A543C4">
      <w:pPr>
        <w:pStyle w:val="texto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grupo III: teor de saturados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>maior ou igual a</w:t>
      </w:r>
      <w:r w:rsidR="00105AAD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90% (m/m), teor de enxofre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>menor ou igual a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0,03% (m/m)</w:t>
      </w:r>
      <w:r w:rsidR="00F52EE1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e índice de viscosid</w:t>
      </w:r>
      <w:r w:rsidR="00BD47C1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ade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 xml:space="preserve">maior que </w:t>
      </w:r>
      <w:r w:rsidR="00BD47C1" w:rsidRPr="009E418B">
        <w:rPr>
          <w:rFonts w:ascii="Arial" w:hAnsi="Arial" w:cs="Arial"/>
          <w:color w:val="17365D" w:themeColor="text2" w:themeShade="BF"/>
          <w:sz w:val="20"/>
          <w:szCs w:val="20"/>
        </w:rPr>
        <w:t>120;</w:t>
      </w:r>
    </w:p>
    <w:p w:rsidR="00BD47C1" w:rsidRPr="009E418B" w:rsidRDefault="00BD47C1" w:rsidP="00A543C4">
      <w:pPr>
        <w:pStyle w:val="texto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grupo IV: todas as </w:t>
      </w:r>
      <w:proofErr w:type="spellStart"/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polialfaolefinas</w:t>
      </w:r>
      <w:proofErr w:type="spellEnd"/>
      <w:r w:rsidR="00B259A0">
        <w:rPr>
          <w:rFonts w:ascii="Arial" w:hAnsi="Arial" w:cs="Arial"/>
          <w:color w:val="17365D" w:themeColor="text2" w:themeShade="BF"/>
          <w:sz w:val="20"/>
          <w:szCs w:val="20"/>
        </w:rPr>
        <w:t xml:space="preserve">, inclusive as </w:t>
      </w:r>
      <w:proofErr w:type="spellStart"/>
      <w:r w:rsidR="00B259A0">
        <w:rPr>
          <w:rFonts w:ascii="Arial" w:hAnsi="Arial" w:cs="Arial"/>
          <w:color w:val="17365D" w:themeColor="text2" w:themeShade="BF"/>
          <w:sz w:val="20"/>
          <w:szCs w:val="20"/>
        </w:rPr>
        <w:t>polinternalfaolefinas</w:t>
      </w:r>
      <w:proofErr w:type="spellEnd"/>
      <w:r w:rsidR="00B259A0">
        <w:rPr>
          <w:rFonts w:ascii="Arial" w:hAnsi="Arial" w:cs="Arial"/>
          <w:color w:val="17365D" w:themeColor="text2" w:themeShade="BF"/>
          <w:sz w:val="20"/>
          <w:szCs w:val="20"/>
        </w:rPr>
        <w:t>;</w:t>
      </w:r>
    </w:p>
    <w:p w:rsidR="002A0AB3" w:rsidRPr="009E418B" w:rsidRDefault="002A0AB3" w:rsidP="00A543C4">
      <w:pPr>
        <w:pStyle w:val="PargrafodaLista"/>
        <w:numPr>
          <w:ilvl w:val="0"/>
          <w:numId w:val="2"/>
        </w:numPr>
        <w:ind w:left="709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naftênicos: óleo básico em que petróleo ou mistura de petróleos que lhe de</w:t>
      </w:r>
      <w:r w:rsidR="00A652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u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origem seja </w:t>
      </w:r>
      <w:r w:rsidR="0037327B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classificad</w:t>
      </w:r>
      <w:r w:rsidR="0037327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o(a)</w:t>
      </w:r>
      <w:r w:rsidR="0037327B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como </w:t>
      </w:r>
      <w:proofErr w:type="spellStart"/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naftênico</w:t>
      </w:r>
      <w:proofErr w:type="spellEnd"/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ou intermediário segundo </w:t>
      </w:r>
      <w:r w:rsidR="0037327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o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método UOP 375, ou sej</w:t>
      </w:r>
      <w:r w:rsidR="00BD47C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a, apresente </w:t>
      </w:r>
      <w:proofErr w:type="spellStart"/>
      <w:r w:rsidR="00BD47C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Kuop</w:t>
      </w:r>
      <w:proofErr w:type="spellEnd"/>
      <w:r w:rsidR="00105AA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maior que 10 e menor que</w:t>
      </w:r>
      <w:r w:rsidR="00BD47C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12,5;</w:t>
      </w:r>
    </w:p>
    <w:p w:rsidR="00BD47C1" w:rsidRPr="009E418B" w:rsidRDefault="00BD47C1" w:rsidP="00A543C4">
      <w:pPr>
        <w:pStyle w:val="PargrafodaLista"/>
        <w:numPr>
          <w:ilvl w:val="0"/>
          <w:numId w:val="2"/>
        </w:numPr>
        <w:ind w:left="709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grupo V: todos os demais óleos básicos.</w:t>
      </w:r>
    </w:p>
    <w:p w:rsidR="00C168E6" w:rsidRPr="009E418B" w:rsidRDefault="00C168E6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495E9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3°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Todo documento fiscal que acompanhe carga de óleo básico </w:t>
      </w:r>
      <w:r w:rsidR="00545AF2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comercializado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deve vir acompanhado </w:t>
      </w:r>
      <w:r w:rsidR="00495E9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de </w:t>
      </w:r>
      <w:r w:rsidR="007A067A" w:rsidRP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certificado de </w:t>
      </w:r>
      <w:r w:rsid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qualidade</w:t>
      </w:r>
      <w:r w:rsidR="00E86A78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legível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do produto.</w:t>
      </w:r>
    </w:p>
    <w:p w:rsidR="000120FA" w:rsidRPr="009E418B" w:rsidRDefault="00CE23F1" w:rsidP="00CE23F1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Art. 4° </w:t>
      </w:r>
      <w:r w:rsidR="000120FA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A documentação fiscal, inclusive o Documento Auxiliar da Nota Fiscal Eletrônica (DANFE), referente às operações de comercialização de óleo básico </w:t>
      </w:r>
      <w:r w:rsidR="00726E2A">
        <w:rPr>
          <w:rFonts w:ascii="Arial" w:hAnsi="Arial" w:cs="Arial"/>
          <w:color w:val="17365D" w:themeColor="text2" w:themeShade="BF"/>
          <w:sz w:val="20"/>
          <w:szCs w:val="20"/>
        </w:rPr>
        <w:t xml:space="preserve">definidas no </w:t>
      </w:r>
      <w:r w:rsidR="004813A6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4813A6" w:rsidRPr="009E418B">
        <w:rPr>
          <w:rFonts w:ascii="Arial" w:hAnsi="Arial" w:cs="Arial"/>
          <w:color w:val="17365D" w:themeColor="text2" w:themeShade="BF"/>
          <w:sz w:val="20"/>
          <w:szCs w:val="20"/>
        </w:rPr>
        <w:t>rt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. 1°</w:t>
      </w:r>
      <w:r w:rsidR="00BD47C1" w:rsidRPr="009E418B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120FA" w:rsidRPr="009E418B">
        <w:rPr>
          <w:rFonts w:ascii="Arial" w:hAnsi="Arial" w:cs="Arial"/>
          <w:color w:val="17365D" w:themeColor="text2" w:themeShade="BF"/>
          <w:sz w:val="20"/>
          <w:szCs w:val="20"/>
        </w:rPr>
        <w:t>deverá indicar o código e a descrição do produto estabelecido</w:t>
      </w:r>
      <w:r w:rsidR="00FE1773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0120FA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pela ANP, conforme legislação vigente, e o número do </w:t>
      </w:r>
      <w:r w:rsidR="00E86A78" w:rsidRPr="00E86A78">
        <w:rPr>
          <w:rFonts w:ascii="Arial" w:hAnsi="Arial" w:cs="Arial"/>
          <w:color w:val="17365D" w:themeColor="text2" w:themeShade="BF"/>
          <w:sz w:val="20"/>
          <w:szCs w:val="20"/>
        </w:rPr>
        <w:t xml:space="preserve">certificado </w:t>
      </w:r>
      <w:r w:rsidR="007A067A" w:rsidRPr="00E86A78">
        <w:rPr>
          <w:rFonts w:ascii="Arial" w:hAnsi="Arial" w:cs="Arial"/>
          <w:color w:val="17365D" w:themeColor="text2" w:themeShade="BF"/>
          <w:sz w:val="20"/>
          <w:szCs w:val="20"/>
        </w:rPr>
        <w:t xml:space="preserve">da </w:t>
      </w:r>
      <w:r w:rsidR="00E86A78" w:rsidRPr="00E86A78">
        <w:rPr>
          <w:rFonts w:ascii="Arial" w:hAnsi="Arial" w:cs="Arial"/>
          <w:color w:val="17365D" w:themeColor="text2" w:themeShade="BF"/>
          <w:sz w:val="20"/>
          <w:szCs w:val="20"/>
        </w:rPr>
        <w:t>qualidade</w:t>
      </w:r>
      <w:r w:rsidR="00E86A78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120FA" w:rsidRPr="009E418B">
        <w:rPr>
          <w:rFonts w:ascii="Arial" w:hAnsi="Arial" w:cs="Arial"/>
          <w:color w:val="17365D" w:themeColor="text2" w:themeShade="BF"/>
          <w:sz w:val="20"/>
          <w:szCs w:val="20"/>
        </w:rPr>
        <w:t>correspondente ao produto</w:t>
      </w:r>
      <w:r w:rsidR="008B16BC">
        <w:rPr>
          <w:rFonts w:ascii="Arial" w:hAnsi="Arial" w:cs="Arial"/>
          <w:color w:val="17365D" w:themeColor="text2" w:themeShade="BF"/>
          <w:sz w:val="20"/>
          <w:szCs w:val="20"/>
        </w:rPr>
        <w:t xml:space="preserve"> no campo de observação</w:t>
      </w:r>
      <w:r w:rsidR="000120FA" w:rsidRPr="009E418B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0120FA" w:rsidRDefault="000120FA" w:rsidP="00CE23F1">
      <w:pPr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lastRenderedPageBreak/>
        <w:t xml:space="preserve">Art. 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5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º. O </w:t>
      </w:r>
      <w:r w:rsidR="00E86A78" w:rsidRP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certificado </w:t>
      </w:r>
      <w:r w:rsidR="007A067A" w:rsidRP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da </w:t>
      </w:r>
      <w:r w:rsidR="00E86A78" w:rsidRP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qualidade</w:t>
      </w:r>
      <w:r w:rsidR="00E86A78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deverá ser mantido </w:t>
      </w:r>
      <w:r w:rsidR="000A3FD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à</w:t>
      </w:r>
      <w:r w:rsidR="000A3FDA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disposição da ANP pelo agente que comercializou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 óleo básico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 para qualquer verificação julgada necessária, por um período mínimo de 12 (doze) meses, contados a partir da data de sua comercialização.</w:t>
      </w:r>
    </w:p>
    <w:p w:rsidR="00F46EB3" w:rsidRDefault="007A067A" w:rsidP="00CE23F1">
      <w:pPr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Art. 6°.</w:t>
      </w:r>
      <w:r w:rsidR="00F46E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Nos casos em que o </w:t>
      </w:r>
      <w:r w:rsidR="00105AA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produtor/importador</w:t>
      </w:r>
      <w:r w:rsidR="00F46E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alterar 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 </w:t>
      </w:r>
      <w:r w:rsidR="00F46E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especificação de 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um </w:t>
      </w:r>
      <w:r w:rsidR="00F46E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produto, onde lhe caiba definir valores, a ANP deverá ser informada imediatamente por carta registrada.</w:t>
      </w:r>
    </w:p>
    <w:p w:rsidR="00A543C4" w:rsidRPr="009E418B" w:rsidRDefault="00A543C4" w:rsidP="00A543C4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7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° Todo corte de óleo básico comercializado deve ter sua origem (refinaria e país) informada ao comprador,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em seu </w:t>
      </w:r>
      <w:r w:rsidR="007A067A" w:rsidRP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certificado de </w:t>
      </w:r>
      <w:r w:rsidR="00E86A7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qualidade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para fins de atendimento às regras internacionais de intercambiabilidade de óleo básico da indústria.</w:t>
      </w:r>
    </w:p>
    <w:p w:rsidR="00495E93" w:rsidRDefault="00495E93" w:rsidP="00F52EE1">
      <w:pPr>
        <w:spacing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F450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8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° É vedada a </w:t>
      </w:r>
      <w:r w:rsidR="009F4519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adição de </w:t>
      </w:r>
      <w:r w:rsidR="00D55C0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polímeros</w:t>
      </w:r>
      <w:r w:rsidR="00750D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750D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ou</w:t>
      </w:r>
      <w:r w:rsidR="00750D98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quaisquer outros aditivos</w:t>
      </w:r>
      <w:r w:rsidR="00750D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ao óleo básico a ser comercializado.</w:t>
      </w:r>
    </w:p>
    <w:p w:rsidR="00B03186" w:rsidRPr="009E418B" w:rsidRDefault="00B03186" w:rsidP="00F52EE1">
      <w:pPr>
        <w:spacing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F450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9</w:t>
      </w:r>
      <w:r w:rsidR="00F4506E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º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.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É </w:t>
      </w:r>
      <w:r w:rsidRPr="00B031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vedada a comercialização dos óleos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básicos </w:t>
      </w:r>
      <w:r w:rsidRPr="00B031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que não se enquadrem nas especificações estabelecidas no Anexo, parte integrante desta Resolução.</w:t>
      </w:r>
    </w:p>
    <w:p w:rsidR="00A543C4" w:rsidRPr="009E418B" w:rsidRDefault="008B16BC" w:rsidP="00A543C4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Art</w:t>
      </w:r>
      <w:proofErr w:type="spellEnd"/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10.</w:t>
      </w:r>
      <w:r w:rsidR="00A543C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A comercialização de óleos lubrificantes básicos, com faixas de viscosidade diferentes das estabelecidas n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as tabelas </w:t>
      </w:r>
      <w:r w:rsidR="00CB4E8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I e II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do Anexo</w:t>
      </w:r>
      <w:r w:rsidR="00A543C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, poderá ser realizada mediante acordo por escrito entre 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as partes</w:t>
      </w:r>
      <w:r w:rsidR="00750D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. A comercialização é vedada nos casos em que se </w:t>
      </w:r>
      <w:r w:rsidR="005D49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atinja a faixa de viscosidade de outro corte</w:t>
      </w:r>
      <w:r w:rsidR="005D496E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5D49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e </w:t>
      </w:r>
      <w:r w:rsidR="00A846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não 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sejam atendidas</w:t>
      </w:r>
      <w:r w:rsidR="00B7074D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A543C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as demais especificações.</w:t>
      </w:r>
    </w:p>
    <w:p w:rsidR="00F23F2F" w:rsidRDefault="00F23F2F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11</w:t>
      </w:r>
      <w:r w:rsidR="00A22C5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A ANP poderá, a qualquer tempo, solicitar ao</w:t>
      </w:r>
      <w:r w:rsidR="00EF5CA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s agentes envolvidos na comercialização </w:t>
      </w:r>
      <w:r w:rsidR="00C168E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de óleo básico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amostras, documentos</w:t>
      </w:r>
      <w:r w:rsidR="00C168E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 laudos de análise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e demais informações a respeito dos óleos básicos</w:t>
      </w:r>
      <w:r w:rsidR="00374058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e seus insumos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, 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os quais</w:t>
      </w:r>
      <w:r w:rsidR="00B7074D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deverão ser </w:t>
      </w:r>
      <w:r w:rsidR="00B7074D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enviad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</w:t>
      </w:r>
      <w:r w:rsidR="00B7074D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s 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no</w:t>
      </w:r>
      <w:r w:rsidR="00B7074D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CB4E8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prazo definido 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no ato de comunicação</w:t>
      </w:r>
      <w:r w:rsidR="00CB4E80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</w:t>
      </w:r>
    </w:p>
    <w:p w:rsidR="00B7074D" w:rsidRDefault="00DE6BE7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12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. </w:t>
      </w:r>
      <w:r w:rsidR="008B16BC" w:rsidRP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Os funcionários da ANP e de órgãos conveniados devidamente identificados</w:t>
      </w:r>
      <w:r w:rsidR="00B7074D">
        <w:rPr>
          <w:rFonts w:ascii="Arial" w:hAnsi="Arial" w:cs="Arial"/>
          <w:sz w:val="19"/>
          <w:szCs w:val="19"/>
        </w:rPr>
        <w:t xml:space="preserve">, </w:t>
      </w:r>
      <w:r w:rsidR="00B7074D" w:rsidRPr="00DF060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no exercício da atividade de fiscalização, </w:t>
      </w:r>
      <w:r w:rsidR="008B16BC" w:rsidRP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terão livre acesso às instalações do produtor ou importador de óleo básico.</w:t>
      </w:r>
    </w:p>
    <w:p w:rsidR="00DE6BE7" w:rsidRPr="009E418B" w:rsidRDefault="00DE6BE7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13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 O não atendimento ao disposto nesta Resolução sujeita os infratores às penalidades previstas na Lei nº 9.847, de 26 de outubro de 1999</w:t>
      </w:r>
      <w:r w:rsidR="00B7074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e no Decreto nº 2.953, de 28 de janeiro de 1999, sem prejuízo das demais sanções cabíveis.</w:t>
      </w:r>
    </w:p>
    <w:p w:rsidR="00DE6BE7" w:rsidRPr="009E418B" w:rsidRDefault="00DE6BE7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14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 Os casos não previstos nesta Resolução serão objeto de análise e deliberação da ANP.</w:t>
      </w:r>
    </w:p>
    <w:p w:rsidR="00DE6BE7" w:rsidRPr="009E418B" w:rsidRDefault="00DE6BE7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Art. </w:t>
      </w:r>
      <w:r w:rsidR="008B16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15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. Esta Resolução entra em vigor </w:t>
      </w:r>
      <w:r w:rsidR="005541DC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180</w:t>
      </w:r>
      <w:r w:rsidR="00EE6727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dias após a data de 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sua publicação, quando </w:t>
      </w:r>
      <w:r w:rsidR="002E42B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se</w:t>
      </w:r>
      <w:r w:rsidR="002E42B4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rão 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revogadas a Portaria ANP nº 129, de </w:t>
      </w:r>
      <w:r w:rsidR="00145AEE" w:rsidRPr="00145AE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30</w:t>
      </w:r>
      <w:r w:rsidR="00CE23F1" w:rsidRPr="00145AE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 </w:t>
      </w:r>
      <w:r w:rsidR="00145AEE" w:rsidRPr="00145AE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julho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 1.999, e a Portaria ANP n° 130, de </w:t>
      </w:r>
      <w:r w:rsidR="00145AEE" w:rsidRPr="00145AE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30 de julho</w:t>
      </w:r>
      <w:r w:rsidR="00145AEE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CE23F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de 1.999.</w:t>
      </w:r>
    </w:p>
    <w:p w:rsidR="007A24AE" w:rsidRPr="009E418B" w:rsidRDefault="007A24AE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7A24AE" w:rsidRPr="009E418B" w:rsidRDefault="007A24AE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MAGDA MARIA DE REGINA CHAMBRIARD</w:t>
      </w:r>
    </w:p>
    <w:p w:rsidR="009856CA" w:rsidRPr="009E418B" w:rsidRDefault="00681EC6">
      <w:pP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br w:type="page"/>
      </w:r>
    </w:p>
    <w:p w:rsidR="00250BA0" w:rsidRPr="009E418B" w:rsidRDefault="00681EC6" w:rsidP="00C96F3F">
      <w:pPr>
        <w:jc w:val="center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lastRenderedPageBreak/>
        <w:t>ANEXO</w:t>
      </w:r>
    </w:p>
    <w:p w:rsidR="007A24AE" w:rsidRPr="009E418B" w:rsidRDefault="007A24AE" w:rsidP="00C96F3F">
      <w:pPr>
        <w:jc w:val="center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9856CA" w:rsidRPr="009E418B" w:rsidRDefault="009856CA" w:rsidP="009856CA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1. Objetivo</w:t>
      </w:r>
    </w:p>
    <w:p w:rsidR="00105AAD" w:rsidRDefault="009856CA" w:rsidP="009856CA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Este Anexo </w:t>
      </w:r>
      <w:r w:rsidR="0029126D">
        <w:rPr>
          <w:rFonts w:ascii="Arial" w:hAnsi="Arial" w:cs="Arial"/>
          <w:color w:val="17365D" w:themeColor="text2" w:themeShade="BF"/>
          <w:sz w:val="20"/>
          <w:szCs w:val="20"/>
        </w:rPr>
        <w:t xml:space="preserve">se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aplica aos óleos </w:t>
      </w:r>
      <w:r w:rsidR="007A24AE" w:rsidRPr="009E418B">
        <w:rPr>
          <w:rFonts w:ascii="Arial" w:hAnsi="Arial" w:cs="Arial"/>
          <w:color w:val="17365D" w:themeColor="text2" w:themeShade="BF"/>
          <w:sz w:val="20"/>
          <w:szCs w:val="20"/>
        </w:rPr>
        <w:t>básicos de origem nacional e importados, de primeiro refino ou rerrefinados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B851A1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dos Grupos I, II, III e </w:t>
      </w:r>
      <w:r w:rsidR="00401124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os </w:t>
      </w:r>
      <w:proofErr w:type="spellStart"/>
      <w:r w:rsidR="00B851A1" w:rsidRPr="009E418B">
        <w:rPr>
          <w:rFonts w:ascii="Arial" w:hAnsi="Arial" w:cs="Arial"/>
          <w:color w:val="17365D" w:themeColor="text2" w:themeShade="BF"/>
          <w:sz w:val="20"/>
          <w:szCs w:val="20"/>
        </w:rPr>
        <w:t>naftênicos</w:t>
      </w:r>
      <w:proofErr w:type="spellEnd"/>
      <w:r w:rsidR="00401124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, quando </w:t>
      </w:r>
      <w:r w:rsidR="00105AAD">
        <w:rPr>
          <w:rFonts w:ascii="Arial" w:hAnsi="Arial" w:cs="Arial"/>
          <w:color w:val="17365D" w:themeColor="text2" w:themeShade="BF"/>
          <w:sz w:val="20"/>
          <w:szCs w:val="20"/>
        </w:rPr>
        <w:t>se aplicarem as condições do art. 1° desta Resolução.</w:t>
      </w:r>
    </w:p>
    <w:p w:rsidR="009856CA" w:rsidRPr="009E418B" w:rsidRDefault="009856CA" w:rsidP="009856CA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2. Normas aplicáveis</w:t>
      </w:r>
    </w:p>
    <w:p w:rsidR="009856CA" w:rsidRPr="009E418B" w:rsidRDefault="009856CA" w:rsidP="009856CA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A determinação das características dos produtos será realizada mediante o emprego de normas </w:t>
      </w:r>
      <w:r w:rsidR="00981B0C">
        <w:rPr>
          <w:rFonts w:ascii="Arial" w:hAnsi="Arial" w:cs="Arial"/>
          <w:color w:val="17365D" w:themeColor="text2" w:themeShade="BF"/>
          <w:sz w:val="20"/>
          <w:szCs w:val="20"/>
        </w:rPr>
        <w:t>b</w:t>
      </w:r>
      <w:r w:rsidR="00981B0C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rasileiras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(NBR) da Associação Brasileira de Normas Técnicas (ABNT)</w:t>
      </w:r>
      <w:r w:rsidR="00B36026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e das normas internacionais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ASTM </w:t>
      </w:r>
      <w:proofErr w:type="spellStart"/>
      <w:r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International</w:t>
      </w:r>
      <w:proofErr w:type="spellEnd"/>
      <w:r w:rsidR="00331ED6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,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Co-ordinating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European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Council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(</w:t>
      </w:r>
      <w:r w:rsidR="000A7847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CEC</w:t>
      </w:r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)</w:t>
      </w:r>
      <w:r w:rsidR="00331ED6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,</w:t>
      </w:r>
      <w:r w:rsidR="000A7847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International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Petroleum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Test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Methods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(</w:t>
      </w:r>
      <w:r w:rsidR="000A7847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IP</w:t>
      </w:r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), </w:t>
      </w:r>
      <w:r w:rsidR="00AD19E3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Deutsches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Institut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für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Normung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(</w:t>
      </w:r>
      <w:r w:rsidR="00AD19E3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DIN</w:t>
      </w:r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),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National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  <w:proofErr w:type="spellStart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Aerospace</w:t>
      </w:r>
      <w:proofErr w:type="spellEnd"/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Standards (</w:t>
      </w:r>
      <w:r w:rsidR="00AD19E3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NAS</w:t>
      </w:r>
      <w:r w:rsidR="00F82D94" w:rsidRPr="009E418B">
        <w:rPr>
          <w:rFonts w:ascii="Arial" w:hAnsi="Arial" w:cs="Arial"/>
          <w:i/>
          <w:color w:val="17365D" w:themeColor="text2" w:themeShade="BF"/>
          <w:sz w:val="20"/>
          <w:szCs w:val="20"/>
        </w:rPr>
        <w:t>).</w:t>
      </w:r>
    </w:p>
    <w:p w:rsidR="009856CA" w:rsidRPr="009E418B" w:rsidRDefault="009856CA" w:rsidP="009856CA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Os dados de precisão, </w:t>
      </w:r>
      <w:proofErr w:type="spellStart"/>
      <w:r w:rsidR="00352250">
        <w:rPr>
          <w:rFonts w:ascii="Arial" w:hAnsi="Arial" w:cs="Arial"/>
          <w:color w:val="17365D" w:themeColor="text2" w:themeShade="BF"/>
          <w:sz w:val="20"/>
          <w:szCs w:val="20"/>
        </w:rPr>
        <w:t>repetibilidade</w:t>
      </w:r>
      <w:proofErr w:type="spellEnd"/>
      <w:r w:rsidR="00352250"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>e reprodutibilidade, fornecidos nos métodos relacionados abaixo devem ser usados somente como guia para aceitação das determinações em duplicata do ensaio e não devem ser considerados como tolerância aplicada aos limites especificados neste Regulamento.</w:t>
      </w:r>
    </w:p>
    <w:p w:rsidR="009856CA" w:rsidRPr="009E418B" w:rsidRDefault="009856CA" w:rsidP="009856CA">
      <w:pPr>
        <w:pStyle w:val="NormalWeb"/>
        <w:shd w:val="clear" w:color="auto" w:fill="FFFFFF"/>
        <w:spacing w:before="0" w:beforeAutospacing="0" w:after="240" w:afterAutospacing="0" w:line="273" w:lineRule="atLeast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As características incluídas nas Tabelas </w:t>
      </w:r>
      <w:r w:rsidR="00091140" w:rsidRPr="009E418B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e </w:t>
      </w:r>
      <w:r w:rsidR="00091140" w:rsidRPr="009E418B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Pr="009E418B">
        <w:rPr>
          <w:rFonts w:ascii="Arial" w:hAnsi="Arial" w:cs="Arial"/>
          <w:color w:val="17365D" w:themeColor="text2" w:themeShade="BF"/>
          <w:sz w:val="20"/>
          <w:szCs w:val="20"/>
        </w:rPr>
        <w:t xml:space="preserve"> deverão ser determinadas de acordo com a publicação mais recente </w:t>
      </w:r>
      <w:r w:rsidR="00401124" w:rsidRPr="009E418B">
        <w:rPr>
          <w:rFonts w:ascii="Arial" w:hAnsi="Arial" w:cs="Arial"/>
          <w:color w:val="17365D" w:themeColor="text2" w:themeShade="BF"/>
          <w:sz w:val="20"/>
          <w:szCs w:val="20"/>
        </w:rPr>
        <w:t>dos métodos de ensaio indicados.</w:t>
      </w:r>
    </w:p>
    <w:p w:rsidR="00D075C8" w:rsidRPr="009E418B" w:rsidRDefault="00401124" w:rsidP="00401124">
      <w:pPr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Além dos valores limites estabelecidos nas tabelas 1 e 2, nas características onde constam </w:t>
      </w:r>
      <w:r w:rsidR="007B31E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os termos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Especificar, Anotar</w:t>
      </w:r>
      <w:r w:rsidR="007B31E1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e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Valor típico, caberá ao </w:t>
      </w:r>
      <w:r w:rsidR="00105AA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produtor/importador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definir, mensurar e informar o valor </w:t>
      </w:r>
      <w:r w:rsidR="00AD19E3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ou faixa </w:t>
      </w:r>
      <w:r w:rsidR="00D075C8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no certificado, conforme as seguintes definições:</w:t>
      </w:r>
    </w:p>
    <w:p w:rsidR="00E97016" w:rsidRPr="00A10155" w:rsidRDefault="001C18B5" w:rsidP="00DF0603">
      <w:pPr>
        <w:pStyle w:val="PargrafodaLista"/>
        <w:numPr>
          <w:ilvl w:val="0"/>
          <w:numId w:val="7"/>
        </w:numPr>
        <w:ind w:left="284" w:hanging="284"/>
        <w:jc w:val="both"/>
        <w:rPr>
          <w:lang w:eastAsia="pt-B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</w:t>
      </w:r>
      <w:r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specificar 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- deverão ser especificados valores máximos, mínimos ou faixas, a depender  da característica. Ter um valor especificado não necessariamente implica em mensurar de forma direta aquela propriedade a cada batelada, desde que o produtor tenha realizado estudo estatístico para avaliar a flutuação daquele parâmetro em seu processo. Independente da medição ou não da característica, o produtor, ao especificar, garante que seu produto cumpre aquele requisito.</w:t>
      </w:r>
    </w:p>
    <w:p w:rsidR="00A10155" w:rsidRDefault="00A10155" w:rsidP="00A10155">
      <w:pPr>
        <w:pStyle w:val="PargrafodaLista"/>
        <w:ind w:left="284"/>
        <w:rPr>
          <w:lang w:eastAsia="pt-BR"/>
        </w:rPr>
      </w:pPr>
    </w:p>
    <w:p w:rsidR="00E97016" w:rsidRPr="00A10155" w:rsidRDefault="001C18B5">
      <w:pPr>
        <w:pStyle w:val="PargrafodaLista"/>
        <w:numPr>
          <w:ilvl w:val="0"/>
          <w:numId w:val="7"/>
        </w:numPr>
        <w:ind w:left="284" w:hanging="284"/>
        <w:rPr>
          <w:lang w:eastAsia="pt-B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</w:t>
      </w:r>
      <w:r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notar 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- deverá ser realizada análise da característica a cada batelada, embora não estejam definidos valores limites.</w:t>
      </w:r>
    </w:p>
    <w:p w:rsidR="00A10155" w:rsidRDefault="00A10155" w:rsidP="00A10155">
      <w:pPr>
        <w:pStyle w:val="PargrafodaLista"/>
        <w:ind w:left="284"/>
        <w:rPr>
          <w:lang w:eastAsia="pt-BR"/>
        </w:rPr>
      </w:pPr>
    </w:p>
    <w:p w:rsidR="00E97016" w:rsidRDefault="001C18B5">
      <w:pPr>
        <w:pStyle w:val="PargrafodaLista"/>
        <w:numPr>
          <w:ilvl w:val="0"/>
          <w:numId w:val="7"/>
        </w:numPr>
        <w:spacing w:after="240"/>
        <w:ind w:left="284" w:hanging="284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v</w:t>
      </w:r>
      <w:r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alor 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típico - dever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ão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ser informado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valor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es típicos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ou faixa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 a depender da característica e de critério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definido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pelo produtor. Ter um 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v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alor típico não necessariamente implica em mensurar de forma direta aquela propriedade a cada batelada, sendo desejável que o produtor tenha realizado estudo estatístico para avaliar a flutuação daquele parâmetro em seu processo. Esse termo apenas indica ao comprador sobre determinada característica do produto, não havendo garantias por parte do produtor que toda amostra atenda o valor típico reportado. Ao lado do valor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ou faixa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informado no certificado de análise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="00EE476A" w:rsidRPr="00EE476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deverá constar o termo "típico".</w:t>
      </w:r>
    </w:p>
    <w:p w:rsidR="00AD19E3" w:rsidRPr="009E418B" w:rsidRDefault="00AD19E3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AD19E3" w:rsidRDefault="00AD19E3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A10155" w:rsidRDefault="00A10155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A10155" w:rsidRDefault="00A10155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A10155" w:rsidRDefault="00A10155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A10155" w:rsidRDefault="00A10155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A10155" w:rsidRPr="009E418B" w:rsidRDefault="00A10155" w:rsidP="00AD19E3">
      <w:pPr>
        <w:pStyle w:val="PargrafodaLista"/>
        <w:spacing w:after="24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F0008B" w:rsidRPr="009E418B" w:rsidRDefault="00F0008B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lastRenderedPageBreak/>
        <w:t xml:space="preserve">Tabela </w:t>
      </w:r>
      <w:r w:rsidR="009856CA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1</w:t>
      </w:r>
      <w:r w:rsidR="00B3602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. Especificações para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os óleos básicos </w:t>
      </w:r>
      <w:r w:rsidR="00B3602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do 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G</w:t>
      </w:r>
      <w:r w:rsidR="00B3602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rupo I e naftênicos,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de primeiro refino</w:t>
      </w:r>
      <w:r w:rsidR="00B3602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,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e </w:t>
      </w:r>
      <w:r w:rsidR="00B36026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para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os óleos básicos do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G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rupo</w:t>
      </w:r>
      <w:r w:rsidR="005F53B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s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II e III, de primeiro refino ou rerrefinados.</w:t>
      </w:r>
    </w:p>
    <w:tbl>
      <w:tblPr>
        <w:tblW w:w="9996" w:type="dxa"/>
        <w:tblInd w:w="-42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97"/>
        <w:gridCol w:w="1134"/>
        <w:gridCol w:w="1134"/>
        <w:gridCol w:w="1065"/>
        <w:gridCol w:w="1010"/>
        <w:gridCol w:w="868"/>
        <w:gridCol w:w="2588"/>
      </w:tblGrid>
      <w:tr w:rsidR="00091140" w:rsidRPr="009E418B" w:rsidTr="00B36026">
        <w:trPr>
          <w:trHeight w:val="407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CARACTERÍSTICA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Óleo lubrificante básico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Método</w:t>
            </w:r>
          </w:p>
        </w:tc>
      </w:tr>
      <w:tr w:rsidR="00091140" w:rsidRPr="009E418B" w:rsidTr="00B36026">
        <w:trPr>
          <w:trHeight w:val="412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Grupo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Grupo II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Grupo III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Naftênico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</w:p>
        </w:tc>
        <w:tc>
          <w:tcPr>
            <w:tcW w:w="2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</w:p>
        </w:tc>
      </w:tr>
      <w:tr w:rsidR="00091140" w:rsidRPr="009E418B" w:rsidTr="00B36026">
        <w:trPr>
          <w:trHeight w:val="28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1. Aparência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visual</w:t>
            </w:r>
          </w:p>
        </w:tc>
      </w:tr>
      <w:tr w:rsidR="00091140" w:rsidRPr="009E418B" w:rsidTr="00B36026">
        <w:trPr>
          <w:trHeight w:val="57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2. Cor ASTM</w:t>
            </w:r>
            <w:r w:rsid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1500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6045</w:t>
            </w:r>
          </w:p>
        </w:tc>
      </w:tr>
      <w:tr w:rsidR="00091140" w:rsidRPr="009E418B" w:rsidTr="00B36026">
        <w:trPr>
          <w:trHeight w:val="28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3. Massa específica a 20°C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kg/m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3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ou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kg/l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D1298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D4052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7148</w:t>
            </w:r>
          </w:p>
        </w:tc>
      </w:tr>
      <w:tr w:rsidR="00091140" w:rsidRPr="009E418B" w:rsidTr="00B36026">
        <w:trPr>
          <w:trHeight w:val="60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33479B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4. Viscosidade cinemática a 40°C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cSt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10441</w:t>
            </w:r>
          </w:p>
          <w:p w:rsidR="00091140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445</w:t>
            </w:r>
          </w:p>
          <w:p w:rsidR="006127AE" w:rsidRPr="009E418B" w:rsidRDefault="006127AE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D7042</w:t>
            </w:r>
          </w:p>
        </w:tc>
      </w:tr>
      <w:tr w:rsidR="00091140" w:rsidRPr="009E418B" w:rsidTr="00B36026">
        <w:trPr>
          <w:trHeight w:val="573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5. Viscosidade cinemática a 100°C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notar/ 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cSt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10441</w:t>
            </w:r>
          </w:p>
          <w:p w:rsidR="00091140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445</w:t>
            </w:r>
          </w:p>
          <w:p w:rsidR="006127AE" w:rsidRPr="009E418B" w:rsidRDefault="006127AE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D7042</w:t>
            </w:r>
          </w:p>
        </w:tc>
      </w:tr>
      <w:tr w:rsidR="00091140" w:rsidRPr="009E418B" w:rsidTr="00B36026">
        <w:trPr>
          <w:trHeight w:val="6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6. Índice de Viscosidade</w:t>
            </w:r>
            <w:r w:rsid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14358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2270</w:t>
            </w:r>
          </w:p>
        </w:tc>
      </w:tr>
      <w:tr w:rsidR="00091140" w:rsidRPr="009E418B" w:rsidTr="00B36026">
        <w:trPr>
          <w:trHeight w:val="419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9E418B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7. Viscosidade CCS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  <w:r w:rsidR="0033479B" w:rsidRPr="0033479B">
              <w:rPr>
                <w:rFonts w:ascii="Calibri" w:eastAsia="Times New Roman" w:hAnsi="Calibri" w:cs="Times New Roman"/>
                <w:b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proofErr w:type="spellStart"/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cP</w:t>
            </w:r>
            <w:proofErr w:type="spellEnd"/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°C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D5293</w:t>
            </w:r>
          </w:p>
        </w:tc>
      </w:tr>
      <w:tr w:rsidR="00091140" w:rsidRPr="009E418B" w:rsidTr="00B36026">
        <w:trPr>
          <w:trHeight w:val="553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8. Ponto de Fulgor</w:t>
            </w:r>
            <w:r w:rsid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mín.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°C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11341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92</w:t>
            </w:r>
          </w:p>
        </w:tc>
      </w:tr>
      <w:tr w:rsidR="00091140" w:rsidRPr="009E418B" w:rsidTr="00B36026">
        <w:trPr>
          <w:trHeight w:val="56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9. Volatilidade - NOACK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  <w:r w:rsidR="0033479B" w:rsidRPr="0033479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  <w:r w:rsidR="0033479B" w:rsidRPr="0033479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  <w:r w:rsidR="0033479B" w:rsidRPr="0033479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B3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>NBR 14157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>DIN 51581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>ASTM D5800 B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val="en-US" w:eastAsia="pt-BR"/>
              </w:rPr>
              <w:t>ASTM D5800 C</w:t>
            </w:r>
          </w:p>
        </w:tc>
      </w:tr>
      <w:tr w:rsidR="00091140" w:rsidRPr="009E418B" w:rsidTr="00B36026">
        <w:trPr>
          <w:trHeight w:val="55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10. Ponto de Fluidez</w:t>
            </w:r>
            <w:r w:rsidR="00145AEE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°C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B3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11349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97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D5950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D6749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D7346</w:t>
            </w:r>
          </w:p>
        </w:tc>
      </w:tr>
      <w:tr w:rsidR="00091140" w:rsidRPr="009E418B" w:rsidTr="00B36026">
        <w:trPr>
          <w:trHeight w:val="563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11. Índice de Acidez</w:t>
            </w:r>
            <w:r w:rsidR="00145AEE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mg KOH/g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14248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974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D664</w:t>
            </w:r>
          </w:p>
        </w:tc>
      </w:tr>
      <w:tr w:rsidR="00091140" w:rsidRPr="009E418B" w:rsidTr="00B36026">
        <w:trPr>
          <w:trHeight w:val="557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12. Corrosividade ao cobre, 3 h a 100°C</w:t>
            </w:r>
            <w:r w:rsidR="00145AEE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14359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130</w:t>
            </w:r>
          </w:p>
        </w:tc>
      </w:tr>
      <w:tr w:rsidR="00091140" w:rsidRPr="009E418B" w:rsidTr="00B36026">
        <w:trPr>
          <w:trHeight w:val="559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13. Resíduo de Carbono Ramsbottom</w:t>
            </w:r>
            <w:r w:rsidR="00145AEE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specificar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14318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 524</w:t>
            </w:r>
          </w:p>
        </w:tc>
      </w:tr>
      <w:tr w:rsidR="00091140" w:rsidRPr="009E418B" w:rsidTr="00B36026">
        <w:trPr>
          <w:trHeight w:val="57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14. Teor de enxofre</w:t>
            </w:r>
            <w:r w:rsidR="00145AEE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valor típico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B360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D4951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14786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D2622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D4294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14533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D6481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D2622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D5185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D1552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D3120</w:t>
            </w:r>
            <w:r w:rsidR="00B36026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D4927</w:t>
            </w:r>
          </w:p>
        </w:tc>
      </w:tr>
      <w:tr w:rsidR="00091140" w:rsidRPr="009E418B" w:rsidTr="00B36026">
        <w:trPr>
          <w:trHeight w:val="489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145AEE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15. Teor de saturados</w:t>
            </w:r>
            <w:r w:rsidR="00145AEE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mín.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especificar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especificar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especificar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D7419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D2007</w:t>
            </w:r>
          </w:p>
        </w:tc>
      </w:tr>
      <w:tr w:rsidR="00091140" w:rsidRPr="009E418B" w:rsidTr="00B36026">
        <w:trPr>
          <w:trHeight w:val="412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16. Extrato em DMSO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IP 346</w:t>
            </w:r>
          </w:p>
        </w:tc>
      </w:tr>
      <w:tr w:rsidR="00091140" w:rsidRPr="009E418B" w:rsidTr="00B36026">
        <w:trPr>
          <w:trHeight w:val="56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17. Demulsibilidade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ml (min)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14172</w:t>
            </w:r>
          </w:p>
          <w:p w:rsidR="00091140" w:rsidRPr="009E418B" w:rsidRDefault="00091140" w:rsidP="00D07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D1401</w:t>
            </w:r>
          </w:p>
        </w:tc>
      </w:tr>
      <w:tr w:rsidR="00091140" w:rsidRPr="009E418B" w:rsidTr="00B36026">
        <w:trPr>
          <w:trHeight w:val="560"/>
        </w:trPr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D075C8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Notas</w:t>
            </w:r>
          </w:p>
          <w:p w:rsidR="0033479B" w:rsidRDefault="0033479B" w:rsidP="0033479B">
            <w:pPr>
              <w:spacing w:after="0"/>
              <w:rPr>
                <w:sz w:val="18"/>
                <w:szCs w:val="18"/>
              </w:rPr>
            </w:pPr>
          </w:p>
          <w:p w:rsidR="0033479B" w:rsidRDefault="0033479B" w:rsidP="00AA706D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sz w:val="18"/>
                <w:szCs w:val="18"/>
              </w:rPr>
            </w:pPr>
            <w:r w:rsidRPr="0033479B">
              <w:rPr>
                <w:sz w:val="18"/>
                <w:szCs w:val="18"/>
              </w:rPr>
              <w:t xml:space="preserve">Fornecedor do óleo básico deve especificar viscosidade cinemática a 40°C ou a 100°C e anotar a viscosidade </w:t>
            </w:r>
            <w:r w:rsidR="00754AD0">
              <w:rPr>
                <w:sz w:val="18"/>
                <w:szCs w:val="18"/>
              </w:rPr>
              <w:t xml:space="preserve">obtida </w:t>
            </w:r>
            <w:r w:rsidR="00E97016">
              <w:rPr>
                <w:sz w:val="18"/>
                <w:szCs w:val="18"/>
              </w:rPr>
              <w:t xml:space="preserve">na </w:t>
            </w:r>
            <w:r w:rsidRPr="0033479B">
              <w:rPr>
                <w:sz w:val="18"/>
                <w:szCs w:val="18"/>
              </w:rPr>
              <w:t>outra temperatura.</w:t>
            </w:r>
          </w:p>
          <w:p w:rsidR="0033479B" w:rsidRDefault="0033479B" w:rsidP="00AA706D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Aplicável aos </w:t>
            </w:r>
            <w:r w:rsidR="00754AD0">
              <w:rPr>
                <w:sz w:val="18"/>
                <w:szCs w:val="18"/>
              </w:rPr>
              <w:t xml:space="preserve">óleos </w:t>
            </w:r>
            <w:r>
              <w:rPr>
                <w:sz w:val="18"/>
                <w:szCs w:val="18"/>
              </w:rPr>
              <w:t xml:space="preserve">básicos com </w:t>
            </w:r>
            <w:r w:rsidRPr="0033479B">
              <w:rPr>
                <w:sz w:val="18"/>
                <w:szCs w:val="18"/>
              </w:rPr>
              <w:t>viscosidade cinemática a 40°C</w:t>
            </w:r>
            <w:r>
              <w:rPr>
                <w:sz w:val="18"/>
                <w:szCs w:val="18"/>
              </w:rPr>
              <w:t xml:space="preserve"> de </w:t>
            </w:r>
            <w:r w:rsidR="00AA706D">
              <w:rPr>
                <w:sz w:val="18"/>
                <w:szCs w:val="18"/>
              </w:rPr>
              <w:t>25</w:t>
            </w:r>
            <w:r w:rsidR="00AA706D" w:rsidRPr="0033479B">
              <w:rPr>
                <w:sz w:val="18"/>
                <w:szCs w:val="18"/>
              </w:rPr>
              <w:t xml:space="preserve"> a 105 </w:t>
            </w:r>
            <w:r>
              <w:rPr>
                <w:sz w:val="18"/>
                <w:szCs w:val="18"/>
              </w:rPr>
              <w:t>cSt. Analisar ao menos</w:t>
            </w:r>
            <w:r w:rsidR="00AA706D">
              <w:rPr>
                <w:sz w:val="18"/>
                <w:szCs w:val="18"/>
              </w:rPr>
              <w:t xml:space="preserve"> em</w:t>
            </w:r>
            <w:r>
              <w:rPr>
                <w:sz w:val="18"/>
                <w:szCs w:val="18"/>
              </w:rPr>
              <w:t xml:space="preserve"> uma das temperaturas expressas na tabela SAE J300.</w:t>
            </w:r>
          </w:p>
          <w:p w:rsidR="00F657D3" w:rsidRPr="0027319D" w:rsidRDefault="0033479B" w:rsidP="0027319D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sz w:val="18"/>
                <w:szCs w:val="18"/>
              </w:rPr>
            </w:pPr>
            <w:r w:rsidRPr="0033479B">
              <w:rPr>
                <w:sz w:val="18"/>
                <w:szCs w:val="18"/>
              </w:rPr>
              <w:t xml:space="preserve">Aplicável </w:t>
            </w:r>
            <w:r>
              <w:rPr>
                <w:sz w:val="18"/>
                <w:szCs w:val="18"/>
              </w:rPr>
              <w:t>aos</w:t>
            </w:r>
            <w:r w:rsidR="00754AD0">
              <w:rPr>
                <w:sz w:val="18"/>
                <w:szCs w:val="18"/>
              </w:rPr>
              <w:t xml:space="preserve"> óleos</w:t>
            </w:r>
            <w:r>
              <w:rPr>
                <w:sz w:val="18"/>
                <w:szCs w:val="18"/>
              </w:rPr>
              <w:t xml:space="preserve"> básicos com </w:t>
            </w:r>
            <w:r w:rsidRPr="0033479B">
              <w:rPr>
                <w:sz w:val="18"/>
                <w:szCs w:val="18"/>
              </w:rPr>
              <w:t xml:space="preserve">viscosidade cinemática a 40°C </w:t>
            </w:r>
            <w:r>
              <w:rPr>
                <w:sz w:val="18"/>
                <w:szCs w:val="18"/>
              </w:rPr>
              <w:t xml:space="preserve">de </w:t>
            </w:r>
            <w:r w:rsidR="00AA706D">
              <w:rPr>
                <w:sz w:val="18"/>
                <w:szCs w:val="18"/>
              </w:rPr>
              <w:t>25</w:t>
            </w:r>
            <w:r w:rsidRPr="0033479B">
              <w:rPr>
                <w:sz w:val="18"/>
                <w:szCs w:val="18"/>
              </w:rPr>
              <w:t xml:space="preserve"> a 105 cSt</w:t>
            </w:r>
            <w:r>
              <w:rPr>
                <w:sz w:val="18"/>
                <w:szCs w:val="18"/>
              </w:rPr>
              <w:t>.</w:t>
            </w:r>
            <w:r w:rsidR="00F657D3">
              <w:rPr>
                <w:sz w:val="18"/>
                <w:szCs w:val="18"/>
              </w:rPr>
              <w:t xml:space="preserve"> </w:t>
            </w:r>
            <w:r w:rsidR="00F657D3" w:rsidRPr="00E97016">
              <w:rPr>
                <w:sz w:val="18"/>
                <w:szCs w:val="18"/>
              </w:rPr>
              <w:t>Óleo básico Turbina Pesado está dispensado de anotar essa característica.</w:t>
            </w:r>
          </w:p>
          <w:p w:rsidR="0033479B" w:rsidRPr="009E418B" w:rsidRDefault="0033479B" w:rsidP="0033479B">
            <w:pPr>
              <w:spacing w:after="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</w:p>
        </w:tc>
      </w:tr>
    </w:tbl>
    <w:p w:rsidR="00AA706D" w:rsidRDefault="00AA706D" w:rsidP="009E418B">
      <w:pPr>
        <w:jc w:val="center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p w:rsidR="00F0008B" w:rsidRPr="009E418B" w:rsidRDefault="00F0008B" w:rsidP="009E418B">
      <w:pPr>
        <w:jc w:val="center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lastRenderedPageBreak/>
        <w:t xml:space="preserve">Tabela </w:t>
      </w:r>
      <w:r w:rsidR="009856CA"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2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. Especificaç</w:t>
      </w:r>
      <w:r w:rsid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ão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 </w:t>
      </w:r>
      <w:r w:rsid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 xml:space="preserve">para </w:t>
      </w:r>
      <w:r w:rsidRPr="009E418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  <w:t>os óleos básicos rerrefinados do grupo I.</w:t>
      </w:r>
    </w:p>
    <w:tbl>
      <w:tblPr>
        <w:tblW w:w="10097" w:type="dxa"/>
        <w:tblInd w:w="-529" w:type="dxa"/>
        <w:tblCellMar>
          <w:left w:w="70" w:type="dxa"/>
          <w:right w:w="70" w:type="dxa"/>
        </w:tblCellMar>
        <w:tblLook w:val="04A0"/>
      </w:tblPr>
      <w:tblGrid>
        <w:gridCol w:w="1632"/>
        <w:gridCol w:w="1035"/>
        <w:gridCol w:w="1035"/>
        <w:gridCol w:w="1035"/>
        <w:gridCol w:w="1035"/>
        <w:gridCol w:w="1035"/>
        <w:gridCol w:w="1163"/>
        <w:gridCol w:w="2127"/>
      </w:tblGrid>
      <w:tr w:rsidR="00091140" w:rsidRPr="009E418B" w:rsidTr="009E418B">
        <w:trPr>
          <w:trHeight w:val="61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CARACTERÍSTICA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RR - 10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RR - 30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RR - 40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RR - 55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RR - 70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b/>
                <w:bCs/>
                <w:color w:val="17365D" w:themeColor="text2" w:themeShade="BF"/>
                <w:sz w:val="18"/>
                <w:szCs w:val="18"/>
                <w:lang w:eastAsia="pt-BR"/>
              </w:rPr>
              <w:t>Método</w:t>
            </w:r>
          </w:p>
        </w:tc>
      </w:tr>
      <w:tr w:rsidR="00091140" w:rsidRPr="009E418B" w:rsidTr="009E418B">
        <w:trPr>
          <w:trHeight w:val="288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1. Aparência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Límpido e isento de impurezas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Visual</w:t>
            </w:r>
          </w:p>
        </w:tc>
      </w:tr>
      <w:tr w:rsidR="00091140" w:rsidRPr="009E418B" w:rsidTr="009E418B">
        <w:trPr>
          <w:trHeight w:val="43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2. Cor ASTM,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3,5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4,0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D1500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D6045</w:t>
            </w:r>
          </w:p>
        </w:tc>
      </w:tr>
      <w:tr w:rsidR="00091140" w:rsidRPr="009E418B" w:rsidTr="009E418B">
        <w:trPr>
          <w:trHeight w:val="55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3. Massa específica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kg/m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vertAlign w:val="superscript"/>
                <w:lang w:eastAsia="pt-BR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D1298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D4052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D7148</w:t>
            </w:r>
          </w:p>
        </w:tc>
      </w:tr>
      <w:tr w:rsidR="00091140" w:rsidRPr="009E418B" w:rsidTr="009E418B">
        <w:trPr>
          <w:trHeight w:val="562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4. Viscosidade Cinemática a 40°C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8 a 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26 a 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36 a 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50 a 60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Anotar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cSt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10441</w:t>
            </w:r>
          </w:p>
          <w:p w:rsidR="00091140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D445</w:t>
            </w:r>
          </w:p>
          <w:p w:rsidR="006127AE" w:rsidRPr="009E418B" w:rsidRDefault="006127AE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D7042</w:t>
            </w:r>
          </w:p>
        </w:tc>
      </w:tr>
      <w:tr w:rsidR="00091140" w:rsidRPr="009E418B" w:rsidTr="009E418B">
        <w:trPr>
          <w:trHeight w:val="556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5. Viscosidade Cinemática a 100° 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9,0 a 12,0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cSt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10441</w:t>
            </w:r>
          </w:p>
          <w:p w:rsidR="00091140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D445</w:t>
            </w:r>
          </w:p>
          <w:p w:rsidR="006127AE" w:rsidRPr="009E418B" w:rsidRDefault="006127AE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D7042</w:t>
            </w:r>
          </w:p>
        </w:tc>
      </w:tr>
      <w:tr w:rsidR="00091140" w:rsidRPr="009E418B" w:rsidTr="009E418B">
        <w:trPr>
          <w:trHeight w:val="5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6. Índice de Viscosidade, min.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14358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D2270</w:t>
            </w:r>
          </w:p>
        </w:tc>
      </w:tr>
      <w:tr w:rsidR="00091140" w:rsidRPr="009E418B" w:rsidTr="009E418B">
        <w:trPr>
          <w:trHeight w:val="416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7. Viscosidade CCS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AA706D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proofErr w:type="spellStart"/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cP</w:t>
            </w:r>
            <w:proofErr w:type="spellEnd"/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°C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D5293</w:t>
            </w:r>
          </w:p>
        </w:tc>
      </w:tr>
      <w:tr w:rsidR="00091140" w:rsidRPr="009E418B" w:rsidTr="009E418B">
        <w:trPr>
          <w:trHeight w:val="55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8. Ponto de Fulgor, mín.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°C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11341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D92</w:t>
            </w:r>
          </w:p>
        </w:tc>
      </w:tr>
      <w:tr w:rsidR="00091140" w:rsidRPr="009E418B" w:rsidTr="009E418B">
        <w:trPr>
          <w:trHeight w:val="557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9. Volatilidade </w:t>
            </w:r>
            <w:proofErr w:type="spellStart"/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Noack</w:t>
            </w:r>
            <w:proofErr w:type="spellEnd"/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7472CB" w:rsidP="007472C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</w:t>
            </w:r>
            <w:r w:rsidR="00091140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notar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14157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D5800B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D5800C</w:t>
            </w:r>
          </w:p>
        </w:tc>
      </w:tr>
      <w:tr w:rsidR="00091140" w:rsidRPr="009E418B" w:rsidTr="009E418B">
        <w:trPr>
          <w:trHeight w:val="552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10. Ponto de Fluidez,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°C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9E418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11349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D97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D5950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D6749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D7346</w:t>
            </w:r>
          </w:p>
        </w:tc>
      </w:tr>
      <w:tr w:rsidR="00091140" w:rsidRPr="009E418B" w:rsidTr="009E418B">
        <w:trPr>
          <w:trHeight w:val="559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11. Índice de Acidez,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mg KOH/g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14248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D974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D664</w:t>
            </w:r>
          </w:p>
        </w:tc>
      </w:tr>
      <w:tr w:rsidR="00091140" w:rsidRPr="009E418B" w:rsidTr="009E418B">
        <w:trPr>
          <w:trHeight w:val="55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12. Corrosividade ao cobre, 3h a 100° C,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14359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D130</w:t>
            </w:r>
          </w:p>
        </w:tc>
      </w:tr>
      <w:tr w:rsidR="00091140" w:rsidRPr="009E418B" w:rsidTr="009E418B">
        <w:trPr>
          <w:trHeight w:val="593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13. Cinzas,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9842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D482</w:t>
            </w:r>
          </w:p>
        </w:tc>
      </w:tr>
      <w:tr w:rsidR="00091140" w:rsidRPr="009E418B" w:rsidTr="009E418B">
        <w:trPr>
          <w:trHeight w:val="979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14. Resíduo de Carbono Ramsbottom, máx.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0,3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14318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D524</w:t>
            </w:r>
          </w:p>
        </w:tc>
      </w:tr>
      <w:tr w:rsidR="00091140" w:rsidRPr="009E418B" w:rsidTr="009E418B">
        <w:trPr>
          <w:trHeight w:val="5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15. Água por crepitação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ausente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16358</w:t>
            </w:r>
          </w:p>
        </w:tc>
      </w:tr>
      <w:tr w:rsidR="00091140" w:rsidRPr="009E418B" w:rsidTr="009E418B">
        <w:trPr>
          <w:trHeight w:val="8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16. Teor de elementos total (somatório do teor dos elementos Ca, Mg e Zn), máx.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mg/kg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9E418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D5185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D4951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14786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D4628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14066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D6481</w:t>
            </w:r>
          </w:p>
        </w:tc>
      </w:tr>
      <w:tr w:rsidR="00091140" w:rsidRPr="009E418B" w:rsidTr="009E418B">
        <w:trPr>
          <w:trHeight w:val="68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17. Teor de enxofre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mg/kg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9E41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D4951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14786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D2622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D4294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NBR 14533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D6481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D2622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lastRenderedPageBreak/>
              <w:t>ASTM D5185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D1552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D3120</w:t>
            </w:r>
            <w:r w:rsidR="009E418B"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, </w:t>
            </w: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D4927</w:t>
            </w:r>
          </w:p>
        </w:tc>
      </w:tr>
      <w:tr w:rsidR="00091140" w:rsidRPr="009E418B" w:rsidTr="009E418B">
        <w:trPr>
          <w:trHeight w:val="56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lastRenderedPageBreak/>
              <w:t>18. Teor de saturados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D7419</w:t>
            </w:r>
          </w:p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ASTM D2007</w:t>
            </w:r>
          </w:p>
        </w:tc>
      </w:tr>
      <w:tr w:rsidR="00091140" w:rsidRPr="009E418B" w:rsidTr="009E418B">
        <w:trPr>
          <w:trHeight w:val="42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19. Grau NAS, máx.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NAS 1638</w:t>
            </w:r>
          </w:p>
        </w:tc>
      </w:tr>
      <w:tr w:rsidR="00091140" w:rsidRPr="009E418B" w:rsidTr="009E418B">
        <w:trPr>
          <w:trHeight w:val="40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9E418B">
            <w:pPr>
              <w:spacing w:before="60" w:after="60" w:line="240" w:lineRule="auto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20. Extrato em DMSO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valor típico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before="60" w:after="60" w:line="240" w:lineRule="auto"/>
              <w:ind w:firstLine="1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% massa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40" w:rsidRPr="009E418B" w:rsidRDefault="00091140" w:rsidP="00091140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t-BR"/>
              </w:rPr>
              <w:t>IP 346</w:t>
            </w:r>
          </w:p>
        </w:tc>
      </w:tr>
      <w:tr w:rsidR="00091140" w:rsidRPr="009E418B" w:rsidTr="009E418B">
        <w:trPr>
          <w:trHeight w:val="40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21. Estabilidade ao cisalhamento, máx.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9E418B" w:rsidP="00091140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18B" w:rsidRPr="009E418B" w:rsidRDefault="00091140" w:rsidP="009E418B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%</w:t>
            </w:r>
          </w:p>
          <w:p w:rsidR="00091140" w:rsidRPr="009E418B" w:rsidRDefault="00091140" w:rsidP="009E418B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(</w:t>
            </w:r>
            <w:r w:rsidR="009E418B"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queda da</w:t>
            </w: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visc</w:t>
            </w:r>
            <w:proofErr w:type="spellEnd"/>
            <w:r w:rsidR="009E418B"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.</w:t>
            </w: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 cinem</w:t>
            </w:r>
            <w:r w:rsidR="009E418B"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>.</w:t>
            </w:r>
            <w:r w:rsidRPr="009E418B"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  <w:t xml:space="preserve"> a 100°C, </w:t>
            </w:r>
            <w:r w:rsidRPr="009E418B">
              <w:rPr>
                <w:rFonts w:cs="Arial"/>
                <w:color w:val="17365D" w:themeColor="text2" w:themeShade="BF"/>
                <w:sz w:val="18"/>
                <w:szCs w:val="18"/>
              </w:rPr>
              <w:t>90 ciclos)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9E418B">
              <w:rPr>
                <w:rFonts w:cs="Arial"/>
                <w:color w:val="17365D" w:themeColor="text2" w:themeShade="BF"/>
                <w:sz w:val="18"/>
                <w:szCs w:val="18"/>
              </w:rPr>
              <w:t>ASTM 6278</w:t>
            </w:r>
          </w:p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9E418B">
              <w:rPr>
                <w:rFonts w:cs="Arial"/>
                <w:color w:val="17365D" w:themeColor="text2" w:themeShade="BF"/>
                <w:sz w:val="18"/>
                <w:szCs w:val="18"/>
              </w:rPr>
              <w:t>NBR 14325</w:t>
            </w:r>
          </w:p>
          <w:p w:rsidR="00091140" w:rsidRPr="009E418B" w:rsidRDefault="00091140" w:rsidP="00091140">
            <w:pPr>
              <w:spacing w:after="0" w:line="240" w:lineRule="auto"/>
              <w:jc w:val="center"/>
              <w:rPr>
                <w:rFonts w:eastAsia="Times New Roman" w:cs="Times New Roman"/>
                <w:color w:val="17365D" w:themeColor="text2" w:themeShade="BF"/>
                <w:sz w:val="18"/>
                <w:szCs w:val="18"/>
                <w:lang w:eastAsia="pt-BR"/>
              </w:rPr>
            </w:pPr>
            <w:r w:rsidRPr="009E418B">
              <w:rPr>
                <w:rFonts w:cs="Arial"/>
                <w:color w:val="17365D" w:themeColor="text2" w:themeShade="BF"/>
                <w:sz w:val="18"/>
                <w:szCs w:val="18"/>
              </w:rPr>
              <w:t>CEC L-014-3</w:t>
            </w:r>
          </w:p>
        </w:tc>
      </w:tr>
    </w:tbl>
    <w:p w:rsidR="00091140" w:rsidRPr="009E418B" w:rsidRDefault="00091140" w:rsidP="00D55C03">
      <w:pPr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pt-BR"/>
        </w:rPr>
      </w:pPr>
    </w:p>
    <w:sectPr w:rsidR="00091140" w:rsidRPr="009E418B" w:rsidSect="009E418B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2961"/>
    <w:multiLevelType w:val="hybridMultilevel"/>
    <w:tmpl w:val="046CE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07E2B"/>
    <w:multiLevelType w:val="hybridMultilevel"/>
    <w:tmpl w:val="F7181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74700"/>
    <w:multiLevelType w:val="hybridMultilevel"/>
    <w:tmpl w:val="AAF8924C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B92B31"/>
    <w:multiLevelType w:val="hybridMultilevel"/>
    <w:tmpl w:val="D666BA5A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65B06A8D"/>
    <w:multiLevelType w:val="hybridMultilevel"/>
    <w:tmpl w:val="046CE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26FAE"/>
    <w:multiLevelType w:val="hybridMultilevel"/>
    <w:tmpl w:val="1A06CC9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E36B80"/>
    <w:multiLevelType w:val="hybridMultilevel"/>
    <w:tmpl w:val="A808EF98"/>
    <w:lvl w:ilvl="0" w:tplc="D90C2DAC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trackRevisions/>
  <w:defaultTabStop w:val="708"/>
  <w:hyphenationZone w:val="425"/>
  <w:characterSpacingControl w:val="doNotCompress"/>
  <w:compat/>
  <w:rsids>
    <w:rsidRoot w:val="00A42B31"/>
    <w:rsid w:val="000120FA"/>
    <w:rsid w:val="00020539"/>
    <w:rsid w:val="0003107D"/>
    <w:rsid w:val="000369F0"/>
    <w:rsid w:val="0007372B"/>
    <w:rsid w:val="00091140"/>
    <w:rsid w:val="00094EF3"/>
    <w:rsid w:val="000A3FDA"/>
    <w:rsid w:val="000A7847"/>
    <w:rsid w:val="000E6967"/>
    <w:rsid w:val="00105AAD"/>
    <w:rsid w:val="00122BA0"/>
    <w:rsid w:val="00145AEE"/>
    <w:rsid w:val="00164E7D"/>
    <w:rsid w:val="001B2630"/>
    <w:rsid w:val="001B477F"/>
    <w:rsid w:val="001C18B5"/>
    <w:rsid w:val="001C316A"/>
    <w:rsid w:val="001D70FF"/>
    <w:rsid w:val="00235C15"/>
    <w:rsid w:val="00250BA0"/>
    <w:rsid w:val="0027319D"/>
    <w:rsid w:val="0029126D"/>
    <w:rsid w:val="002A0AB3"/>
    <w:rsid w:val="002A14BD"/>
    <w:rsid w:val="002E42B4"/>
    <w:rsid w:val="002F0852"/>
    <w:rsid w:val="00331ED6"/>
    <w:rsid w:val="0033479B"/>
    <w:rsid w:val="00352250"/>
    <w:rsid w:val="0037327B"/>
    <w:rsid w:val="00374058"/>
    <w:rsid w:val="003C4352"/>
    <w:rsid w:val="00401124"/>
    <w:rsid w:val="00427C62"/>
    <w:rsid w:val="00430C2F"/>
    <w:rsid w:val="00456891"/>
    <w:rsid w:val="004813A6"/>
    <w:rsid w:val="00485CF5"/>
    <w:rsid w:val="00495E93"/>
    <w:rsid w:val="004C2CC5"/>
    <w:rsid w:val="004D5715"/>
    <w:rsid w:val="00526A87"/>
    <w:rsid w:val="00531AED"/>
    <w:rsid w:val="0053697B"/>
    <w:rsid w:val="00545AF2"/>
    <w:rsid w:val="005541DC"/>
    <w:rsid w:val="00576993"/>
    <w:rsid w:val="00585562"/>
    <w:rsid w:val="00593139"/>
    <w:rsid w:val="005A3A27"/>
    <w:rsid w:val="005A6874"/>
    <w:rsid w:val="005D496E"/>
    <w:rsid w:val="005E5A1E"/>
    <w:rsid w:val="005F53BE"/>
    <w:rsid w:val="00604527"/>
    <w:rsid w:val="006127AE"/>
    <w:rsid w:val="00660A91"/>
    <w:rsid w:val="00681EC6"/>
    <w:rsid w:val="00696A4B"/>
    <w:rsid w:val="006C3B29"/>
    <w:rsid w:val="006D4E7C"/>
    <w:rsid w:val="006F3672"/>
    <w:rsid w:val="00726E2A"/>
    <w:rsid w:val="00743281"/>
    <w:rsid w:val="007472CB"/>
    <w:rsid w:val="00750D98"/>
    <w:rsid w:val="00754AD0"/>
    <w:rsid w:val="00771527"/>
    <w:rsid w:val="007A067A"/>
    <w:rsid w:val="007A24AE"/>
    <w:rsid w:val="007B31E1"/>
    <w:rsid w:val="007E2B19"/>
    <w:rsid w:val="008222F4"/>
    <w:rsid w:val="00827AF1"/>
    <w:rsid w:val="008447D5"/>
    <w:rsid w:val="0085729B"/>
    <w:rsid w:val="0086559F"/>
    <w:rsid w:val="008B16BC"/>
    <w:rsid w:val="008F3B27"/>
    <w:rsid w:val="009120DA"/>
    <w:rsid w:val="00934F68"/>
    <w:rsid w:val="00956AB9"/>
    <w:rsid w:val="0096251A"/>
    <w:rsid w:val="00981B0C"/>
    <w:rsid w:val="009856CA"/>
    <w:rsid w:val="009A2469"/>
    <w:rsid w:val="009E418B"/>
    <w:rsid w:val="009F4519"/>
    <w:rsid w:val="00A10155"/>
    <w:rsid w:val="00A131CE"/>
    <w:rsid w:val="00A22C53"/>
    <w:rsid w:val="00A42B31"/>
    <w:rsid w:val="00A543C4"/>
    <w:rsid w:val="00A61738"/>
    <w:rsid w:val="00A652FD"/>
    <w:rsid w:val="00A8461C"/>
    <w:rsid w:val="00A93984"/>
    <w:rsid w:val="00A95F2E"/>
    <w:rsid w:val="00AA706D"/>
    <w:rsid w:val="00AD19E3"/>
    <w:rsid w:val="00B03186"/>
    <w:rsid w:val="00B05AFB"/>
    <w:rsid w:val="00B060E8"/>
    <w:rsid w:val="00B1370C"/>
    <w:rsid w:val="00B259A0"/>
    <w:rsid w:val="00B26F0A"/>
    <w:rsid w:val="00B26FDE"/>
    <w:rsid w:val="00B36026"/>
    <w:rsid w:val="00B653E8"/>
    <w:rsid w:val="00B7074D"/>
    <w:rsid w:val="00B851A1"/>
    <w:rsid w:val="00BD47C1"/>
    <w:rsid w:val="00BF50ED"/>
    <w:rsid w:val="00C011DE"/>
    <w:rsid w:val="00C168E6"/>
    <w:rsid w:val="00C86686"/>
    <w:rsid w:val="00C96F3F"/>
    <w:rsid w:val="00CB4E80"/>
    <w:rsid w:val="00CE23F1"/>
    <w:rsid w:val="00CE5998"/>
    <w:rsid w:val="00D06245"/>
    <w:rsid w:val="00D075C8"/>
    <w:rsid w:val="00D07B91"/>
    <w:rsid w:val="00D40B29"/>
    <w:rsid w:val="00D55C03"/>
    <w:rsid w:val="00D930B5"/>
    <w:rsid w:val="00DA0258"/>
    <w:rsid w:val="00DC2AB3"/>
    <w:rsid w:val="00DC53B5"/>
    <w:rsid w:val="00DE6BE7"/>
    <w:rsid w:val="00DF0603"/>
    <w:rsid w:val="00E24B12"/>
    <w:rsid w:val="00E31F56"/>
    <w:rsid w:val="00E3552C"/>
    <w:rsid w:val="00E56DA3"/>
    <w:rsid w:val="00E6779A"/>
    <w:rsid w:val="00E86A78"/>
    <w:rsid w:val="00E97016"/>
    <w:rsid w:val="00EA792D"/>
    <w:rsid w:val="00ED7A48"/>
    <w:rsid w:val="00EE22D8"/>
    <w:rsid w:val="00EE476A"/>
    <w:rsid w:val="00EE6727"/>
    <w:rsid w:val="00EF5CAF"/>
    <w:rsid w:val="00F0008B"/>
    <w:rsid w:val="00F23F2F"/>
    <w:rsid w:val="00F42995"/>
    <w:rsid w:val="00F4506E"/>
    <w:rsid w:val="00F46EB3"/>
    <w:rsid w:val="00F52EE1"/>
    <w:rsid w:val="00F657D3"/>
    <w:rsid w:val="00F80500"/>
    <w:rsid w:val="00F82D94"/>
    <w:rsid w:val="00F83E32"/>
    <w:rsid w:val="00F848C0"/>
    <w:rsid w:val="00FE1773"/>
    <w:rsid w:val="00FE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">
    <w:name w:val="norma"/>
    <w:basedOn w:val="Normal"/>
    <w:rsid w:val="00A4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A4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2B31"/>
  </w:style>
  <w:style w:type="character" w:styleId="Hyperlink">
    <w:name w:val="Hyperlink"/>
    <w:basedOn w:val="Fontepargpadro"/>
    <w:uiPriority w:val="99"/>
    <w:semiHidden/>
    <w:unhideWhenUsed/>
    <w:rsid w:val="00A42B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0A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20F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C1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5C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5C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5C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5C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5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694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301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7757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4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4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2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4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0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/leg/leis/NXT/gateway.dll?f=id$id=Lei%209.478%20-%2019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14A185-82D6-43BF-A29D-33E21088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2073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gjacintho</dc:creator>
  <cp:lastModifiedBy>gjacintho</cp:lastModifiedBy>
  <cp:revision>6</cp:revision>
  <dcterms:created xsi:type="dcterms:W3CDTF">2016-09-26T13:38:00Z</dcterms:created>
  <dcterms:modified xsi:type="dcterms:W3CDTF">2016-10-18T13:10:00Z</dcterms:modified>
</cp:coreProperties>
</file>