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C49" w:rsidRDefault="00EE1C49" w:rsidP="00032492">
      <w:pPr>
        <w:spacing w:line="276" w:lineRule="auto"/>
        <w:jc w:val="both"/>
        <w:rPr>
          <w:rFonts w:ascii="Times New Roman" w:hAnsi="Times New Roman"/>
          <w:b/>
          <w:szCs w:val="24"/>
        </w:rPr>
      </w:pPr>
    </w:p>
    <w:p w:rsidR="00EE1C49" w:rsidRDefault="00EE1C49" w:rsidP="00032492">
      <w:pPr>
        <w:spacing w:line="276" w:lineRule="auto"/>
        <w:jc w:val="both"/>
        <w:rPr>
          <w:rFonts w:ascii="Times New Roman" w:hAnsi="Times New Roman"/>
          <w:b/>
          <w:szCs w:val="24"/>
        </w:rPr>
      </w:pPr>
    </w:p>
    <w:p w:rsidR="00B0106B" w:rsidRPr="00C33929" w:rsidRDefault="00B0106B" w:rsidP="00032492">
      <w:pPr>
        <w:spacing w:line="276" w:lineRule="auto"/>
        <w:jc w:val="both"/>
        <w:rPr>
          <w:rFonts w:ascii="Times New Roman" w:hAnsi="Times New Roman"/>
          <w:szCs w:val="24"/>
        </w:rPr>
      </w:pPr>
      <w:r w:rsidRPr="00C33929">
        <w:rPr>
          <w:rFonts w:ascii="Times New Roman" w:hAnsi="Times New Roman"/>
          <w:b/>
          <w:szCs w:val="24"/>
        </w:rPr>
        <w:t>Nota Técnica n</w:t>
      </w:r>
      <w:r w:rsidRPr="00C33929">
        <w:rPr>
          <w:rFonts w:ascii="Times New Roman" w:hAnsi="Times New Roman"/>
          <w:b/>
          <w:szCs w:val="24"/>
          <w:u w:val="single"/>
          <w:vertAlign w:val="superscript"/>
        </w:rPr>
        <w:t>o</w:t>
      </w:r>
      <w:r w:rsidR="005F6E68" w:rsidRPr="00C33929">
        <w:rPr>
          <w:rFonts w:ascii="Times New Roman" w:hAnsi="Times New Roman"/>
          <w:b/>
          <w:szCs w:val="24"/>
          <w:u w:val="single"/>
          <w:vertAlign w:val="superscript"/>
        </w:rPr>
        <w:t>:</w:t>
      </w:r>
      <w:r w:rsidRPr="00C33929">
        <w:rPr>
          <w:rFonts w:ascii="Times New Roman" w:hAnsi="Times New Roman"/>
          <w:szCs w:val="24"/>
        </w:rPr>
        <w:t xml:space="preserve"> </w:t>
      </w:r>
      <w:r w:rsidR="002C332E">
        <w:rPr>
          <w:rFonts w:ascii="Times New Roman" w:hAnsi="Times New Roman"/>
          <w:szCs w:val="24"/>
        </w:rPr>
        <w:t>186</w:t>
      </w:r>
      <w:r w:rsidR="003D424F">
        <w:rPr>
          <w:rFonts w:ascii="Times New Roman" w:hAnsi="Times New Roman"/>
          <w:szCs w:val="24"/>
        </w:rPr>
        <w:t>/</w:t>
      </w:r>
      <w:r w:rsidR="00CC3148" w:rsidRPr="00C33929">
        <w:rPr>
          <w:rFonts w:ascii="Times New Roman" w:hAnsi="Times New Roman"/>
          <w:szCs w:val="24"/>
        </w:rPr>
        <w:t>201</w:t>
      </w:r>
      <w:r w:rsidR="006E71C1">
        <w:rPr>
          <w:rFonts w:ascii="Times New Roman" w:hAnsi="Times New Roman"/>
          <w:szCs w:val="24"/>
        </w:rPr>
        <w:t>5</w:t>
      </w:r>
      <w:r w:rsidR="00CC3148" w:rsidRPr="00C33929">
        <w:rPr>
          <w:rFonts w:ascii="Times New Roman" w:hAnsi="Times New Roman"/>
          <w:szCs w:val="24"/>
        </w:rPr>
        <w:t>/SBQ/RJ</w:t>
      </w:r>
    </w:p>
    <w:p w:rsidR="005F6E68" w:rsidRPr="00C33929" w:rsidRDefault="005F6E68" w:rsidP="00032492">
      <w:pPr>
        <w:spacing w:line="276" w:lineRule="auto"/>
        <w:jc w:val="both"/>
        <w:rPr>
          <w:rFonts w:ascii="Times New Roman" w:hAnsi="Times New Roman"/>
          <w:szCs w:val="24"/>
        </w:rPr>
      </w:pPr>
    </w:p>
    <w:p w:rsidR="00244EF8" w:rsidRPr="00244EF8" w:rsidRDefault="00B0106B" w:rsidP="00244EF8">
      <w:pPr>
        <w:pStyle w:val="Cabealho"/>
        <w:tabs>
          <w:tab w:val="clear" w:pos="4419"/>
          <w:tab w:val="clear" w:pos="8838"/>
        </w:tabs>
        <w:spacing w:before="120" w:after="120"/>
        <w:jc w:val="both"/>
        <w:rPr>
          <w:rFonts w:ascii="Times New Roman" w:hAnsi="Times New Roman"/>
          <w:szCs w:val="24"/>
        </w:rPr>
      </w:pPr>
      <w:r w:rsidRPr="00C33929">
        <w:rPr>
          <w:rFonts w:ascii="Times New Roman" w:hAnsi="Times New Roman"/>
          <w:b/>
          <w:szCs w:val="24"/>
        </w:rPr>
        <w:t>Assunto:</w:t>
      </w:r>
      <w:r w:rsidR="00632E0F" w:rsidRPr="00C33929">
        <w:rPr>
          <w:rFonts w:ascii="Times New Roman" w:hAnsi="Times New Roman"/>
          <w:szCs w:val="24"/>
        </w:rPr>
        <w:t xml:space="preserve"> </w:t>
      </w:r>
      <w:r w:rsidR="002E5EA4">
        <w:rPr>
          <w:rFonts w:ascii="Times New Roman" w:hAnsi="Times New Roman"/>
          <w:szCs w:val="24"/>
        </w:rPr>
        <w:t>Nova Resolução em substituição às Resoluções</w:t>
      </w:r>
      <w:r w:rsidR="00B50626" w:rsidRPr="00B50626">
        <w:rPr>
          <w:rFonts w:ascii="Times New Roman" w:hAnsi="Times New Roman"/>
          <w:szCs w:val="24"/>
        </w:rPr>
        <w:t xml:space="preserve"> </w:t>
      </w:r>
      <w:r w:rsidR="00A571E2">
        <w:rPr>
          <w:rFonts w:ascii="Times New Roman" w:hAnsi="Times New Roman"/>
          <w:szCs w:val="24"/>
        </w:rPr>
        <w:t>ANP nº</w:t>
      </w:r>
      <w:r w:rsidR="001540D1">
        <w:rPr>
          <w:rFonts w:ascii="Times New Roman" w:hAnsi="Times New Roman"/>
          <w:szCs w:val="24"/>
        </w:rPr>
        <w:t xml:space="preserve"> </w:t>
      </w:r>
      <w:r w:rsidR="002E5EA4">
        <w:rPr>
          <w:rFonts w:ascii="Times New Roman" w:hAnsi="Times New Roman"/>
          <w:szCs w:val="24"/>
        </w:rPr>
        <w:t>18</w:t>
      </w:r>
      <w:r w:rsidR="001540D1">
        <w:rPr>
          <w:rFonts w:ascii="Times New Roman" w:hAnsi="Times New Roman"/>
          <w:szCs w:val="24"/>
        </w:rPr>
        <w:t>, de</w:t>
      </w:r>
      <w:r w:rsidR="00A571E2">
        <w:rPr>
          <w:rFonts w:ascii="Times New Roman" w:hAnsi="Times New Roman"/>
          <w:szCs w:val="24"/>
        </w:rPr>
        <w:t xml:space="preserve"> </w:t>
      </w:r>
      <w:r w:rsidR="002E5EA4">
        <w:rPr>
          <w:rFonts w:ascii="Times New Roman" w:hAnsi="Times New Roman"/>
          <w:szCs w:val="24"/>
        </w:rPr>
        <w:t>22 de junho de 2007, e n° 2, de 29 de janeiro de 2008</w:t>
      </w:r>
      <w:r w:rsidR="006109E1">
        <w:rPr>
          <w:rFonts w:ascii="Times New Roman" w:hAnsi="Times New Roman"/>
          <w:szCs w:val="24"/>
        </w:rPr>
        <w:t>.</w:t>
      </w:r>
    </w:p>
    <w:p w:rsidR="002F0D33" w:rsidRDefault="002F0D33" w:rsidP="00032492">
      <w:pPr>
        <w:tabs>
          <w:tab w:val="left" w:pos="1134"/>
        </w:tabs>
        <w:spacing w:line="360" w:lineRule="auto"/>
        <w:jc w:val="both"/>
        <w:rPr>
          <w:rFonts w:ascii="Times New Roman" w:hAnsi="Times New Roman"/>
          <w:b/>
          <w:szCs w:val="24"/>
        </w:rPr>
      </w:pPr>
    </w:p>
    <w:p w:rsidR="00F33EDD" w:rsidRDefault="00B5260D" w:rsidP="00BF38F3">
      <w:pPr>
        <w:tabs>
          <w:tab w:val="left" w:pos="1134"/>
        </w:tabs>
        <w:jc w:val="both"/>
        <w:rPr>
          <w:rFonts w:ascii="Times New Roman" w:hAnsi="Times New Roman"/>
          <w:szCs w:val="24"/>
        </w:rPr>
      </w:pPr>
      <w:r w:rsidRPr="00C33929">
        <w:rPr>
          <w:rFonts w:ascii="Times New Roman" w:hAnsi="Times New Roman"/>
          <w:b/>
          <w:szCs w:val="24"/>
        </w:rPr>
        <w:t>Processo</w:t>
      </w:r>
      <w:r w:rsidR="0008260A">
        <w:rPr>
          <w:rFonts w:ascii="Times New Roman" w:hAnsi="Times New Roman"/>
          <w:b/>
          <w:szCs w:val="24"/>
        </w:rPr>
        <w:t>s</w:t>
      </w:r>
      <w:r w:rsidRPr="00C33929">
        <w:rPr>
          <w:rFonts w:ascii="Times New Roman" w:hAnsi="Times New Roman"/>
          <w:b/>
          <w:szCs w:val="24"/>
        </w:rPr>
        <w:t xml:space="preserve"> </w:t>
      </w:r>
      <w:r w:rsidR="00651C41" w:rsidRPr="00C33929">
        <w:rPr>
          <w:rFonts w:ascii="Times New Roman" w:hAnsi="Times New Roman"/>
          <w:b/>
          <w:szCs w:val="24"/>
        </w:rPr>
        <w:t>nº</w:t>
      </w:r>
      <w:r w:rsidR="005F6E68" w:rsidRPr="00C33929">
        <w:rPr>
          <w:rFonts w:ascii="Times New Roman" w:hAnsi="Times New Roman"/>
          <w:b/>
          <w:szCs w:val="24"/>
        </w:rPr>
        <w:t>:</w:t>
      </w:r>
      <w:r w:rsidR="00651C41" w:rsidRPr="00C33929">
        <w:rPr>
          <w:rFonts w:ascii="Times New Roman" w:hAnsi="Times New Roman"/>
          <w:szCs w:val="24"/>
        </w:rPr>
        <w:t xml:space="preserve"> </w:t>
      </w:r>
      <w:r w:rsidR="000131B3">
        <w:rPr>
          <w:rFonts w:ascii="Times New Roman" w:hAnsi="Times New Roman"/>
          <w:szCs w:val="24"/>
        </w:rPr>
        <w:t>48610.007474/2010</w:t>
      </w:r>
      <w:r w:rsidR="00976D28">
        <w:rPr>
          <w:rFonts w:ascii="Times New Roman" w:hAnsi="Times New Roman"/>
          <w:szCs w:val="24"/>
        </w:rPr>
        <w:t>-65</w:t>
      </w:r>
      <w:r w:rsidR="0008260A">
        <w:rPr>
          <w:rFonts w:ascii="Times New Roman" w:hAnsi="Times New Roman"/>
          <w:szCs w:val="24"/>
        </w:rPr>
        <w:t xml:space="preserve"> </w:t>
      </w:r>
    </w:p>
    <w:p w:rsidR="0008260A" w:rsidRDefault="00BF38F3" w:rsidP="00BF38F3">
      <w:pPr>
        <w:tabs>
          <w:tab w:val="left" w:pos="1134"/>
        </w:tabs>
        <w:jc w:val="both"/>
        <w:rPr>
          <w:rFonts w:ascii="Times New Roman" w:hAnsi="Times New Roman"/>
          <w:szCs w:val="24"/>
        </w:rPr>
      </w:pPr>
      <w:r>
        <w:rPr>
          <w:rFonts w:ascii="Times New Roman" w:hAnsi="Times New Roman"/>
          <w:szCs w:val="24"/>
        </w:rPr>
        <w:tab/>
        <w:t xml:space="preserve">    </w:t>
      </w:r>
      <w:r w:rsidR="0008260A">
        <w:rPr>
          <w:rFonts w:ascii="Times New Roman" w:hAnsi="Times New Roman"/>
          <w:szCs w:val="24"/>
        </w:rPr>
        <w:t>48610.009783/2007-11</w:t>
      </w:r>
    </w:p>
    <w:p w:rsidR="0008260A" w:rsidRDefault="00BF38F3" w:rsidP="00BF38F3">
      <w:pPr>
        <w:tabs>
          <w:tab w:val="left" w:pos="1134"/>
        </w:tabs>
        <w:jc w:val="both"/>
        <w:rPr>
          <w:rFonts w:ascii="Times New Roman" w:hAnsi="Times New Roman"/>
          <w:szCs w:val="24"/>
        </w:rPr>
      </w:pPr>
      <w:r>
        <w:rPr>
          <w:rFonts w:ascii="Times New Roman" w:hAnsi="Times New Roman"/>
          <w:szCs w:val="24"/>
        </w:rPr>
        <w:tab/>
        <w:t xml:space="preserve">    </w:t>
      </w:r>
      <w:r w:rsidR="0008260A">
        <w:rPr>
          <w:rFonts w:ascii="Times New Roman" w:hAnsi="Times New Roman"/>
          <w:szCs w:val="24"/>
        </w:rPr>
        <w:t>48610.013768/2008-57</w:t>
      </w:r>
    </w:p>
    <w:p w:rsidR="00976D28" w:rsidRDefault="00976D28" w:rsidP="00032492">
      <w:pPr>
        <w:tabs>
          <w:tab w:val="left" w:pos="1134"/>
        </w:tabs>
        <w:spacing w:line="360" w:lineRule="auto"/>
        <w:jc w:val="both"/>
        <w:rPr>
          <w:rFonts w:ascii="Times New Roman" w:hAnsi="Times New Roman"/>
          <w:szCs w:val="24"/>
        </w:rPr>
      </w:pPr>
      <w:r>
        <w:rPr>
          <w:rFonts w:ascii="Times New Roman" w:hAnsi="Times New Roman"/>
          <w:szCs w:val="24"/>
        </w:rPr>
        <w:t xml:space="preserve">  </w:t>
      </w:r>
    </w:p>
    <w:p w:rsidR="005F6E68" w:rsidRPr="00C33929" w:rsidRDefault="005F6E68" w:rsidP="00032492">
      <w:pPr>
        <w:spacing w:before="120" w:after="120" w:line="276" w:lineRule="auto"/>
        <w:jc w:val="right"/>
        <w:rPr>
          <w:rFonts w:ascii="Times New Roman" w:hAnsi="Times New Roman"/>
          <w:szCs w:val="24"/>
        </w:rPr>
      </w:pPr>
      <w:r w:rsidRPr="00C33929">
        <w:rPr>
          <w:rFonts w:ascii="Times New Roman" w:hAnsi="Times New Roman"/>
          <w:szCs w:val="24"/>
        </w:rPr>
        <w:t xml:space="preserve">Rio de Janeiro, </w:t>
      </w:r>
      <w:r w:rsidR="002C332E">
        <w:rPr>
          <w:rFonts w:ascii="Times New Roman" w:hAnsi="Times New Roman"/>
          <w:szCs w:val="24"/>
        </w:rPr>
        <w:t xml:space="preserve">23 </w:t>
      </w:r>
      <w:r w:rsidR="004A1065">
        <w:rPr>
          <w:rFonts w:ascii="Times New Roman" w:hAnsi="Times New Roman"/>
          <w:szCs w:val="24"/>
        </w:rPr>
        <w:t xml:space="preserve">de </w:t>
      </w:r>
      <w:r w:rsidR="0008260A">
        <w:rPr>
          <w:rFonts w:ascii="Times New Roman" w:hAnsi="Times New Roman"/>
          <w:szCs w:val="24"/>
        </w:rPr>
        <w:t>dezembro</w:t>
      </w:r>
      <w:r w:rsidRPr="00C33929">
        <w:rPr>
          <w:rFonts w:ascii="Times New Roman" w:hAnsi="Times New Roman"/>
          <w:szCs w:val="24"/>
        </w:rPr>
        <w:t xml:space="preserve"> de 201</w:t>
      </w:r>
      <w:r w:rsidR="0097225D">
        <w:rPr>
          <w:rFonts w:ascii="Times New Roman" w:hAnsi="Times New Roman"/>
          <w:szCs w:val="24"/>
        </w:rPr>
        <w:t>5</w:t>
      </w:r>
      <w:r w:rsidRPr="00C33929">
        <w:rPr>
          <w:rFonts w:ascii="Times New Roman" w:hAnsi="Times New Roman"/>
          <w:szCs w:val="24"/>
        </w:rPr>
        <w:t>.</w:t>
      </w:r>
    </w:p>
    <w:p w:rsidR="004C083F" w:rsidRPr="00C33929" w:rsidRDefault="004C083F" w:rsidP="00423222">
      <w:pPr>
        <w:tabs>
          <w:tab w:val="left" w:pos="1134"/>
        </w:tabs>
        <w:spacing w:before="120" w:after="120" w:line="360" w:lineRule="auto"/>
        <w:jc w:val="both"/>
        <w:rPr>
          <w:rFonts w:ascii="Times New Roman" w:hAnsi="Times New Roman"/>
          <w:szCs w:val="24"/>
        </w:rPr>
      </w:pPr>
    </w:p>
    <w:p w:rsidR="005F6E68" w:rsidRDefault="005F6E68" w:rsidP="00F33EDD">
      <w:pPr>
        <w:numPr>
          <w:ilvl w:val="0"/>
          <w:numId w:val="15"/>
        </w:numPr>
        <w:tabs>
          <w:tab w:val="left" w:pos="1134"/>
        </w:tabs>
        <w:spacing w:before="120" w:after="120" w:line="276" w:lineRule="auto"/>
        <w:jc w:val="both"/>
        <w:rPr>
          <w:rFonts w:ascii="Times New Roman" w:hAnsi="Times New Roman"/>
          <w:b/>
          <w:szCs w:val="24"/>
        </w:rPr>
      </w:pPr>
      <w:r w:rsidRPr="00C33929">
        <w:rPr>
          <w:rFonts w:ascii="Times New Roman" w:hAnsi="Times New Roman"/>
          <w:b/>
          <w:szCs w:val="24"/>
        </w:rPr>
        <w:t>OBJETIVO</w:t>
      </w:r>
    </w:p>
    <w:p w:rsidR="00977FEE" w:rsidRPr="00AE1BE1" w:rsidRDefault="00977FEE" w:rsidP="00BF38F3">
      <w:pPr>
        <w:tabs>
          <w:tab w:val="left" w:pos="1134"/>
        </w:tabs>
        <w:spacing w:before="120" w:after="360" w:line="276" w:lineRule="auto"/>
        <w:jc w:val="both"/>
        <w:rPr>
          <w:rFonts w:ascii="Times New Roman" w:hAnsi="Times New Roman"/>
        </w:rPr>
      </w:pPr>
      <w:r>
        <w:rPr>
          <w:rFonts w:ascii="Times New Roman" w:hAnsi="Times New Roman"/>
        </w:rPr>
        <w:tab/>
      </w:r>
      <w:r>
        <w:rPr>
          <w:rFonts w:ascii="Times New Roman" w:hAnsi="Times New Roman"/>
          <w:bCs/>
          <w:szCs w:val="24"/>
        </w:rPr>
        <w:t>A presente Nota Técnica tem por</w:t>
      </w:r>
      <w:r w:rsidRPr="00A54691">
        <w:rPr>
          <w:rFonts w:ascii="Times New Roman" w:hAnsi="Times New Roman"/>
          <w:bCs/>
          <w:szCs w:val="24"/>
        </w:rPr>
        <w:t xml:space="preserve"> objetivo </w:t>
      </w:r>
      <w:r>
        <w:rPr>
          <w:rFonts w:ascii="Times New Roman" w:hAnsi="Times New Roman"/>
          <w:bCs/>
          <w:szCs w:val="24"/>
        </w:rPr>
        <w:t xml:space="preserve">justificar </w:t>
      </w:r>
      <w:r w:rsidR="0008260A">
        <w:rPr>
          <w:rFonts w:ascii="Times New Roman" w:hAnsi="Times New Roman"/>
          <w:bCs/>
          <w:szCs w:val="24"/>
        </w:rPr>
        <w:t xml:space="preserve">a elaboração da Resolução que substituirá as Resoluções ANP nº 18, de 22 de junho de 2007, e nº 2, de 29 de janeiro de 2008, que tratam dos usos experimental e específico do biodiesel e suas misturas com óleo diesel A, em razão da publicação da Lei n° 13.033, de 24 de setembro de 2014, e </w:t>
      </w:r>
      <w:r w:rsidR="00E71729">
        <w:rPr>
          <w:rFonts w:ascii="Times New Roman" w:hAnsi="Times New Roman"/>
          <w:bCs/>
          <w:szCs w:val="24"/>
        </w:rPr>
        <w:t xml:space="preserve">da </w:t>
      </w:r>
      <w:r w:rsidR="0008260A">
        <w:rPr>
          <w:rFonts w:ascii="Times New Roman" w:hAnsi="Times New Roman"/>
          <w:bCs/>
          <w:szCs w:val="24"/>
        </w:rPr>
        <w:t xml:space="preserve">Resolução CNPE </w:t>
      </w:r>
      <w:r w:rsidR="00E71729">
        <w:rPr>
          <w:rFonts w:ascii="Times New Roman" w:hAnsi="Times New Roman"/>
          <w:bCs/>
          <w:szCs w:val="24"/>
        </w:rPr>
        <w:t>nº 3, de 21 de setembro de 2015.</w:t>
      </w:r>
    </w:p>
    <w:p w:rsidR="003B4BFA" w:rsidRDefault="003B4BFA" w:rsidP="00C22FFB">
      <w:pPr>
        <w:numPr>
          <w:ilvl w:val="0"/>
          <w:numId w:val="15"/>
        </w:numPr>
        <w:tabs>
          <w:tab w:val="left" w:pos="1134"/>
        </w:tabs>
        <w:spacing w:before="120" w:after="120" w:line="276" w:lineRule="auto"/>
        <w:jc w:val="both"/>
        <w:rPr>
          <w:rFonts w:ascii="Times New Roman" w:hAnsi="Times New Roman"/>
          <w:b/>
          <w:szCs w:val="24"/>
        </w:rPr>
      </w:pPr>
      <w:r w:rsidRPr="00C33929">
        <w:rPr>
          <w:rFonts w:ascii="Times New Roman" w:hAnsi="Times New Roman"/>
          <w:b/>
          <w:szCs w:val="24"/>
        </w:rPr>
        <w:t>FUNDAMENTAÇÃO LEGAL</w:t>
      </w:r>
    </w:p>
    <w:p w:rsidR="00015EA9" w:rsidRPr="00D30A35" w:rsidRDefault="00015EA9" w:rsidP="00D30A35">
      <w:pPr>
        <w:tabs>
          <w:tab w:val="left" w:pos="1134"/>
        </w:tabs>
        <w:spacing w:before="120" w:after="120" w:line="276" w:lineRule="auto"/>
        <w:jc w:val="both"/>
        <w:rPr>
          <w:rFonts w:ascii="Times New Roman" w:hAnsi="Times New Roman"/>
          <w:bCs/>
          <w:szCs w:val="24"/>
        </w:rPr>
      </w:pPr>
      <w:r>
        <w:rPr>
          <w:rFonts w:ascii="Times New Roman" w:hAnsi="Times New Roman"/>
          <w:bCs/>
          <w:szCs w:val="24"/>
        </w:rPr>
        <w:tab/>
        <w:t xml:space="preserve">A </w:t>
      </w:r>
      <w:r w:rsidRPr="00A54691">
        <w:rPr>
          <w:rFonts w:ascii="Times New Roman" w:hAnsi="Times New Roman"/>
          <w:bCs/>
          <w:szCs w:val="24"/>
        </w:rPr>
        <w:t xml:space="preserve">Lei </w:t>
      </w:r>
      <w:r w:rsidR="00F91105">
        <w:rPr>
          <w:rFonts w:ascii="Times New Roman" w:hAnsi="Times New Roman"/>
          <w:bCs/>
          <w:szCs w:val="24"/>
        </w:rPr>
        <w:t xml:space="preserve">nº </w:t>
      </w:r>
      <w:r w:rsidRPr="00A54691">
        <w:rPr>
          <w:rFonts w:ascii="Times New Roman" w:hAnsi="Times New Roman"/>
          <w:bCs/>
          <w:szCs w:val="24"/>
        </w:rPr>
        <w:t>9.478, 06 de agosto de 1997</w:t>
      </w:r>
      <w:r>
        <w:rPr>
          <w:rFonts w:ascii="Times New Roman" w:hAnsi="Times New Roman"/>
          <w:bCs/>
          <w:szCs w:val="24"/>
        </w:rPr>
        <w:t>,</w:t>
      </w:r>
      <w:r w:rsidRPr="00A54691">
        <w:rPr>
          <w:rFonts w:ascii="Times New Roman" w:hAnsi="Times New Roman"/>
          <w:bCs/>
          <w:szCs w:val="24"/>
        </w:rPr>
        <w:t xml:space="preserve"> </w:t>
      </w:r>
      <w:r w:rsidR="00D30A35">
        <w:rPr>
          <w:rFonts w:ascii="Times New Roman" w:hAnsi="Times New Roman"/>
          <w:bCs/>
          <w:szCs w:val="24"/>
        </w:rPr>
        <w:t>no inciso I do</w:t>
      </w:r>
      <w:r w:rsidRPr="00A54691">
        <w:rPr>
          <w:rFonts w:ascii="Times New Roman" w:hAnsi="Times New Roman"/>
          <w:bCs/>
          <w:szCs w:val="24"/>
        </w:rPr>
        <w:t xml:space="preserve"> Art. 8º estabelece como</w:t>
      </w:r>
      <w:r w:rsidR="008B62FA">
        <w:rPr>
          <w:rFonts w:ascii="Times New Roman" w:hAnsi="Times New Roman"/>
          <w:bCs/>
          <w:szCs w:val="24"/>
        </w:rPr>
        <w:t xml:space="preserve"> uma das</w:t>
      </w:r>
      <w:r w:rsidRPr="00A54691">
        <w:rPr>
          <w:rFonts w:ascii="Times New Roman" w:hAnsi="Times New Roman"/>
          <w:bCs/>
          <w:szCs w:val="24"/>
        </w:rPr>
        <w:t xml:space="preserve"> atribuições da ANP:</w:t>
      </w:r>
      <w:r w:rsidRPr="00662A97">
        <w:rPr>
          <w:rFonts w:ascii="Times New Roman" w:hAnsi="Times New Roman"/>
          <w:bCs/>
          <w:i/>
          <w:szCs w:val="24"/>
        </w:rPr>
        <w:t xml:space="preserve"> </w:t>
      </w:r>
      <w:r w:rsidRPr="00D30A35">
        <w:rPr>
          <w:rFonts w:ascii="Times New Roman" w:hAnsi="Times New Roman"/>
          <w:bCs/>
          <w:szCs w:val="24"/>
        </w:rPr>
        <w:t xml:space="preserve">implementar a política nacional de petróleo e gás natural, com ênfase na proteção dos interesses dos consumidores quanto a </w:t>
      </w:r>
      <w:r w:rsidR="00D30A35" w:rsidRPr="00D30A35">
        <w:rPr>
          <w:rFonts w:ascii="Times New Roman" w:hAnsi="Times New Roman"/>
          <w:bCs/>
          <w:szCs w:val="24"/>
        </w:rPr>
        <w:t xml:space="preserve">preço, qualidade e oferta </w:t>
      </w:r>
      <w:r w:rsidRPr="00D30A35">
        <w:rPr>
          <w:rFonts w:ascii="Times New Roman" w:hAnsi="Times New Roman"/>
          <w:bCs/>
          <w:szCs w:val="24"/>
        </w:rPr>
        <w:t>de produtos.</w:t>
      </w:r>
      <w:r w:rsidR="00D30A35">
        <w:rPr>
          <w:rFonts w:ascii="Times New Roman" w:hAnsi="Times New Roman"/>
          <w:bCs/>
          <w:szCs w:val="24"/>
        </w:rPr>
        <w:t xml:space="preserve"> No i</w:t>
      </w:r>
      <w:r w:rsidRPr="00D30A35">
        <w:rPr>
          <w:rFonts w:ascii="Times New Roman" w:hAnsi="Times New Roman"/>
          <w:bCs/>
          <w:szCs w:val="24"/>
        </w:rPr>
        <w:t xml:space="preserve">nciso XVIII </w:t>
      </w:r>
      <w:r w:rsidR="00D30A35">
        <w:rPr>
          <w:rFonts w:ascii="Times New Roman" w:hAnsi="Times New Roman"/>
          <w:bCs/>
          <w:szCs w:val="24"/>
        </w:rPr>
        <w:t>do mesmo artigo consta como atribuição:</w:t>
      </w:r>
      <w:r w:rsidRPr="00D30A35">
        <w:rPr>
          <w:rFonts w:ascii="Times New Roman" w:hAnsi="Times New Roman"/>
          <w:bCs/>
          <w:szCs w:val="24"/>
        </w:rPr>
        <w:t xml:space="preserve"> especificar a qualidade dos derivados de petróleo, gás natural e seus derivados e dos biocombustíveis. </w:t>
      </w:r>
    </w:p>
    <w:p w:rsidR="004C083F" w:rsidRDefault="004C083F" w:rsidP="00B50C2D">
      <w:pPr>
        <w:tabs>
          <w:tab w:val="left" w:pos="1134"/>
        </w:tabs>
        <w:spacing w:before="120" w:after="120" w:line="276" w:lineRule="auto"/>
        <w:jc w:val="both"/>
        <w:rPr>
          <w:rFonts w:ascii="Times New Roman" w:hAnsi="Times New Roman"/>
          <w:szCs w:val="24"/>
        </w:rPr>
      </w:pPr>
      <w:r w:rsidRPr="00C33929">
        <w:rPr>
          <w:rFonts w:ascii="Times New Roman" w:hAnsi="Times New Roman"/>
          <w:szCs w:val="24"/>
        </w:rPr>
        <w:tab/>
      </w:r>
      <w:r w:rsidR="00015EA9">
        <w:rPr>
          <w:rFonts w:ascii="Times New Roman" w:hAnsi="Times New Roman"/>
          <w:bCs/>
          <w:szCs w:val="24"/>
        </w:rPr>
        <w:t xml:space="preserve">A </w:t>
      </w:r>
      <w:r w:rsidR="00015EA9" w:rsidRPr="00A54691">
        <w:rPr>
          <w:rFonts w:ascii="Times New Roman" w:hAnsi="Times New Roman"/>
          <w:bCs/>
          <w:szCs w:val="24"/>
        </w:rPr>
        <w:t xml:space="preserve">Lei </w:t>
      </w:r>
      <w:r w:rsidR="00F91105">
        <w:rPr>
          <w:rFonts w:ascii="Times New Roman" w:hAnsi="Times New Roman"/>
          <w:bCs/>
          <w:szCs w:val="24"/>
        </w:rPr>
        <w:t xml:space="preserve">nº </w:t>
      </w:r>
      <w:r w:rsidR="00015EA9" w:rsidRPr="00A54691">
        <w:rPr>
          <w:rFonts w:ascii="Times New Roman" w:hAnsi="Times New Roman"/>
          <w:bCs/>
          <w:szCs w:val="24"/>
        </w:rPr>
        <w:t>12.490, de 16 de setembro de 2011</w:t>
      </w:r>
      <w:r w:rsidR="00015EA9">
        <w:rPr>
          <w:rFonts w:ascii="Times New Roman" w:hAnsi="Times New Roman"/>
          <w:bCs/>
          <w:szCs w:val="24"/>
        </w:rPr>
        <w:t>,</w:t>
      </w:r>
      <w:r w:rsidR="00015EA9" w:rsidRPr="00A54691">
        <w:rPr>
          <w:rFonts w:ascii="Times New Roman" w:hAnsi="Times New Roman"/>
          <w:bCs/>
          <w:szCs w:val="24"/>
        </w:rPr>
        <w:t xml:space="preserve"> acrescenta e dá nova redação a dispositivos previstos na Lei nº 9.478/1997, </w:t>
      </w:r>
      <w:r w:rsidR="00015EA9">
        <w:rPr>
          <w:rFonts w:ascii="Times New Roman" w:hAnsi="Times New Roman"/>
          <w:bCs/>
          <w:szCs w:val="24"/>
        </w:rPr>
        <w:t>além de</w:t>
      </w:r>
      <w:r w:rsidR="00015EA9" w:rsidRPr="00A54691">
        <w:rPr>
          <w:rFonts w:ascii="Times New Roman" w:hAnsi="Times New Roman"/>
          <w:bCs/>
          <w:szCs w:val="24"/>
        </w:rPr>
        <w:t xml:space="preserve"> amplia</w:t>
      </w:r>
      <w:r w:rsidR="00015EA9">
        <w:rPr>
          <w:rFonts w:ascii="Times New Roman" w:hAnsi="Times New Roman"/>
          <w:bCs/>
          <w:szCs w:val="24"/>
        </w:rPr>
        <w:t>r</w:t>
      </w:r>
      <w:r w:rsidR="00015EA9" w:rsidRPr="00A54691">
        <w:rPr>
          <w:rFonts w:ascii="Times New Roman" w:hAnsi="Times New Roman"/>
          <w:bCs/>
          <w:szCs w:val="24"/>
        </w:rPr>
        <w:t xml:space="preserve"> a competência da ANP para toda a Indústria de Biocombustíveis, definida como o conjunto de atividades econômicas relacionadas com produção, importação, exportação, transferência, transporte, armazenagem, comercialização, distribuição, avaliação de conformidade e certificação da qualidade de biocombustíveis</w:t>
      </w:r>
      <w:r w:rsidR="00015EA9">
        <w:rPr>
          <w:rFonts w:ascii="Times New Roman" w:hAnsi="Times New Roman"/>
          <w:szCs w:val="24"/>
        </w:rPr>
        <w:t>.</w:t>
      </w:r>
    </w:p>
    <w:p w:rsidR="00D95F7C" w:rsidRDefault="00C27301" w:rsidP="00C27301">
      <w:pPr>
        <w:tabs>
          <w:tab w:val="left" w:pos="1134"/>
        </w:tabs>
        <w:spacing w:before="120" w:after="120" w:line="276" w:lineRule="auto"/>
        <w:jc w:val="both"/>
        <w:rPr>
          <w:rFonts w:ascii="Times New Roman" w:hAnsi="Times New Roman"/>
          <w:szCs w:val="24"/>
        </w:rPr>
      </w:pPr>
      <w:r>
        <w:rPr>
          <w:rFonts w:ascii="Times New Roman" w:hAnsi="Times New Roman"/>
          <w:szCs w:val="24"/>
        </w:rPr>
        <w:tab/>
      </w:r>
      <w:r w:rsidRPr="00464BB1">
        <w:rPr>
          <w:rFonts w:ascii="Times New Roman" w:hAnsi="Times New Roman"/>
          <w:szCs w:val="24"/>
        </w:rPr>
        <w:t xml:space="preserve">A publicação da Lei </w:t>
      </w:r>
      <w:r w:rsidR="00F91105">
        <w:rPr>
          <w:rFonts w:ascii="Times New Roman" w:hAnsi="Times New Roman"/>
          <w:szCs w:val="24"/>
        </w:rPr>
        <w:t>n</w:t>
      </w:r>
      <w:r w:rsidR="00F91105" w:rsidRPr="00464BB1">
        <w:rPr>
          <w:rFonts w:ascii="Times New Roman" w:hAnsi="Times New Roman"/>
          <w:szCs w:val="24"/>
        </w:rPr>
        <w:t xml:space="preserve">º </w:t>
      </w:r>
      <w:r w:rsidRPr="00464BB1">
        <w:rPr>
          <w:rFonts w:ascii="Times New Roman" w:hAnsi="Times New Roman"/>
          <w:szCs w:val="24"/>
        </w:rPr>
        <w:t xml:space="preserve">13.033, de 24 de setembro de 2014, </w:t>
      </w:r>
      <w:r w:rsidRPr="00A571E2">
        <w:rPr>
          <w:rFonts w:ascii="Times New Roman" w:hAnsi="Times New Roman"/>
          <w:szCs w:val="24"/>
        </w:rPr>
        <w:t>alterou o percentual obrigatório de biodiesel ao óleo diesel de 5% para 6%, a partir de 1º de julho de 2014 e 7% a partir de 1º de novembro de 2014.</w:t>
      </w:r>
      <w:r>
        <w:rPr>
          <w:rFonts w:ascii="Times New Roman" w:hAnsi="Times New Roman"/>
          <w:szCs w:val="24"/>
        </w:rPr>
        <w:t xml:space="preserve"> Além disso, esta lei </w:t>
      </w:r>
      <w:r w:rsidRPr="00464BB1">
        <w:rPr>
          <w:rFonts w:ascii="Times New Roman" w:hAnsi="Times New Roman"/>
          <w:szCs w:val="24"/>
        </w:rPr>
        <w:t xml:space="preserve">alterou o art. 2º da Lei nº 9478, de 6 de agosto de 1997, passando ao Conselho Nacional de Política Energética – CNPE a atribuição de definir diretrizes para comercialização e uso de biodiesel e estabelecer, em caráter </w:t>
      </w:r>
      <w:proofErr w:type="spellStart"/>
      <w:r w:rsidRPr="00464BB1">
        <w:rPr>
          <w:rFonts w:ascii="Times New Roman" w:hAnsi="Times New Roman"/>
          <w:szCs w:val="24"/>
        </w:rPr>
        <w:t>autorizativo</w:t>
      </w:r>
      <w:proofErr w:type="spellEnd"/>
      <w:r w:rsidRPr="00464BB1">
        <w:rPr>
          <w:rFonts w:ascii="Times New Roman" w:hAnsi="Times New Roman"/>
          <w:szCs w:val="24"/>
        </w:rPr>
        <w:t xml:space="preserve">, quantidade superior ao percentual de adição obrigatória fixado em lei específica. </w:t>
      </w:r>
    </w:p>
    <w:p w:rsidR="002C332E" w:rsidRDefault="00E71729" w:rsidP="006109E1">
      <w:pPr>
        <w:tabs>
          <w:tab w:val="left" w:pos="1134"/>
        </w:tabs>
        <w:spacing w:before="120" w:after="240" w:line="276" w:lineRule="auto"/>
        <w:jc w:val="both"/>
        <w:rPr>
          <w:rFonts w:ascii="Times New Roman" w:hAnsi="Times New Roman"/>
          <w:szCs w:val="24"/>
        </w:rPr>
      </w:pPr>
      <w:r>
        <w:rPr>
          <w:rFonts w:ascii="Times New Roman" w:hAnsi="Times New Roman"/>
          <w:szCs w:val="24"/>
        </w:rPr>
        <w:lastRenderedPageBreak/>
        <w:tab/>
      </w:r>
      <w:r w:rsidR="00DA4E4D">
        <w:rPr>
          <w:rFonts w:ascii="Times New Roman" w:hAnsi="Times New Roman"/>
          <w:szCs w:val="24"/>
        </w:rPr>
        <w:t>Em seguida, o</w:t>
      </w:r>
      <w:r>
        <w:rPr>
          <w:rFonts w:ascii="Times New Roman" w:hAnsi="Times New Roman"/>
          <w:szCs w:val="24"/>
        </w:rPr>
        <w:t xml:space="preserve"> </w:t>
      </w:r>
      <w:r w:rsidRPr="00DA4E4D">
        <w:rPr>
          <w:rFonts w:ascii="Times New Roman" w:hAnsi="Times New Roman"/>
          <w:szCs w:val="24"/>
        </w:rPr>
        <w:t>CNPE publicou a Resolução n° 3, de 21 de setembro de 2015, para autorizar e definir as diretrizes para comercialização e uso voluntário de biodiesel.</w:t>
      </w:r>
      <w:r w:rsidR="00DA4E4D" w:rsidRPr="00DA4E4D">
        <w:rPr>
          <w:rFonts w:ascii="Times New Roman" w:hAnsi="Times New Roman"/>
          <w:szCs w:val="24"/>
        </w:rPr>
        <w:t xml:space="preserve"> No Art. 1º desta Resolução, o CNPE autoriza a comercialização e o uso voluntário de misturas com biodiesel, em quantidade superior ao percentual de sua adição obrigatória ao óleo diesel observados os seguintes limites máximos de adição de biodiesel ao óleo diesel, em volume:</w:t>
      </w:r>
    </w:p>
    <w:p w:rsidR="002C332E" w:rsidRDefault="00DA4E4D" w:rsidP="002C332E">
      <w:pPr>
        <w:tabs>
          <w:tab w:val="left" w:pos="1134"/>
        </w:tabs>
        <w:spacing w:after="120" w:line="276" w:lineRule="auto"/>
        <w:jc w:val="both"/>
        <w:rPr>
          <w:rFonts w:ascii="Times New Roman" w:hAnsi="Times New Roman"/>
          <w:szCs w:val="24"/>
        </w:rPr>
      </w:pPr>
      <w:r w:rsidRPr="00DA4E4D">
        <w:rPr>
          <w:rFonts w:ascii="Times New Roman" w:hAnsi="Times New Roman"/>
          <w:szCs w:val="24"/>
        </w:rPr>
        <w:t>I - vinte por cento em frotas cativas ou consumidores rodoviários atendidos por ponto de abastecimento;</w:t>
      </w:r>
    </w:p>
    <w:p w:rsidR="00DA4E4D" w:rsidRPr="00DA4E4D" w:rsidRDefault="00DA4E4D" w:rsidP="002C332E">
      <w:pPr>
        <w:tabs>
          <w:tab w:val="left" w:pos="1134"/>
        </w:tabs>
        <w:spacing w:after="120" w:line="276" w:lineRule="auto"/>
        <w:jc w:val="both"/>
        <w:rPr>
          <w:rFonts w:ascii="Times New Roman" w:hAnsi="Times New Roman"/>
          <w:szCs w:val="24"/>
        </w:rPr>
      </w:pPr>
      <w:r w:rsidRPr="00DA4E4D">
        <w:rPr>
          <w:rFonts w:ascii="Times New Roman" w:hAnsi="Times New Roman"/>
          <w:szCs w:val="24"/>
        </w:rPr>
        <w:t>II - trinta por cento no transporte ferroviário;</w:t>
      </w:r>
    </w:p>
    <w:p w:rsidR="00DA4E4D" w:rsidRPr="00DA4E4D" w:rsidRDefault="00DA4E4D" w:rsidP="00DA4E4D">
      <w:pPr>
        <w:spacing w:after="140"/>
        <w:jc w:val="both"/>
        <w:rPr>
          <w:rFonts w:ascii="Times New Roman" w:hAnsi="Times New Roman"/>
          <w:szCs w:val="24"/>
        </w:rPr>
      </w:pPr>
      <w:r w:rsidRPr="00DA4E4D">
        <w:rPr>
          <w:rFonts w:ascii="Times New Roman" w:hAnsi="Times New Roman"/>
          <w:szCs w:val="24"/>
        </w:rPr>
        <w:t>III - trinta por cento no uso agrícola e industrial; e</w:t>
      </w:r>
    </w:p>
    <w:p w:rsidR="00DA4E4D" w:rsidRPr="00DA4E4D" w:rsidRDefault="00DA4E4D" w:rsidP="006109E1">
      <w:pPr>
        <w:spacing w:after="240"/>
        <w:jc w:val="both"/>
        <w:rPr>
          <w:rFonts w:ascii="Times New Roman" w:hAnsi="Times New Roman"/>
          <w:szCs w:val="24"/>
        </w:rPr>
      </w:pPr>
      <w:r w:rsidRPr="00DA4E4D">
        <w:rPr>
          <w:rFonts w:ascii="Times New Roman" w:hAnsi="Times New Roman"/>
          <w:szCs w:val="24"/>
        </w:rPr>
        <w:t>IV - cem por cento no uso experimental, específico ou em demais aplicações.</w:t>
      </w:r>
    </w:p>
    <w:p w:rsidR="00DA4E4D" w:rsidRPr="00DA4E4D" w:rsidRDefault="00DA4E4D" w:rsidP="00C27301">
      <w:pPr>
        <w:tabs>
          <w:tab w:val="left" w:pos="1134"/>
        </w:tabs>
        <w:spacing w:before="120" w:after="120" w:line="276" w:lineRule="auto"/>
        <w:jc w:val="both"/>
        <w:rPr>
          <w:rFonts w:ascii="Times New Roman" w:hAnsi="Times New Roman"/>
          <w:bCs/>
          <w:szCs w:val="24"/>
        </w:rPr>
      </w:pPr>
      <w:r>
        <w:rPr>
          <w:rFonts w:ascii="Times New Roman" w:hAnsi="Times New Roman"/>
          <w:szCs w:val="24"/>
        </w:rPr>
        <w:tab/>
      </w:r>
      <w:r w:rsidRPr="00DA4E4D">
        <w:rPr>
          <w:rFonts w:ascii="Times New Roman" w:hAnsi="Times New Roman"/>
          <w:bCs/>
          <w:szCs w:val="24"/>
        </w:rPr>
        <w:t xml:space="preserve">Na mesma Resolução é estabelecido que a autorização de que trata o caput do Art. 1º fica condicionada ao atendimento das disposições complementares estabelecidas pela ANP e que a autorização prevista no art. 1º, inciso IV, fica condicionada, também, à prévia anuência da ANP. </w:t>
      </w:r>
    </w:p>
    <w:p w:rsidR="00C27301" w:rsidRDefault="00D95F7C" w:rsidP="00C27301">
      <w:pPr>
        <w:tabs>
          <w:tab w:val="left" w:pos="1134"/>
        </w:tabs>
        <w:spacing w:before="120" w:after="120" w:line="276" w:lineRule="auto"/>
        <w:jc w:val="both"/>
        <w:rPr>
          <w:rFonts w:ascii="Times New Roman" w:hAnsi="Times New Roman"/>
          <w:bCs/>
          <w:szCs w:val="24"/>
        </w:rPr>
      </w:pPr>
      <w:r>
        <w:rPr>
          <w:rFonts w:ascii="Times New Roman" w:hAnsi="Times New Roman"/>
          <w:szCs w:val="24"/>
        </w:rPr>
        <w:tab/>
      </w:r>
      <w:r w:rsidR="00640188">
        <w:rPr>
          <w:rFonts w:ascii="Times New Roman" w:hAnsi="Times New Roman"/>
          <w:szCs w:val="24"/>
        </w:rPr>
        <w:t xml:space="preserve">A </w:t>
      </w:r>
      <w:r w:rsidR="00E71729">
        <w:rPr>
          <w:rFonts w:ascii="Times New Roman" w:hAnsi="Times New Roman"/>
          <w:szCs w:val="24"/>
        </w:rPr>
        <w:t xml:space="preserve">Resolução ANP nº 18, de </w:t>
      </w:r>
      <w:r w:rsidR="00E71729">
        <w:rPr>
          <w:rFonts w:ascii="Times New Roman" w:hAnsi="Times New Roman"/>
          <w:bCs/>
          <w:szCs w:val="24"/>
        </w:rPr>
        <w:t>22 de junho de 2007, trata da</w:t>
      </w:r>
      <w:r w:rsidR="00E71729" w:rsidRPr="00E71729">
        <w:rPr>
          <w:rFonts w:ascii="Times New Roman" w:hAnsi="Times New Roman"/>
          <w:bCs/>
          <w:szCs w:val="24"/>
        </w:rPr>
        <w:t xml:space="preserve"> autorização prévia da ANP </w:t>
      </w:r>
      <w:r w:rsidR="00E71729">
        <w:rPr>
          <w:rFonts w:ascii="Times New Roman" w:hAnsi="Times New Roman"/>
          <w:bCs/>
          <w:szCs w:val="24"/>
        </w:rPr>
        <w:t>para</w:t>
      </w:r>
      <w:r w:rsidR="00E71729" w:rsidRPr="00E71729">
        <w:rPr>
          <w:rFonts w:ascii="Times New Roman" w:hAnsi="Times New Roman"/>
          <w:bCs/>
          <w:szCs w:val="24"/>
        </w:rPr>
        <w:t xml:space="preserve"> utilização de biodiesel, B100, e de suas misturas com óleo diesel, em teores diversos do autorizado por legislação específica, destinados ao uso experimental, caso o consum</w:t>
      </w:r>
      <w:r w:rsidR="00E71729">
        <w:rPr>
          <w:rFonts w:ascii="Times New Roman" w:hAnsi="Times New Roman"/>
          <w:bCs/>
          <w:szCs w:val="24"/>
        </w:rPr>
        <w:t>o mensal supere a 10.000 litros e a Resolução ANP nº 2, de 29 de janeiro de 2008, trata da</w:t>
      </w:r>
      <w:r w:rsidR="00E71729" w:rsidRPr="00E71729">
        <w:rPr>
          <w:rFonts w:ascii="Times New Roman" w:hAnsi="Times New Roman"/>
          <w:bCs/>
          <w:szCs w:val="24"/>
        </w:rPr>
        <w:t xml:space="preserve"> autorização prévia da ANP a utilização de biodiesel e de suas misturas com óleo diesel B, em teores diversos do autorizado pela legislação vigente, destinados ao uso específico.</w:t>
      </w:r>
    </w:p>
    <w:p w:rsidR="00DA4E4D" w:rsidRDefault="00DA4E4D" w:rsidP="00DA4E4D">
      <w:pPr>
        <w:tabs>
          <w:tab w:val="left" w:pos="1134"/>
        </w:tabs>
        <w:spacing w:before="120" w:after="120" w:line="276" w:lineRule="auto"/>
        <w:jc w:val="both"/>
        <w:rPr>
          <w:rFonts w:ascii="Times New Roman" w:hAnsi="Times New Roman"/>
          <w:bCs/>
          <w:szCs w:val="24"/>
        </w:rPr>
      </w:pPr>
      <w:r>
        <w:rPr>
          <w:rFonts w:ascii="Times New Roman" w:hAnsi="Times New Roman"/>
          <w:bCs/>
          <w:szCs w:val="24"/>
        </w:rPr>
        <w:tab/>
        <w:t xml:space="preserve">Assim, considerando que o CNPE </w:t>
      </w:r>
      <w:r w:rsidR="00097D2C">
        <w:rPr>
          <w:rFonts w:ascii="Times New Roman" w:hAnsi="Times New Roman"/>
          <w:bCs/>
          <w:szCs w:val="24"/>
        </w:rPr>
        <w:t>autorizou,</w:t>
      </w:r>
      <w:r>
        <w:rPr>
          <w:rFonts w:ascii="Times New Roman" w:hAnsi="Times New Roman"/>
          <w:bCs/>
          <w:szCs w:val="24"/>
        </w:rPr>
        <w:t xml:space="preserve"> condicionado à prévia anuência da ANP, a </w:t>
      </w:r>
      <w:r w:rsidRPr="00DA4E4D">
        <w:rPr>
          <w:rFonts w:ascii="Times New Roman" w:hAnsi="Times New Roman"/>
          <w:bCs/>
          <w:szCs w:val="24"/>
        </w:rPr>
        <w:t xml:space="preserve">comercialização e o uso voluntário de misturas </w:t>
      </w:r>
      <w:r>
        <w:rPr>
          <w:rFonts w:ascii="Times New Roman" w:hAnsi="Times New Roman"/>
          <w:bCs/>
          <w:szCs w:val="24"/>
        </w:rPr>
        <w:t xml:space="preserve">de óleo diesel </w:t>
      </w:r>
      <w:r w:rsidRPr="00DA4E4D">
        <w:rPr>
          <w:rFonts w:ascii="Times New Roman" w:hAnsi="Times New Roman"/>
          <w:bCs/>
          <w:szCs w:val="24"/>
        </w:rPr>
        <w:t>com biodiesel, em quantidade superior ao obrigatóri</w:t>
      </w:r>
      <w:r>
        <w:rPr>
          <w:rFonts w:ascii="Times New Roman" w:hAnsi="Times New Roman"/>
          <w:bCs/>
          <w:szCs w:val="24"/>
        </w:rPr>
        <w:t>o</w:t>
      </w:r>
      <w:r w:rsidRPr="00DA4E4D">
        <w:rPr>
          <w:rFonts w:ascii="Times New Roman" w:hAnsi="Times New Roman"/>
          <w:bCs/>
          <w:szCs w:val="24"/>
        </w:rPr>
        <w:t xml:space="preserve">, </w:t>
      </w:r>
      <w:r>
        <w:rPr>
          <w:rFonts w:ascii="Times New Roman" w:hAnsi="Times New Roman"/>
          <w:bCs/>
          <w:szCs w:val="24"/>
        </w:rPr>
        <w:t>respeitando o limite máximo</w:t>
      </w:r>
      <w:r w:rsidRPr="00DA4E4D">
        <w:rPr>
          <w:rFonts w:ascii="Times New Roman" w:hAnsi="Times New Roman"/>
          <w:bCs/>
          <w:szCs w:val="24"/>
        </w:rPr>
        <w:t xml:space="preserve"> de cem por cento no uso experimental, es</w:t>
      </w:r>
      <w:r w:rsidR="00097D2C">
        <w:rPr>
          <w:rFonts w:ascii="Times New Roman" w:hAnsi="Times New Roman"/>
          <w:bCs/>
          <w:szCs w:val="24"/>
        </w:rPr>
        <w:t>pecífico ou em demais aplicações, faz-se necessário a alteração das referidas Resoluções</w:t>
      </w:r>
      <w:r w:rsidRPr="00DA4E4D">
        <w:rPr>
          <w:rFonts w:ascii="Times New Roman" w:hAnsi="Times New Roman"/>
          <w:bCs/>
          <w:szCs w:val="24"/>
        </w:rPr>
        <w:t>.</w:t>
      </w:r>
    </w:p>
    <w:p w:rsidR="00097D2C" w:rsidRPr="00DA4E4D" w:rsidRDefault="00097D2C" w:rsidP="00BF38F3">
      <w:pPr>
        <w:tabs>
          <w:tab w:val="left" w:pos="1134"/>
        </w:tabs>
        <w:spacing w:before="120" w:after="360" w:line="276" w:lineRule="auto"/>
        <w:jc w:val="both"/>
        <w:rPr>
          <w:rFonts w:ascii="Times New Roman" w:hAnsi="Times New Roman"/>
          <w:bCs/>
          <w:szCs w:val="24"/>
        </w:rPr>
      </w:pPr>
      <w:r>
        <w:rPr>
          <w:rFonts w:ascii="Times New Roman" w:hAnsi="Times New Roman"/>
          <w:bCs/>
          <w:szCs w:val="24"/>
        </w:rPr>
        <w:tab/>
        <w:t>Ressalta-se</w:t>
      </w:r>
      <w:r w:rsidR="007521F8">
        <w:rPr>
          <w:rFonts w:ascii="Times New Roman" w:hAnsi="Times New Roman"/>
          <w:bCs/>
          <w:szCs w:val="24"/>
        </w:rPr>
        <w:t xml:space="preserve"> que a minuta da nova Resolução</w:t>
      </w:r>
      <w:r>
        <w:rPr>
          <w:rFonts w:ascii="Times New Roman" w:hAnsi="Times New Roman"/>
          <w:bCs/>
          <w:szCs w:val="24"/>
        </w:rPr>
        <w:t xml:space="preserve"> considera os requisitos para aquisição da prévia anuência </w:t>
      </w:r>
      <w:r w:rsidR="007521F8">
        <w:rPr>
          <w:rFonts w:ascii="Times New Roman" w:hAnsi="Times New Roman"/>
          <w:bCs/>
          <w:szCs w:val="24"/>
        </w:rPr>
        <w:t xml:space="preserve">pela ANP </w:t>
      </w:r>
      <w:r w:rsidRPr="007521F8">
        <w:rPr>
          <w:rFonts w:ascii="Times New Roman" w:hAnsi="Times New Roman"/>
          <w:bCs/>
          <w:szCs w:val="24"/>
        </w:rPr>
        <w:t>para os usos experimental e específico, conforme estabelecido</w:t>
      </w:r>
      <w:r w:rsidR="00DC6527" w:rsidRPr="007521F8">
        <w:rPr>
          <w:rFonts w:ascii="Times New Roman" w:hAnsi="Times New Roman"/>
          <w:bCs/>
          <w:szCs w:val="24"/>
        </w:rPr>
        <w:t xml:space="preserve"> n</w:t>
      </w:r>
      <w:r w:rsidR="007521F8">
        <w:rPr>
          <w:rFonts w:ascii="Times New Roman" w:hAnsi="Times New Roman"/>
          <w:bCs/>
          <w:szCs w:val="24"/>
        </w:rPr>
        <w:t>o</w:t>
      </w:r>
      <w:r w:rsidR="007521F8" w:rsidRPr="007521F8">
        <w:rPr>
          <w:rFonts w:ascii="Times New Roman" w:hAnsi="Times New Roman"/>
          <w:bCs/>
          <w:szCs w:val="24"/>
        </w:rPr>
        <w:t xml:space="preserve"> § 2º</w:t>
      </w:r>
      <w:r w:rsidRPr="007521F8">
        <w:rPr>
          <w:rFonts w:ascii="Times New Roman" w:hAnsi="Times New Roman"/>
          <w:bCs/>
          <w:szCs w:val="24"/>
        </w:rPr>
        <w:t>,</w:t>
      </w:r>
      <w:r w:rsidR="007521F8">
        <w:rPr>
          <w:rFonts w:ascii="Times New Roman" w:hAnsi="Times New Roman"/>
          <w:bCs/>
          <w:szCs w:val="24"/>
        </w:rPr>
        <w:t xml:space="preserve"> do Art. 1º da Resolução CNPE nº 3/2015.</w:t>
      </w:r>
      <w:r>
        <w:rPr>
          <w:rFonts w:ascii="Times New Roman" w:hAnsi="Times New Roman"/>
          <w:szCs w:val="24"/>
        </w:rPr>
        <w:t xml:space="preserve"> </w:t>
      </w:r>
    </w:p>
    <w:p w:rsidR="00F46585" w:rsidRPr="00C22FFB" w:rsidRDefault="00F46585" w:rsidP="00C22FFB">
      <w:pPr>
        <w:numPr>
          <w:ilvl w:val="0"/>
          <w:numId w:val="15"/>
        </w:numPr>
        <w:tabs>
          <w:tab w:val="left" w:pos="1134"/>
        </w:tabs>
        <w:spacing w:before="120" w:after="120" w:line="276" w:lineRule="auto"/>
        <w:jc w:val="both"/>
        <w:rPr>
          <w:rFonts w:ascii="Times New Roman" w:hAnsi="Times New Roman"/>
          <w:b/>
          <w:szCs w:val="24"/>
        </w:rPr>
      </w:pPr>
      <w:r w:rsidRPr="00C22FFB">
        <w:rPr>
          <w:rFonts w:ascii="Times New Roman" w:hAnsi="Times New Roman"/>
          <w:b/>
          <w:szCs w:val="24"/>
        </w:rPr>
        <w:t xml:space="preserve">DA MOTIVAÇÃO PARA ALTERAÇÃO </w:t>
      </w:r>
      <w:r w:rsidRPr="00C22FFB">
        <w:rPr>
          <w:rFonts w:ascii="Times New Roman" w:hAnsi="Times New Roman"/>
          <w:b/>
          <w:szCs w:val="24"/>
        </w:rPr>
        <w:tab/>
      </w:r>
    </w:p>
    <w:p w:rsidR="006A5348" w:rsidRDefault="00E71729" w:rsidP="004A1065">
      <w:pPr>
        <w:tabs>
          <w:tab w:val="left" w:pos="1134"/>
        </w:tabs>
        <w:spacing w:before="120" w:after="120" w:line="276" w:lineRule="auto"/>
        <w:jc w:val="both"/>
        <w:rPr>
          <w:rFonts w:ascii="Times New Roman" w:hAnsi="Times New Roman"/>
          <w:szCs w:val="24"/>
        </w:rPr>
      </w:pPr>
      <w:r>
        <w:rPr>
          <w:rFonts w:ascii="Times New Roman" w:hAnsi="Times New Roman"/>
          <w:szCs w:val="24"/>
        </w:rPr>
        <w:tab/>
        <w:t xml:space="preserve">A revisão da Resolução ANP nº </w:t>
      </w:r>
      <w:r w:rsidRPr="00E71729">
        <w:rPr>
          <w:rFonts w:ascii="Times New Roman" w:hAnsi="Times New Roman"/>
          <w:szCs w:val="24"/>
        </w:rPr>
        <w:t xml:space="preserve">18, de 22 de junho de 2007, </w:t>
      </w:r>
      <w:r>
        <w:rPr>
          <w:rFonts w:ascii="Times New Roman" w:hAnsi="Times New Roman"/>
          <w:szCs w:val="24"/>
        </w:rPr>
        <w:t xml:space="preserve">e da Resolução ANP </w:t>
      </w:r>
      <w:r w:rsidRPr="00E71729">
        <w:rPr>
          <w:rFonts w:ascii="Times New Roman" w:hAnsi="Times New Roman"/>
          <w:szCs w:val="24"/>
        </w:rPr>
        <w:t>nº 2, de 29 de janeiro de 2008,</w:t>
      </w:r>
      <w:r w:rsidR="006A5348">
        <w:rPr>
          <w:rFonts w:ascii="Times New Roman" w:hAnsi="Times New Roman"/>
          <w:szCs w:val="24"/>
        </w:rPr>
        <w:t xml:space="preserve"> possui como motivações:</w:t>
      </w:r>
    </w:p>
    <w:p w:rsidR="00E71729" w:rsidRDefault="006A5348" w:rsidP="004A1065">
      <w:pPr>
        <w:tabs>
          <w:tab w:val="left" w:pos="1134"/>
        </w:tabs>
        <w:spacing w:before="120" w:after="120" w:line="276" w:lineRule="auto"/>
        <w:jc w:val="both"/>
        <w:rPr>
          <w:rFonts w:ascii="Times New Roman" w:hAnsi="Times New Roman"/>
          <w:szCs w:val="24"/>
        </w:rPr>
      </w:pPr>
      <w:r>
        <w:rPr>
          <w:rFonts w:ascii="Times New Roman" w:hAnsi="Times New Roman"/>
          <w:szCs w:val="24"/>
        </w:rPr>
        <w:t>a)</w:t>
      </w:r>
      <w:r w:rsidR="00E71729">
        <w:rPr>
          <w:rFonts w:ascii="Times New Roman" w:hAnsi="Times New Roman"/>
          <w:szCs w:val="24"/>
        </w:rPr>
        <w:t xml:space="preserve"> adequar o arcabouço regulatório às alterações introduzidas pela Lei n</w:t>
      </w:r>
      <w:r w:rsidR="00E71729" w:rsidRPr="00464BB1">
        <w:rPr>
          <w:rFonts w:ascii="Times New Roman" w:hAnsi="Times New Roman"/>
          <w:szCs w:val="24"/>
        </w:rPr>
        <w:t>º 13.033, de 24 de setembro de 2014</w:t>
      </w:r>
      <w:r>
        <w:rPr>
          <w:rFonts w:ascii="Times New Roman" w:hAnsi="Times New Roman"/>
          <w:szCs w:val="24"/>
        </w:rPr>
        <w:t>;</w:t>
      </w:r>
    </w:p>
    <w:p w:rsidR="006A5348" w:rsidRDefault="006A5348" w:rsidP="004A1065">
      <w:pPr>
        <w:tabs>
          <w:tab w:val="left" w:pos="1134"/>
        </w:tabs>
        <w:spacing w:before="120" w:after="120" w:line="276" w:lineRule="auto"/>
        <w:jc w:val="both"/>
        <w:rPr>
          <w:rFonts w:ascii="Times New Roman" w:hAnsi="Times New Roman"/>
          <w:szCs w:val="24"/>
        </w:rPr>
      </w:pPr>
      <w:r>
        <w:rPr>
          <w:rFonts w:ascii="Times New Roman" w:hAnsi="Times New Roman"/>
          <w:szCs w:val="24"/>
        </w:rPr>
        <w:t>b) regulamentar a prévia anuência da ANP, conforme o §2º, do art. 1º, da Resolução CNPE n° 3, de 21 de setembro de 2015;</w:t>
      </w:r>
    </w:p>
    <w:p w:rsidR="006A5348" w:rsidRDefault="006A5348" w:rsidP="00BF38F3">
      <w:pPr>
        <w:tabs>
          <w:tab w:val="left" w:pos="1134"/>
        </w:tabs>
        <w:spacing w:before="120" w:after="360" w:line="276" w:lineRule="auto"/>
        <w:jc w:val="both"/>
        <w:rPr>
          <w:rFonts w:ascii="Times New Roman" w:hAnsi="Times New Roman"/>
          <w:szCs w:val="24"/>
        </w:rPr>
      </w:pPr>
      <w:r>
        <w:rPr>
          <w:rFonts w:ascii="Times New Roman" w:hAnsi="Times New Roman"/>
          <w:szCs w:val="24"/>
        </w:rPr>
        <w:t xml:space="preserve">c) estabelecer os mecanismos necessários à proteção do consumidor e do meio ambiente com o uso de misturas em quantidade superior ao percentual de adição obrigatória, assim como os fluxos de </w:t>
      </w:r>
      <w:r>
        <w:rPr>
          <w:rFonts w:ascii="Times New Roman" w:hAnsi="Times New Roman"/>
          <w:szCs w:val="24"/>
        </w:rPr>
        <w:lastRenderedPageBreak/>
        <w:t>informações pelos agentes e consumidores</w:t>
      </w:r>
      <w:r w:rsidR="006109E1">
        <w:rPr>
          <w:rFonts w:ascii="Times New Roman" w:hAnsi="Times New Roman"/>
          <w:szCs w:val="24"/>
        </w:rPr>
        <w:t xml:space="preserve"> para ao atendimento do art. 1º, inciso IV, da referida Resolução CNPE</w:t>
      </w:r>
      <w:r>
        <w:rPr>
          <w:rFonts w:ascii="Times New Roman" w:hAnsi="Times New Roman"/>
          <w:szCs w:val="24"/>
        </w:rPr>
        <w:t>.</w:t>
      </w:r>
    </w:p>
    <w:p w:rsidR="00F46585" w:rsidRDefault="001C4760" w:rsidP="00F46585">
      <w:pPr>
        <w:tabs>
          <w:tab w:val="left" w:pos="1134"/>
        </w:tabs>
        <w:spacing w:before="120" w:after="120" w:line="276" w:lineRule="auto"/>
        <w:jc w:val="both"/>
        <w:rPr>
          <w:rFonts w:ascii="Times New Roman" w:hAnsi="Times New Roman"/>
          <w:b/>
          <w:szCs w:val="24"/>
        </w:rPr>
      </w:pPr>
      <w:r w:rsidRPr="006A5348">
        <w:rPr>
          <w:rFonts w:ascii="Times New Roman" w:hAnsi="Times New Roman"/>
          <w:b/>
          <w:color w:val="000000"/>
          <w:szCs w:val="24"/>
        </w:rPr>
        <w:t>4</w:t>
      </w:r>
      <w:r w:rsidR="00F46585" w:rsidRPr="006A5348">
        <w:rPr>
          <w:rFonts w:ascii="Times New Roman" w:hAnsi="Times New Roman"/>
          <w:b/>
          <w:szCs w:val="24"/>
        </w:rPr>
        <w:t>.</w:t>
      </w:r>
      <w:r w:rsidR="00F46585" w:rsidRPr="00484214">
        <w:rPr>
          <w:rFonts w:ascii="Times New Roman" w:hAnsi="Times New Roman"/>
          <w:b/>
          <w:color w:val="000000"/>
          <w:szCs w:val="24"/>
        </w:rPr>
        <w:tab/>
      </w:r>
      <w:r w:rsidR="00F46585">
        <w:rPr>
          <w:rFonts w:ascii="Times New Roman" w:hAnsi="Times New Roman"/>
          <w:b/>
          <w:szCs w:val="24"/>
        </w:rPr>
        <w:t>DAS ALTERAÇÕES</w:t>
      </w:r>
    </w:p>
    <w:p w:rsidR="00D43ECB" w:rsidRDefault="003E58EE" w:rsidP="003E58EE">
      <w:pPr>
        <w:tabs>
          <w:tab w:val="left" w:pos="1134"/>
        </w:tabs>
        <w:spacing w:before="120" w:after="120" w:line="276" w:lineRule="auto"/>
        <w:jc w:val="both"/>
        <w:rPr>
          <w:rFonts w:ascii="Times New Roman" w:hAnsi="Times New Roman"/>
          <w:bCs/>
          <w:szCs w:val="24"/>
        </w:rPr>
      </w:pPr>
      <w:r>
        <w:rPr>
          <w:rFonts w:ascii="Times New Roman" w:hAnsi="Times New Roman"/>
          <w:bCs/>
          <w:szCs w:val="24"/>
        </w:rPr>
        <w:tab/>
      </w:r>
      <w:r w:rsidR="00D43ECB">
        <w:rPr>
          <w:rFonts w:ascii="Times New Roman" w:hAnsi="Times New Roman"/>
          <w:bCs/>
          <w:szCs w:val="24"/>
        </w:rPr>
        <w:t xml:space="preserve">Primeiramente, destaca-se que em virtude da Resolução ANP nº 45/2014, que trata da especificação do biodiesel, </w:t>
      </w:r>
      <w:r w:rsidR="00754F42">
        <w:rPr>
          <w:rFonts w:ascii="Times New Roman" w:hAnsi="Times New Roman"/>
          <w:bCs/>
          <w:szCs w:val="24"/>
        </w:rPr>
        <w:t>estabelecer que a</w:t>
      </w:r>
      <w:r w:rsidR="00BF38F3">
        <w:rPr>
          <w:rFonts w:ascii="Times New Roman" w:hAnsi="Times New Roman"/>
          <w:bCs/>
          <w:szCs w:val="24"/>
        </w:rPr>
        <w:t>s</w:t>
      </w:r>
      <w:r w:rsidR="00754F42">
        <w:rPr>
          <w:rFonts w:ascii="Times New Roman" w:hAnsi="Times New Roman"/>
          <w:bCs/>
          <w:szCs w:val="24"/>
        </w:rPr>
        <w:t xml:space="preserve"> mistura</w:t>
      </w:r>
      <w:r w:rsidR="00BF38F3">
        <w:rPr>
          <w:rFonts w:ascii="Times New Roman" w:hAnsi="Times New Roman"/>
          <w:bCs/>
          <w:szCs w:val="24"/>
        </w:rPr>
        <w:t>s</w:t>
      </w:r>
      <w:r w:rsidR="00754F42">
        <w:rPr>
          <w:rFonts w:ascii="Times New Roman" w:hAnsi="Times New Roman"/>
          <w:bCs/>
          <w:szCs w:val="24"/>
        </w:rPr>
        <w:t xml:space="preserve"> de biodiesel com óleo diesel A em teores superiores ao percentual obrigatório por lei é denominada óleo diesel BX, sendo X o teor de biodiesel, a </w:t>
      </w:r>
      <w:r w:rsidR="00BF38F3">
        <w:rPr>
          <w:rFonts w:ascii="Times New Roman" w:hAnsi="Times New Roman"/>
          <w:bCs/>
          <w:szCs w:val="24"/>
        </w:rPr>
        <w:t>presente minuta</w:t>
      </w:r>
      <w:r w:rsidR="00754F42">
        <w:rPr>
          <w:rFonts w:ascii="Times New Roman" w:hAnsi="Times New Roman"/>
          <w:bCs/>
          <w:szCs w:val="24"/>
        </w:rPr>
        <w:t xml:space="preserve"> de Resolução </w:t>
      </w:r>
      <w:r w:rsidR="00AA55C3">
        <w:rPr>
          <w:rFonts w:ascii="Times New Roman" w:hAnsi="Times New Roman"/>
          <w:bCs/>
          <w:szCs w:val="24"/>
        </w:rPr>
        <w:t>considera</w:t>
      </w:r>
      <w:r w:rsidR="00BF38F3">
        <w:rPr>
          <w:rFonts w:ascii="Times New Roman" w:hAnsi="Times New Roman"/>
          <w:bCs/>
          <w:szCs w:val="24"/>
        </w:rPr>
        <w:t xml:space="preserve"> a referida</w:t>
      </w:r>
      <w:r w:rsidR="00754F42">
        <w:rPr>
          <w:rFonts w:ascii="Times New Roman" w:hAnsi="Times New Roman"/>
          <w:bCs/>
          <w:szCs w:val="24"/>
        </w:rPr>
        <w:t xml:space="preserve"> nomenclatura</w:t>
      </w:r>
      <w:r w:rsidR="00094943">
        <w:rPr>
          <w:rFonts w:ascii="Times New Roman" w:hAnsi="Times New Roman"/>
          <w:bCs/>
          <w:szCs w:val="24"/>
        </w:rPr>
        <w:t xml:space="preserve"> para essa mistura</w:t>
      </w:r>
      <w:r w:rsidR="00754F42">
        <w:rPr>
          <w:rFonts w:ascii="Times New Roman" w:hAnsi="Times New Roman"/>
          <w:bCs/>
          <w:szCs w:val="24"/>
        </w:rPr>
        <w:t>.</w:t>
      </w:r>
    </w:p>
    <w:p w:rsidR="00007A2D" w:rsidRDefault="00D43ECB" w:rsidP="00BF38F3">
      <w:pPr>
        <w:tabs>
          <w:tab w:val="left" w:pos="1134"/>
        </w:tabs>
        <w:spacing w:before="120" w:after="240" w:line="276" w:lineRule="auto"/>
        <w:jc w:val="both"/>
        <w:rPr>
          <w:rFonts w:ascii="Times New Roman" w:hAnsi="Times New Roman"/>
          <w:bCs/>
          <w:szCs w:val="24"/>
        </w:rPr>
      </w:pPr>
      <w:r>
        <w:rPr>
          <w:rFonts w:ascii="Times New Roman" w:hAnsi="Times New Roman"/>
          <w:bCs/>
          <w:szCs w:val="24"/>
        </w:rPr>
        <w:tab/>
      </w:r>
      <w:r w:rsidR="00D37D78">
        <w:rPr>
          <w:rFonts w:ascii="Times New Roman" w:hAnsi="Times New Roman"/>
          <w:bCs/>
          <w:szCs w:val="24"/>
        </w:rPr>
        <w:t>O texto do regulamento foi subdivid</w:t>
      </w:r>
      <w:r w:rsidR="0028339F">
        <w:rPr>
          <w:rFonts w:ascii="Times New Roman" w:hAnsi="Times New Roman"/>
          <w:bCs/>
          <w:szCs w:val="24"/>
        </w:rPr>
        <w:t>ido em seções.</w:t>
      </w:r>
      <w:r w:rsidR="00D37D78">
        <w:rPr>
          <w:rFonts w:ascii="Times New Roman" w:hAnsi="Times New Roman"/>
          <w:bCs/>
          <w:szCs w:val="24"/>
        </w:rPr>
        <w:t xml:space="preserve"> </w:t>
      </w:r>
      <w:r w:rsidR="00007A2D">
        <w:rPr>
          <w:rFonts w:ascii="Times New Roman" w:hAnsi="Times New Roman"/>
          <w:bCs/>
          <w:szCs w:val="24"/>
        </w:rPr>
        <w:t>As</w:t>
      </w:r>
      <w:r w:rsidR="0028339F">
        <w:rPr>
          <w:rFonts w:ascii="Times New Roman" w:hAnsi="Times New Roman"/>
          <w:bCs/>
          <w:szCs w:val="24"/>
        </w:rPr>
        <w:t xml:space="preserve"> principais</w:t>
      </w:r>
      <w:r w:rsidR="00007A2D">
        <w:rPr>
          <w:rFonts w:ascii="Times New Roman" w:hAnsi="Times New Roman"/>
          <w:bCs/>
          <w:szCs w:val="24"/>
        </w:rPr>
        <w:t xml:space="preserve"> alterações propostas na presente Resolução serão consideradas a seguir</w:t>
      </w:r>
      <w:r w:rsidR="00140F52">
        <w:rPr>
          <w:rFonts w:ascii="Times New Roman" w:hAnsi="Times New Roman"/>
          <w:bCs/>
          <w:szCs w:val="24"/>
        </w:rPr>
        <w:t>.</w:t>
      </w:r>
    </w:p>
    <w:p w:rsidR="0076674E" w:rsidRPr="007F046B" w:rsidRDefault="00247F09" w:rsidP="0076674E">
      <w:pPr>
        <w:tabs>
          <w:tab w:val="left" w:pos="1134"/>
        </w:tabs>
        <w:spacing w:before="120" w:after="120" w:line="276" w:lineRule="auto"/>
        <w:jc w:val="both"/>
        <w:rPr>
          <w:rFonts w:ascii="Times New Roman" w:hAnsi="Times New Roman"/>
          <w:b/>
          <w:bCs/>
          <w:szCs w:val="24"/>
        </w:rPr>
      </w:pPr>
      <w:r>
        <w:rPr>
          <w:rFonts w:ascii="Times New Roman" w:hAnsi="Times New Roman"/>
          <w:b/>
          <w:bCs/>
          <w:szCs w:val="24"/>
        </w:rPr>
        <w:tab/>
      </w:r>
      <w:r w:rsidR="001C4760">
        <w:rPr>
          <w:rFonts w:ascii="Times New Roman" w:hAnsi="Times New Roman"/>
          <w:b/>
          <w:bCs/>
          <w:szCs w:val="24"/>
        </w:rPr>
        <w:t>4</w:t>
      </w:r>
      <w:r w:rsidR="0076674E" w:rsidRPr="007F046B">
        <w:rPr>
          <w:rFonts w:ascii="Times New Roman" w:hAnsi="Times New Roman"/>
          <w:b/>
          <w:bCs/>
          <w:szCs w:val="24"/>
        </w:rPr>
        <w:t xml:space="preserve">.1. Das </w:t>
      </w:r>
      <w:r w:rsidR="00B50F02">
        <w:rPr>
          <w:rFonts w:ascii="Times New Roman" w:hAnsi="Times New Roman"/>
          <w:b/>
          <w:bCs/>
          <w:szCs w:val="24"/>
        </w:rPr>
        <w:t>D</w:t>
      </w:r>
      <w:r w:rsidR="0076674E" w:rsidRPr="007F046B">
        <w:rPr>
          <w:rFonts w:ascii="Times New Roman" w:hAnsi="Times New Roman"/>
          <w:b/>
          <w:bCs/>
          <w:szCs w:val="24"/>
        </w:rPr>
        <w:t xml:space="preserve">isposições </w:t>
      </w:r>
      <w:r w:rsidR="00B50F02">
        <w:rPr>
          <w:rFonts w:ascii="Times New Roman" w:hAnsi="Times New Roman"/>
          <w:b/>
          <w:bCs/>
          <w:szCs w:val="24"/>
        </w:rPr>
        <w:t>P</w:t>
      </w:r>
      <w:r w:rsidR="0076674E" w:rsidRPr="007F046B">
        <w:rPr>
          <w:rFonts w:ascii="Times New Roman" w:hAnsi="Times New Roman"/>
          <w:b/>
          <w:bCs/>
          <w:szCs w:val="24"/>
        </w:rPr>
        <w:t>reliminares</w:t>
      </w:r>
    </w:p>
    <w:p w:rsidR="00C22FFB" w:rsidRDefault="0036060F" w:rsidP="00BF38F3">
      <w:pPr>
        <w:tabs>
          <w:tab w:val="left" w:pos="1134"/>
        </w:tabs>
        <w:spacing w:before="120" w:after="240" w:line="276" w:lineRule="auto"/>
        <w:jc w:val="both"/>
        <w:rPr>
          <w:rFonts w:ascii="Times New Roman" w:hAnsi="Times New Roman"/>
          <w:color w:val="000000" w:themeColor="text1"/>
          <w:szCs w:val="24"/>
        </w:rPr>
      </w:pPr>
      <w:r w:rsidRPr="00B96636">
        <w:rPr>
          <w:rFonts w:ascii="Times New Roman" w:hAnsi="Times New Roman"/>
          <w:szCs w:val="24"/>
        </w:rPr>
        <w:tab/>
      </w:r>
      <w:r w:rsidR="00710A6E">
        <w:rPr>
          <w:rFonts w:ascii="Times New Roman" w:hAnsi="Times New Roman"/>
          <w:szCs w:val="24"/>
        </w:rPr>
        <w:t xml:space="preserve">A autorização concedida pela ANP para os usos experimental e específico foi substituída pela prévia anuência </w:t>
      </w:r>
      <w:r w:rsidR="007521F8">
        <w:rPr>
          <w:rFonts w:ascii="Times New Roman" w:hAnsi="Times New Roman"/>
          <w:szCs w:val="24"/>
        </w:rPr>
        <w:t xml:space="preserve">nos casos previstos no </w:t>
      </w:r>
      <w:r w:rsidR="00710A6E">
        <w:rPr>
          <w:rFonts w:ascii="Times New Roman" w:hAnsi="Times New Roman"/>
          <w:szCs w:val="24"/>
        </w:rPr>
        <w:t>art. 1º, inciso IV, da Resolução CNPE n° 3, de 21 de setembro de 2015</w:t>
      </w:r>
      <w:r w:rsidR="007521F8">
        <w:rPr>
          <w:rFonts w:ascii="Times New Roman" w:hAnsi="Times New Roman"/>
          <w:szCs w:val="24"/>
        </w:rPr>
        <w:t>.</w:t>
      </w:r>
      <w:r w:rsidR="00AF3E51">
        <w:rPr>
          <w:rFonts w:ascii="Times New Roman" w:hAnsi="Times New Roman"/>
          <w:color w:val="000000" w:themeColor="text1"/>
          <w:szCs w:val="24"/>
        </w:rPr>
        <w:t xml:space="preserve"> </w:t>
      </w:r>
      <w:r w:rsidR="007521F8">
        <w:rPr>
          <w:rFonts w:ascii="Times New Roman" w:hAnsi="Times New Roman"/>
          <w:color w:val="000000" w:themeColor="text1"/>
          <w:szCs w:val="24"/>
        </w:rPr>
        <w:t>A prévia anuência será dada por meio de despacho administrativo publicado no Diário Oficial da União</w:t>
      </w:r>
      <w:r w:rsidR="00061960">
        <w:rPr>
          <w:rFonts w:ascii="Times New Roman" w:hAnsi="Times New Roman"/>
          <w:color w:val="000000" w:themeColor="text1"/>
          <w:szCs w:val="24"/>
        </w:rPr>
        <w:t xml:space="preserve">. </w:t>
      </w:r>
    </w:p>
    <w:p w:rsidR="002A212B" w:rsidRDefault="00247F09" w:rsidP="00710A6E">
      <w:pPr>
        <w:tabs>
          <w:tab w:val="left" w:pos="1134"/>
        </w:tabs>
        <w:spacing w:before="120" w:after="120" w:line="276" w:lineRule="auto"/>
        <w:jc w:val="both"/>
        <w:rPr>
          <w:rFonts w:ascii="Times New Roman" w:hAnsi="Times New Roman"/>
          <w:b/>
          <w:bCs/>
          <w:szCs w:val="24"/>
        </w:rPr>
      </w:pPr>
      <w:r>
        <w:rPr>
          <w:rFonts w:ascii="Times New Roman" w:hAnsi="Times New Roman"/>
          <w:b/>
          <w:bCs/>
          <w:szCs w:val="24"/>
        </w:rPr>
        <w:tab/>
      </w:r>
      <w:r w:rsidR="00E94528">
        <w:rPr>
          <w:rFonts w:ascii="Times New Roman" w:hAnsi="Times New Roman"/>
          <w:b/>
          <w:bCs/>
          <w:szCs w:val="24"/>
        </w:rPr>
        <w:t>4.2</w:t>
      </w:r>
      <w:r w:rsidR="00E94528" w:rsidRPr="007F046B">
        <w:rPr>
          <w:rFonts w:ascii="Times New Roman" w:hAnsi="Times New Roman"/>
          <w:b/>
          <w:bCs/>
          <w:szCs w:val="24"/>
        </w:rPr>
        <w:t xml:space="preserve">. Da </w:t>
      </w:r>
      <w:r w:rsidR="00710A6E">
        <w:rPr>
          <w:rFonts w:ascii="Times New Roman" w:hAnsi="Times New Roman"/>
          <w:b/>
          <w:bCs/>
          <w:szCs w:val="24"/>
        </w:rPr>
        <w:t>Prévia Anuência para o Uso Experimental</w:t>
      </w:r>
    </w:p>
    <w:p w:rsidR="005B5A0A" w:rsidRDefault="00090A63" w:rsidP="00710A6E">
      <w:pPr>
        <w:tabs>
          <w:tab w:val="left" w:pos="1134"/>
        </w:tabs>
        <w:spacing w:before="120" w:after="120" w:line="276" w:lineRule="auto"/>
        <w:jc w:val="both"/>
        <w:rPr>
          <w:rFonts w:ascii="Times New Roman" w:hAnsi="Times New Roman"/>
          <w:bCs/>
          <w:szCs w:val="24"/>
        </w:rPr>
      </w:pPr>
      <w:r>
        <w:rPr>
          <w:rFonts w:ascii="Times New Roman" w:hAnsi="Times New Roman"/>
          <w:bCs/>
          <w:szCs w:val="24"/>
        </w:rPr>
        <w:tab/>
      </w:r>
      <w:r w:rsidR="005A68F4">
        <w:rPr>
          <w:rFonts w:ascii="Times New Roman" w:hAnsi="Times New Roman"/>
          <w:bCs/>
          <w:szCs w:val="24"/>
        </w:rPr>
        <w:t>A proposta de unificação das Resoluções ANP nº 18/2007 e nº 2/2008, ensejou a alte</w:t>
      </w:r>
      <w:r w:rsidR="0010671C">
        <w:rPr>
          <w:rFonts w:ascii="Times New Roman" w:hAnsi="Times New Roman"/>
          <w:bCs/>
          <w:szCs w:val="24"/>
        </w:rPr>
        <w:t>ração de algumas exigências na instrução do processo</w:t>
      </w:r>
      <w:r w:rsidR="0010671C">
        <w:rPr>
          <w:rFonts w:ascii="Times New Roman" w:hAnsi="Times New Roman"/>
          <w:szCs w:val="24"/>
        </w:rPr>
        <w:t xml:space="preserve"> pelo usuário interessado em u</w:t>
      </w:r>
      <w:r w:rsidR="001E5F17">
        <w:rPr>
          <w:rFonts w:ascii="Times New Roman" w:hAnsi="Times New Roman"/>
          <w:szCs w:val="24"/>
        </w:rPr>
        <w:t>tiliza</w:t>
      </w:r>
      <w:r w:rsidR="0010671C">
        <w:rPr>
          <w:rFonts w:ascii="Times New Roman" w:hAnsi="Times New Roman"/>
          <w:szCs w:val="24"/>
        </w:rPr>
        <w:t xml:space="preserve">r </w:t>
      </w:r>
      <w:r w:rsidR="00754F42">
        <w:rPr>
          <w:rFonts w:ascii="Times New Roman" w:hAnsi="Times New Roman"/>
          <w:szCs w:val="24"/>
        </w:rPr>
        <w:t>o óleo diesel BX</w:t>
      </w:r>
      <w:r w:rsidR="0010671C">
        <w:rPr>
          <w:rFonts w:ascii="Times New Roman" w:hAnsi="Times New Roman"/>
          <w:szCs w:val="24"/>
        </w:rPr>
        <w:t xml:space="preserve"> em aplicações ou teores diversos dos estabelecidos no art. 1°, incisos I, II e III</w:t>
      </w:r>
      <w:r w:rsidR="001E5F17">
        <w:rPr>
          <w:rFonts w:ascii="Times New Roman" w:hAnsi="Times New Roman"/>
          <w:szCs w:val="24"/>
        </w:rPr>
        <w:t xml:space="preserve"> da Resolução nº 3 do CNPE.</w:t>
      </w:r>
    </w:p>
    <w:p w:rsidR="005B5A0A" w:rsidRDefault="00710A6E" w:rsidP="005B5A0A">
      <w:pPr>
        <w:tabs>
          <w:tab w:val="left" w:pos="1134"/>
        </w:tabs>
        <w:spacing w:before="120" w:after="120" w:line="276" w:lineRule="auto"/>
        <w:jc w:val="both"/>
        <w:rPr>
          <w:rFonts w:ascii="Times New Roman" w:hAnsi="Times New Roman"/>
          <w:szCs w:val="24"/>
        </w:rPr>
      </w:pPr>
      <w:r>
        <w:rPr>
          <w:rFonts w:ascii="Times New Roman" w:hAnsi="Times New Roman"/>
          <w:szCs w:val="24"/>
        </w:rPr>
        <w:tab/>
      </w:r>
      <w:r w:rsidR="005B5A0A">
        <w:rPr>
          <w:rFonts w:ascii="Times New Roman" w:hAnsi="Times New Roman"/>
          <w:szCs w:val="24"/>
        </w:rPr>
        <w:t xml:space="preserve">O inciso I da </w:t>
      </w:r>
      <w:r w:rsidR="001E5F17">
        <w:rPr>
          <w:rFonts w:ascii="Times New Roman" w:hAnsi="Times New Roman"/>
          <w:bCs/>
          <w:szCs w:val="24"/>
        </w:rPr>
        <w:t>Resolução ANP nº 18/2007</w:t>
      </w:r>
      <w:r w:rsidR="005B5A0A">
        <w:rPr>
          <w:rFonts w:ascii="Times New Roman" w:hAnsi="Times New Roman"/>
          <w:szCs w:val="24"/>
        </w:rPr>
        <w:t xml:space="preserve">, foi substituído pelo requerimento, conforme o Anexo I, </w:t>
      </w:r>
      <w:r w:rsidR="00B85EB2">
        <w:rPr>
          <w:rFonts w:ascii="Times New Roman" w:hAnsi="Times New Roman"/>
          <w:szCs w:val="24"/>
        </w:rPr>
        <w:t>com o objetivo de</w:t>
      </w:r>
      <w:r w:rsidR="005B5A0A">
        <w:rPr>
          <w:rFonts w:ascii="Times New Roman" w:hAnsi="Times New Roman"/>
          <w:szCs w:val="24"/>
        </w:rPr>
        <w:t xml:space="preserve"> padronizar </w:t>
      </w:r>
      <w:r w:rsidR="00B85EB2">
        <w:rPr>
          <w:rFonts w:ascii="Times New Roman" w:hAnsi="Times New Roman"/>
          <w:szCs w:val="24"/>
        </w:rPr>
        <w:t>o formato de solicitação</w:t>
      </w:r>
      <w:r w:rsidR="005B5A0A">
        <w:rPr>
          <w:rFonts w:ascii="Times New Roman" w:hAnsi="Times New Roman"/>
          <w:szCs w:val="24"/>
        </w:rPr>
        <w:t xml:space="preserve"> da prévia anuência da ANP</w:t>
      </w:r>
      <w:r w:rsidR="00B85EB2">
        <w:rPr>
          <w:rFonts w:ascii="Times New Roman" w:hAnsi="Times New Roman"/>
          <w:szCs w:val="24"/>
        </w:rPr>
        <w:t xml:space="preserve">, inclusive no que se refere à lista de veículos ou equipamentos que serão utilizados nos usos experimental ou específico. </w:t>
      </w:r>
    </w:p>
    <w:p w:rsidR="00D51207" w:rsidRDefault="005B5A0A" w:rsidP="00710A6E">
      <w:pPr>
        <w:tabs>
          <w:tab w:val="left" w:pos="1134"/>
        </w:tabs>
        <w:spacing w:before="120" w:after="120" w:line="276" w:lineRule="auto"/>
        <w:jc w:val="both"/>
        <w:rPr>
          <w:rFonts w:ascii="Times New Roman" w:hAnsi="Times New Roman"/>
          <w:szCs w:val="24"/>
        </w:rPr>
      </w:pPr>
      <w:r>
        <w:rPr>
          <w:rFonts w:ascii="Times New Roman" w:hAnsi="Times New Roman"/>
          <w:szCs w:val="24"/>
        </w:rPr>
        <w:tab/>
        <w:t xml:space="preserve">O inciso II da </w:t>
      </w:r>
      <w:r w:rsidR="00421EDF">
        <w:rPr>
          <w:rFonts w:ascii="Times New Roman" w:hAnsi="Times New Roman"/>
          <w:bCs/>
          <w:szCs w:val="24"/>
        </w:rPr>
        <w:t xml:space="preserve">Resolução ANP nº 18/2007 </w:t>
      </w:r>
      <w:r>
        <w:rPr>
          <w:rFonts w:ascii="Times New Roman" w:hAnsi="Times New Roman"/>
          <w:szCs w:val="24"/>
        </w:rPr>
        <w:t xml:space="preserve">foi excluído, tendo em vista que o produto a ser utilizado durante o uso experimental ainda não possui especificação </w:t>
      </w:r>
      <w:r w:rsidR="006C74D0">
        <w:rPr>
          <w:rFonts w:ascii="Times New Roman" w:hAnsi="Times New Roman"/>
          <w:szCs w:val="24"/>
        </w:rPr>
        <w:t>e dessa forma, não sendo</w:t>
      </w:r>
      <w:r>
        <w:rPr>
          <w:rFonts w:ascii="Times New Roman" w:hAnsi="Times New Roman"/>
          <w:szCs w:val="24"/>
        </w:rPr>
        <w:t xml:space="preserve"> necessário </w:t>
      </w:r>
      <w:r w:rsidR="006C74D0">
        <w:rPr>
          <w:rFonts w:ascii="Times New Roman" w:hAnsi="Times New Roman"/>
          <w:szCs w:val="24"/>
        </w:rPr>
        <w:t>pedir</w:t>
      </w:r>
      <w:r>
        <w:rPr>
          <w:rFonts w:ascii="Times New Roman" w:hAnsi="Times New Roman"/>
          <w:szCs w:val="24"/>
        </w:rPr>
        <w:t xml:space="preserve"> o laudo de caracterização previamente ao uso. </w:t>
      </w:r>
      <w:r w:rsidR="006C74D0">
        <w:rPr>
          <w:rFonts w:ascii="Times New Roman" w:hAnsi="Times New Roman"/>
          <w:szCs w:val="24"/>
        </w:rPr>
        <w:t>No entanto, mantém</w:t>
      </w:r>
      <w:r>
        <w:rPr>
          <w:rFonts w:ascii="Times New Roman" w:hAnsi="Times New Roman"/>
          <w:szCs w:val="24"/>
        </w:rPr>
        <w:t xml:space="preserve"> a exigência</w:t>
      </w:r>
      <w:r w:rsidR="006C74D0">
        <w:rPr>
          <w:rFonts w:ascii="Times New Roman" w:hAnsi="Times New Roman"/>
          <w:szCs w:val="24"/>
        </w:rPr>
        <w:t xml:space="preserve"> de</w:t>
      </w:r>
      <w:r>
        <w:rPr>
          <w:rFonts w:ascii="Times New Roman" w:hAnsi="Times New Roman"/>
          <w:szCs w:val="24"/>
        </w:rPr>
        <w:t xml:space="preserve"> que o </w:t>
      </w:r>
      <w:r w:rsidR="006C74D0">
        <w:rPr>
          <w:rFonts w:ascii="Times New Roman" w:hAnsi="Times New Roman"/>
          <w:szCs w:val="24"/>
        </w:rPr>
        <w:t>solicitante</w:t>
      </w:r>
      <w:r>
        <w:rPr>
          <w:rFonts w:ascii="Times New Roman" w:hAnsi="Times New Roman"/>
          <w:szCs w:val="24"/>
        </w:rPr>
        <w:t xml:space="preserve"> que </w:t>
      </w:r>
      <w:r w:rsidR="006C74D0">
        <w:rPr>
          <w:rFonts w:ascii="Times New Roman" w:hAnsi="Times New Roman"/>
          <w:szCs w:val="24"/>
        </w:rPr>
        <w:t>obter</w:t>
      </w:r>
      <w:r>
        <w:rPr>
          <w:rFonts w:ascii="Times New Roman" w:hAnsi="Times New Roman"/>
          <w:szCs w:val="24"/>
        </w:rPr>
        <w:t xml:space="preserve"> a prévia anuência deverá analisar mensalmente e encaminhar à ANP os dados de qualidade do produto.</w:t>
      </w:r>
    </w:p>
    <w:p w:rsidR="00AD6686" w:rsidRDefault="00AD6686" w:rsidP="00771D1D">
      <w:pPr>
        <w:tabs>
          <w:tab w:val="left" w:pos="1134"/>
        </w:tabs>
        <w:spacing w:before="120" w:after="120" w:line="276" w:lineRule="auto"/>
        <w:jc w:val="both"/>
        <w:rPr>
          <w:rFonts w:ascii="Times New Roman" w:hAnsi="Times New Roman"/>
          <w:szCs w:val="24"/>
        </w:rPr>
      </w:pPr>
      <w:r>
        <w:tab/>
      </w:r>
      <w:r w:rsidRPr="00771D1D">
        <w:rPr>
          <w:rFonts w:ascii="Times New Roman" w:hAnsi="Times New Roman"/>
          <w:szCs w:val="24"/>
        </w:rPr>
        <w:t>A licença ou parecer favorável do órgão ambiental</w:t>
      </w:r>
      <w:r w:rsidR="00771D1D">
        <w:rPr>
          <w:rFonts w:ascii="Times New Roman" w:hAnsi="Times New Roman"/>
          <w:szCs w:val="24"/>
        </w:rPr>
        <w:t xml:space="preserve"> foi mantido</w:t>
      </w:r>
      <w:r w:rsidRPr="00771D1D">
        <w:rPr>
          <w:rFonts w:ascii="Times New Roman" w:hAnsi="Times New Roman"/>
          <w:szCs w:val="24"/>
        </w:rPr>
        <w:t xml:space="preserve">, </w:t>
      </w:r>
      <w:r w:rsidR="00421EDF" w:rsidRPr="00771D1D">
        <w:rPr>
          <w:rFonts w:ascii="Times New Roman" w:hAnsi="Times New Roman"/>
          <w:szCs w:val="24"/>
        </w:rPr>
        <w:t xml:space="preserve">inciso III </w:t>
      </w:r>
      <w:r w:rsidRPr="00771D1D">
        <w:rPr>
          <w:rFonts w:ascii="Times New Roman" w:hAnsi="Times New Roman"/>
          <w:szCs w:val="24"/>
        </w:rPr>
        <w:t>da Resolução ANP nº 18/2007</w:t>
      </w:r>
      <w:r w:rsidR="00112D19">
        <w:rPr>
          <w:rFonts w:ascii="Times New Roman" w:hAnsi="Times New Roman"/>
          <w:szCs w:val="24"/>
        </w:rPr>
        <w:t>,</w:t>
      </w:r>
      <w:r w:rsidR="00771D1D">
        <w:rPr>
          <w:rFonts w:ascii="Times New Roman" w:hAnsi="Times New Roman"/>
          <w:szCs w:val="24"/>
        </w:rPr>
        <w:t xml:space="preserve"> que</w:t>
      </w:r>
      <w:r w:rsidRPr="00771D1D">
        <w:rPr>
          <w:rFonts w:ascii="Times New Roman" w:hAnsi="Times New Roman"/>
          <w:szCs w:val="24"/>
        </w:rPr>
        <w:t xml:space="preserve"> corresponde ao §3º, do art. 1°, da Resolução CNPE n° 3, de 21 de setembro de 2015, </w:t>
      </w:r>
      <w:r w:rsidR="00771D1D" w:rsidRPr="00771D1D">
        <w:rPr>
          <w:rFonts w:ascii="Times New Roman" w:hAnsi="Times New Roman"/>
          <w:szCs w:val="24"/>
        </w:rPr>
        <w:t>pois c</w:t>
      </w:r>
      <w:r w:rsidRPr="00771D1D">
        <w:rPr>
          <w:rFonts w:ascii="Times New Roman" w:hAnsi="Times New Roman"/>
          <w:szCs w:val="24"/>
        </w:rPr>
        <w:t xml:space="preserve">abe à ANP definir, entre outros, os mecanismos necessários à proteção do consumidor e do meio ambiente com o uso de </w:t>
      </w:r>
      <w:r w:rsidR="00754F42">
        <w:rPr>
          <w:rFonts w:ascii="Times New Roman" w:hAnsi="Times New Roman"/>
          <w:szCs w:val="24"/>
        </w:rPr>
        <w:t>óleo diesel BX</w:t>
      </w:r>
      <w:r w:rsidRPr="00771D1D">
        <w:rPr>
          <w:rFonts w:ascii="Times New Roman" w:hAnsi="Times New Roman"/>
          <w:szCs w:val="24"/>
        </w:rPr>
        <w:t xml:space="preserve"> </w:t>
      </w:r>
      <w:r w:rsidR="00754F42">
        <w:rPr>
          <w:rFonts w:ascii="Times New Roman" w:hAnsi="Times New Roman"/>
          <w:szCs w:val="24"/>
        </w:rPr>
        <w:t>com teor de</w:t>
      </w:r>
      <w:r w:rsidRPr="00771D1D">
        <w:rPr>
          <w:rFonts w:ascii="Times New Roman" w:hAnsi="Times New Roman"/>
          <w:szCs w:val="24"/>
        </w:rPr>
        <w:t xml:space="preserve"> biodiesel em quantidade superior ao percentual de adição obrigatória, assim como o fluxo de informações pelos agentes e consumidores</w:t>
      </w:r>
      <w:r w:rsidR="00771D1D">
        <w:rPr>
          <w:rFonts w:ascii="Times New Roman" w:hAnsi="Times New Roman"/>
          <w:szCs w:val="24"/>
        </w:rPr>
        <w:t>.</w:t>
      </w:r>
    </w:p>
    <w:p w:rsidR="005B5A0A" w:rsidRPr="00710A6E" w:rsidRDefault="005B5A0A" w:rsidP="005B5A0A">
      <w:pPr>
        <w:tabs>
          <w:tab w:val="left" w:pos="1134"/>
        </w:tabs>
        <w:spacing w:before="120" w:after="120" w:line="276" w:lineRule="auto"/>
        <w:jc w:val="both"/>
        <w:rPr>
          <w:rFonts w:ascii="Times New Roman" w:hAnsi="Times New Roman"/>
          <w:szCs w:val="24"/>
        </w:rPr>
      </w:pPr>
      <w:r>
        <w:rPr>
          <w:rFonts w:ascii="Times New Roman" w:hAnsi="Times New Roman"/>
          <w:szCs w:val="24"/>
        </w:rPr>
        <w:lastRenderedPageBreak/>
        <w:tab/>
      </w:r>
      <w:r w:rsidR="00771D1D">
        <w:rPr>
          <w:rFonts w:ascii="Times New Roman" w:hAnsi="Times New Roman"/>
          <w:szCs w:val="24"/>
        </w:rPr>
        <w:t xml:space="preserve">Foi incluída a exigência de preenchimento de </w:t>
      </w:r>
      <w:r w:rsidRPr="00710A6E">
        <w:rPr>
          <w:rFonts w:ascii="Times New Roman" w:hAnsi="Times New Roman"/>
          <w:szCs w:val="24"/>
        </w:rPr>
        <w:t>ficha cadastral</w:t>
      </w:r>
      <w:r w:rsidR="006C74D0">
        <w:rPr>
          <w:rFonts w:ascii="Times New Roman" w:hAnsi="Times New Roman"/>
          <w:szCs w:val="24"/>
        </w:rPr>
        <w:t xml:space="preserve"> (inciso IV da minuta de Resolução)</w:t>
      </w:r>
      <w:r w:rsidRPr="00710A6E">
        <w:rPr>
          <w:rFonts w:ascii="Times New Roman" w:hAnsi="Times New Roman"/>
          <w:szCs w:val="24"/>
        </w:rPr>
        <w:t xml:space="preserve"> </w:t>
      </w:r>
      <w:r w:rsidR="00361B26">
        <w:rPr>
          <w:rFonts w:ascii="Times New Roman" w:hAnsi="Times New Roman"/>
          <w:szCs w:val="24"/>
        </w:rPr>
        <w:t>do solicitante</w:t>
      </w:r>
      <w:r w:rsidRPr="00710A6E">
        <w:rPr>
          <w:rFonts w:ascii="Times New Roman" w:hAnsi="Times New Roman"/>
          <w:szCs w:val="24"/>
        </w:rPr>
        <w:t>, do usuário e da(s) empresa(s) ou instituição(</w:t>
      </w:r>
      <w:proofErr w:type="spellStart"/>
      <w:r w:rsidRPr="00710A6E">
        <w:rPr>
          <w:rFonts w:ascii="Times New Roman" w:hAnsi="Times New Roman"/>
          <w:szCs w:val="24"/>
        </w:rPr>
        <w:t>ões</w:t>
      </w:r>
      <w:proofErr w:type="spellEnd"/>
      <w:r w:rsidRPr="00710A6E">
        <w:rPr>
          <w:rFonts w:ascii="Times New Roman" w:hAnsi="Times New Roman"/>
          <w:szCs w:val="24"/>
        </w:rPr>
        <w:t>) responsável(is) pela análise do produto, conforme ANEXO III</w:t>
      </w:r>
      <w:r w:rsidR="00771D1D">
        <w:rPr>
          <w:rFonts w:ascii="Times New Roman" w:hAnsi="Times New Roman"/>
          <w:szCs w:val="24"/>
        </w:rPr>
        <w:t>, com</w:t>
      </w:r>
      <w:r w:rsidR="00361B26">
        <w:rPr>
          <w:rFonts w:ascii="Times New Roman" w:hAnsi="Times New Roman"/>
          <w:szCs w:val="24"/>
        </w:rPr>
        <w:t xml:space="preserve"> o objetivo de informar à ANP todos os agentes que estarão envolvidos nos testes.</w:t>
      </w:r>
    </w:p>
    <w:p w:rsidR="00361B26" w:rsidRDefault="00361B26" w:rsidP="00D51207">
      <w:pPr>
        <w:tabs>
          <w:tab w:val="left" w:pos="1134"/>
        </w:tabs>
        <w:spacing w:before="120" w:after="120" w:line="276" w:lineRule="auto"/>
        <w:jc w:val="both"/>
        <w:rPr>
          <w:rFonts w:ascii="Times New Roman" w:hAnsi="Times New Roman"/>
          <w:szCs w:val="24"/>
        </w:rPr>
      </w:pPr>
      <w:r>
        <w:rPr>
          <w:rFonts w:ascii="Times New Roman" w:hAnsi="Times New Roman"/>
          <w:szCs w:val="24"/>
        </w:rPr>
        <w:tab/>
        <w:t>N</w:t>
      </w:r>
      <w:r w:rsidR="00771D1D">
        <w:rPr>
          <w:rFonts w:ascii="Times New Roman" w:hAnsi="Times New Roman"/>
          <w:szCs w:val="24"/>
        </w:rPr>
        <w:t>a</w:t>
      </w:r>
      <w:r>
        <w:rPr>
          <w:rFonts w:ascii="Times New Roman" w:hAnsi="Times New Roman"/>
          <w:szCs w:val="24"/>
        </w:rPr>
        <w:t xml:space="preserve"> </w:t>
      </w:r>
      <w:r w:rsidR="00771D1D">
        <w:rPr>
          <w:rFonts w:ascii="Times New Roman" w:hAnsi="Times New Roman"/>
          <w:bCs/>
          <w:szCs w:val="24"/>
        </w:rPr>
        <w:t xml:space="preserve">Resolução ANP nº 18/2007 </w:t>
      </w:r>
      <w:r w:rsidR="006C74D0">
        <w:rPr>
          <w:rFonts w:ascii="Times New Roman" w:hAnsi="Times New Roman"/>
          <w:szCs w:val="24"/>
        </w:rPr>
        <w:t>estabelece que no ato da solicitação de autorização o solicitante deve apresentar documento contendo o planejamento do uso experimental, acompanhado de cronograma,</w:t>
      </w:r>
      <w:r w:rsidR="00112D19">
        <w:rPr>
          <w:rFonts w:ascii="Times New Roman" w:hAnsi="Times New Roman"/>
          <w:szCs w:val="24"/>
        </w:rPr>
        <w:t xml:space="preserve"> inciso IV</w:t>
      </w:r>
      <w:r w:rsidR="006C74D0">
        <w:rPr>
          <w:rFonts w:ascii="Times New Roman" w:hAnsi="Times New Roman"/>
          <w:szCs w:val="24"/>
        </w:rPr>
        <w:t xml:space="preserve"> do art. 3º do referido regulamento</w:t>
      </w:r>
      <w:r w:rsidR="00112D19">
        <w:rPr>
          <w:rFonts w:ascii="Times New Roman" w:hAnsi="Times New Roman"/>
          <w:szCs w:val="24"/>
        </w:rPr>
        <w:t>.</w:t>
      </w:r>
      <w:r>
        <w:rPr>
          <w:rFonts w:ascii="Times New Roman" w:hAnsi="Times New Roman"/>
          <w:szCs w:val="24"/>
        </w:rPr>
        <w:t xml:space="preserve"> Contudo, viu-se a necessidade de se acordar</w:t>
      </w:r>
      <w:r w:rsidR="006C74D0">
        <w:rPr>
          <w:rFonts w:ascii="Times New Roman" w:hAnsi="Times New Roman"/>
          <w:szCs w:val="24"/>
        </w:rPr>
        <w:t>,</w:t>
      </w:r>
      <w:r>
        <w:rPr>
          <w:rFonts w:ascii="Times New Roman" w:hAnsi="Times New Roman"/>
          <w:szCs w:val="24"/>
        </w:rPr>
        <w:t xml:space="preserve"> em conjunto com o </w:t>
      </w:r>
      <w:r w:rsidR="006C74D0">
        <w:rPr>
          <w:rFonts w:ascii="Times New Roman" w:hAnsi="Times New Roman"/>
          <w:szCs w:val="24"/>
        </w:rPr>
        <w:t>solicitante,</w:t>
      </w:r>
      <w:r>
        <w:rPr>
          <w:rFonts w:ascii="Times New Roman" w:hAnsi="Times New Roman"/>
          <w:szCs w:val="24"/>
        </w:rPr>
        <w:t xml:space="preserve"> um plano de trabalho a ser executado de modo mais fidedigno ao objetivo proposto e ao teor biodiesel </w:t>
      </w:r>
      <w:r w:rsidR="00754F42">
        <w:rPr>
          <w:rFonts w:ascii="Times New Roman" w:hAnsi="Times New Roman"/>
          <w:szCs w:val="24"/>
        </w:rPr>
        <w:t>no óleo diesel BX testado</w:t>
      </w:r>
      <w:r>
        <w:rPr>
          <w:rFonts w:ascii="Times New Roman" w:hAnsi="Times New Roman"/>
          <w:szCs w:val="24"/>
        </w:rPr>
        <w:t xml:space="preserve">. A </w:t>
      </w:r>
      <w:r w:rsidR="002B6F5C">
        <w:rPr>
          <w:rFonts w:ascii="Times New Roman" w:hAnsi="Times New Roman"/>
          <w:szCs w:val="24"/>
        </w:rPr>
        <w:t>anuência</w:t>
      </w:r>
      <w:r>
        <w:rPr>
          <w:rFonts w:ascii="Times New Roman" w:hAnsi="Times New Roman"/>
          <w:szCs w:val="24"/>
        </w:rPr>
        <w:t xml:space="preserve"> concedida desta forma se torna mais satisfatória do ponto de vista técnico e regulatório.</w:t>
      </w:r>
      <w:r w:rsidR="00264953" w:rsidRPr="00264953">
        <w:rPr>
          <w:rFonts w:ascii="Times New Roman" w:hAnsi="Times New Roman"/>
          <w:szCs w:val="24"/>
        </w:rPr>
        <w:t xml:space="preserve"> </w:t>
      </w:r>
      <w:r w:rsidR="00264953">
        <w:rPr>
          <w:rFonts w:ascii="Times New Roman" w:hAnsi="Times New Roman"/>
          <w:szCs w:val="24"/>
        </w:rPr>
        <w:t>A prévia anuência da ANP poderá auxiliar na obtenção dos dados necessários, por exemplo, para elaboração de futuras especificações.</w:t>
      </w:r>
    </w:p>
    <w:p w:rsidR="00911390" w:rsidRDefault="00911390" w:rsidP="00D51207">
      <w:pPr>
        <w:tabs>
          <w:tab w:val="left" w:pos="1134"/>
        </w:tabs>
        <w:spacing w:before="120" w:after="120" w:line="276" w:lineRule="auto"/>
        <w:jc w:val="both"/>
        <w:rPr>
          <w:rFonts w:ascii="Times New Roman" w:hAnsi="Times New Roman"/>
          <w:szCs w:val="24"/>
        </w:rPr>
      </w:pPr>
      <w:r>
        <w:rPr>
          <w:rFonts w:ascii="Times New Roman" w:hAnsi="Times New Roman"/>
          <w:szCs w:val="24"/>
        </w:rPr>
        <w:tab/>
        <w:t>O inciso VI da Resolução ANP nº 18/2007</w:t>
      </w:r>
      <w:r w:rsidR="00456607">
        <w:rPr>
          <w:rFonts w:ascii="Times New Roman" w:hAnsi="Times New Roman"/>
          <w:szCs w:val="24"/>
        </w:rPr>
        <w:t xml:space="preserve">, que trata da declaração de responsabilidade pelo uso do produto foi mantido. Os Anexos I e II </w:t>
      </w:r>
      <w:r w:rsidR="00E02709">
        <w:rPr>
          <w:rFonts w:ascii="Times New Roman" w:hAnsi="Times New Roman"/>
          <w:szCs w:val="24"/>
        </w:rPr>
        <w:t xml:space="preserve">da referida Resolução </w:t>
      </w:r>
      <w:r w:rsidR="00456607">
        <w:rPr>
          <w:rFonts w:ascii="Times New Roman" w:hAnsi="Times New Roman"/>
          <w:szCs w:val="24"/>
        </w:rPr>
        <w:t>foram agrupados em um único Anexo da nova Resolução, o Anexo II.</w:t>
      </w:r>
    </w:p>
    <w:p w:rsidR="00264953" w:rsidRDefault="00D51207" w:rsidP="00710A6E">
      <w:pPr>
        <w:tabs>
          <w:tab w:val="left" w:pos="1134"/>
        </w:tabs>
        <w:spacing w:before="120" w:after="120" w:line="276" w:lineRule="auto"/>
        <w:jc w:val="both"/>
        <w:rPr>
          <w:rFonts w:ascii="Times New Roman" w:hAnsi="Times New Roman"/>
          <w:szCs w:val="24"/>
        </w:rPr>
      </w:pPr>
      <w:r>
        <w:rPr>
          <w:rFonts w:ascii="Times New Roman" w:hAnsi="Times New Roman"/>
          <w:szCs w:val="24"/>
        </w:rPr>
        <w:tab/>
      </w:r>
      <w:r w:rsidR="00CD40C4">
        <w:rPr>
          <w:rFonts w:ascii="Times New Roman" w:hAnsi="Times New Roman"/>
          <w:szCs w:val="24"/>
        </w:rPr>
        <w:t xml:space="preserve">O inciso </w:t>
      </w:r>
      <w:r w:rsidR="00264953">
        <w:rPr>
          <w:rFonts w:ascii="Times New Roman" w:hAnsi="Times New Roman"/>
          <w:szCs w:val="24"/>
        </w:rPr>
        <w:t>VII</w:t>
      </w:r>
      <w:r w:rsidR="00911390">
        <w:rPr>
          <w:rFonts w:ascii="Times New Roman" w:hAnsi="Times New Roman"/>
          <w:szCs w:val="24"/>
        </w:rPr>
        <w:t xml:space="preserve"> da Resolução ANP nº 18/2007</w:t>
      </w:r>
      <w:r w:rsidR="00CD40C4">
        <w:rPr>
          <w:rFonts w:ascii="Times New Roman" w:hAnsi="Times New Roman"/>
          <w:szCs w:val="24"/>
        </w:rPr>
        <w:t>,</w:t>
      </w:r>
      <w:r w:rsidR="00264953">
        <w:rPr>
          <w:rFonts w:ascii="Times New Roman" w:hAnsi="Times New Roman"/>
          <w:szCs w:val="24"/>
        </w:rPr>
        <w:t xml:space="preserve"> </w:t>
      </w:r>
      <w:r w:rsidR="00CD40C4">
        <w:rPr>
          <w:rFonts w:ascii="Times New Roman" w:hAnsi="Times New Roman"/>
          <w:szCs w:val="24"/>
        </w:rPr>
        <w:t xml:space="preserve">que solicitava documento informando o fornecedor de B100 ou da mistura </w:t>
      </w:r>
      <w:r w:rsidR="00754F42">
        <w:rPr>
          <w:rFonts w:ascii="Times New Roman" w:hAnsi="Times New Roman"/>
          <w:szCs w:val="24"/>
        </w:rPr>
        <w:t xml:space="preserve">(óleo diesel BX) </w:t>
      </w:r>
      <w:r w:rsidR="00CD40C4">
        <w:rPr>
          <w:rFonts w:ascii="Times New Roman" w:hAnsi="Times New Roman"/>
          <w:szCs w:val="24"/>
        </w:rPr>
        <w:t>ao usuário, foi excluído tendo em vista que</w:t>
      </w:r>
      <w:r w:rsidR="00E02709">
        <w:rPr>
          <w:rFonts w:ascii="Times New Roman" w:hAnsi="Times New Roman"/>
          <w:szCs w:val="24"/>
        </w:rPr>
        <w:t xml:space="preserve"> a</w:t>
      </w:r>
      <w:r w:rsidR="00CD40C4">
        <w:rPr>
          <w:rFonts w:ascii="Times New Roman" w:hAnsi="Times New Roman"/>
          <w:szCs w:val="24"/>
        </w:rPr>
        <w:t xml:space="preserve"> </w:t>
      </w:r>
      <w:r w:rsidR="00264953">
        <w:rPr>
          <w:rFonts w:ascii="Times New Roman" w:hAnsi="Times New Roman"/>
          <w:szCs w:val="24"/>
        </w:rPr>
        <w:t>Resolução</w:t>
      </w:r>
      <w:r w:rsidR="00E02709">
        <w:rPr>
          <w:rFonts w:ascii="Times New Roman" w:hAnsi="Times New Roman"/>
          <w:szCs w:val="24"/>
        </w:rPr>
        <w:t xml:space="preserve"> CNP</w:t>
      </w:r>
      <w:r w:rsidR="00CD40C4">
        <w:rPr>
          <w:rFonts w:ascii="Times New Roman" w:hAnsi="Times New Roman"/>
          <w:szCs w:val="24"/>
        </w:rPr>
        <w:t xml:space="preserve"> nº </w:t>
      </w:r>
      <w:r w:rsidR="00E02709">
        <w:rPr>
          <w:rFonts w:ascii="Times New Roman" w:hAnsi="Times New Roman"/>
          <w:szCs w:val="24"/>
        </w:rPr>
        <w:t>3/2015</w:t>
      </w:r>
      <w:r w:rsidR="00CD40C4">
        <w:rPr>
          <w:rFonts w:ascii="Times New Roman" w:hAnsi="Times New Roman"/>
          <w:szCs w:val="24"/>
        </w:rPr>
        <w:t xml:space="preserve"> indica que todo biodiesel a ser utilizado </w:t>
      </w:r>
      <w:r w:rsidR="00754F42">
        <w:rPr>
          <w:rFonts w:ascii="Times New Roman" w:hAnsi="Times New Roman"/>
          <w:szCs w:val="24"/>
        </w:rPr>
        <w:t>no óleo diesel BX</w:t>
      </w:r>
      <w:r w:rsidR="00CD40C4">
        <w:rPr>
          <w:rFonts w:ascii="Times New Roman" w:hAnsi="Times New Roman"/>
          <w:szCs w:val="24"/>
        </w:rPr>
        <w:t xml:space="preserve"> contendo biodiesel acima do percentual de adição obrigatório deverá ser adquirido por meio de leilão.</w:t>
      </w:r>
    </w:p>
    <w:p w:rsidR="00771D1D" w:rsidRDefault="00771D1D" w:rsidP="00BF38F3">
      <w:pPr>
        <w:tabs>
          <w:tab w:val="left" w:pos="1134"/>
        </w:tabs>
        <w:spacing w:before="120" w:after="240" w:line="276" w:lineRule="auto"/>
        <w:jc w:val="both"/>
        <w:rPr>
          <w:rFonts w:ascii="Times New Roman" w:hAnsi="Times New Roman"/>
          <w:szCs w:val="24"/>
        </w:rPr>
      </w:pPr>
      <w:r>
        <w:rPr>
          <w:rFonts w:ascii="Times New Roman" w:hAnsi="Times New Roman"/>
          <w:szCs w:val="24"/>
        </w:rPr>
        <w:tab/>
        <w:t xml:space="preserve">Em adição, nessa seção foram incluídos regramentos relativos ao prazo da anuência, que via de regra é de um ano. No entanto, caso a licença ou parecer do órgão ambiental </w:t>
      </w:r>
      <w:r w:rsidR="00E02709">
        <w:rPr>
          <w:rFonts w:ascii="Times New Roman" w:hAnsi="Times New Roman"/>
          <w:szCs w:val="24"/>
        </w:rPr>
        <w:t>estipule um</w:t>
      </w:r>
      <w:r>
        <w:rPr>
          <w:rFonts w:ascii="Times New Roman" w:hAnsi="Times New Roman"/>
          <w:szCs w:val="24"/>
        </w:rPr>
        <w:t xml:space="preserve"> prazo, a vigência do uso experimental est</w:t>
      </w:r>
      <w:r w:rsidR="00D51207">
        <w:rPr>
          <w:rFonts w:ascii="Times New Roman" w:hAnsi="Times New Roman"/>
          <w:szCs w:val="24"/>
        </w:rPr>
        <w:t>ará condicionada a este prazo.</w:t>
      </w:r>
      <w:r>
        <w:rPr>
          <w:rFonts w:ascii="Times New Roman" w:hAnsi="Times New Roman"/>
          <w:szCs w:val="24"/>
        </w:rPr>
        <w:t xml:space="preserve"> Destaca-se que será permitida</w:t>
      </w:r>
      <w:r w:rsidR="00D51207">
        <w:rPr>
          <w:rFonts w:ascii="Times New Roman" w:hAnsi="Times New Roman"/>
          <w:szCs w:val="24"/>
        </w:rPr>
        <w:t xml:space="preserve"> </w:t>
      </w:r>
      <w:r>
        <w:rPr>
          <w:rFonts w:ascii="Times New Roman" w:hAnsi="Times New Roman"/>
          <w:szCs w:val="24"/>
        </w:rPr>
        <w:t>prorrogação do prazo, caso sejam necessários testes adicionais ou se tiver ocorrido alguma mudança no plano de trabalho ou atraso na execução dos testes experimentais.</w:t>
      </w:r>
    </w:p>
    <w:p w:rsidR="002069D3" w:rsidRDefault="00247F09" w:rsidP="00B51AAD">
      <w:pPr>
        <w:tabs>
          <w:tab w:val="left" w:pos="1134"/>
        </w:tabs>
        <w:spacing w:before="120" w:after="120" w:line="276" w:lineRule="auto"/>
        <w:jc w:val="both"/>
        <w:rPr>
          <w:rFonts w:ascii="Times New Roman" w:hAnsi="Times New Roman"/>
          <w:b/>
          <w:szCs w:val="24"/>
        </w:rPr>
      </w:pPr>
      <w:r>
        <w:rPr>
          <w:rFonts w:ascii="Times New Roman" w:hAnsi="Times New Roman"/>
          <w:b/>
          <w:szCs w:val="24"/>
        </w:rPr>
        <w:tab/>
      </w:r>
      <w:r w:rsidR="00263B38">
        <w:rPr>
          <w:rFonts w:ascii="Times New Roman" w:hAnsi="Times New Roman"/>
          <w:b/>
          <w:szCs w:val="24"/>
        </w:rPr>
        <w:t>4</w:t>
      </w:r>
      <w:r w:rsidR="00007A2D" w:rsidRPr="00A52D3A">
        <w:rPr>
          <w:rFonts w:ascii="Times New Roman" w:hAnsi="Times New Roman"/>
          <w:b/>
          <w:szCs w:val="24"/>
        </w:rPr>
        <w:t>.</w:t>
      </w:r>
      <w:r w:rsidR="007F7161">
        <w:rPr>
          <w:rFonts w:ascii="Times New Roman" w:hAnsi="Times New Roman"/>
          <w:b/>
          <w:szCs w:val="24"/>
        </w:rPr>
        <w:t>3</w:t>
      </w:r>
      <w:r w:rsidR="00007A2D" w:rsidRPr="00A52D3A">
        <w:rPr>
          <w:rFonts w:ascii="Times New Roman" w:hAnsi="Times New Roman"/>
          <w:b/>
          <w:szCs w:val="24"/>
        </w:rPr>
        <w:t xml:space="preserve">. </w:t>
      </w:r>
      <w:r w:rsidR="002A212B">
        <w:rPr>
          <w:rFonts w:ascii="Times New Roman" w:hAnsi="Times New Roman"/>
          <w:b/>
          <w:szCs w:val="24"/>
        </w:rPr>
        <w:t>Da prévia anuência de Uso Específico</w:t>
      </w:r>
    </w:p>
    <w:p w:rsidR="00456607" w:rsidRDefault="00711FA1" w:rsidP="002A212B">
      <w:pPr>
        <w:tabs>
          <w:tab w:val="left" w:pos="1134"/>
        </w:tabs>
        <w:spacing w:before="120" w:after="120" w:line="276" w:lineRule="auto"/>
        <w:jc w:val="both"/>
        <w:rPr>
          <w:rFonts w:ascii="Times New Roman" w:hAnsi="Times New Roman"/>
          <w:bCs/>
          <w:szCs w:val="24"/>
        </w:rPr>
      </w:pPr>
      <w:r>
        <w:rPr>
          <w:rFonts w:ascii="Times New Roman" w:hAnsi="Times New Roman"/>
          <w:bCs/>
          <w:szCs w:val="24"/>
        </w:rPr>
        <w:tab/>
      </w:r>
      <w:r w:rsidR="00456607">
        <w:rPr>
          <w:rFonts w:ascii="Times New Roman" w:hAnsi="Times New Roman"/>
          <w:bCs/>
          <w:szCs w:val="24"/>
        </w:rPr>
        <w:t xml:space="preserve">Foram mantidos todos os incisos </w:t>
      </w:r>
      <w:r w:rsidR="006236CC">
        <w:rPr>
          <w:rFonts w:ascii="Times New Roman" w:hAnsi="Times New Roman"/>
          <w:bCs/>
          <w:szCs w:val="24"/>
        </w:rPr>
        <w:t xml:space="preserve">da Resolução ANP nº 2/2008, </w:t>
      </w:r>
      <w:r w:rsidR="00456607">
        <w:rPr>
          <w:rFonts w:ascii="Times New Roman" w:hAnsi="Times New Roman"/>
          <w:bCs/>
          <w:szCs w:val="24"/>
        </w:rPr>
        <w:t>referentes a documentação a ser encaminhada à ANP por ocasião da solicitação do uso específico</w:t>
      </w:r>
      <w:r w:rsidR="006236CC">
        <w:rPr>
          <w:rFonts w:ascii="Times New Roman" w:hAnsi="Times New Roman"/>
          <w:bCs/>
          <w:szCs w:val="24"/>
        </w:rPr>
        <w:t>. Os motivos são os mesmos já expostos anteriormente para o uso experimental.</w:t>
      </w:r>
    </w:p>
    <w:p w:rsidR="00386059" w:rsidRDefault="00456607" w:rsidP="00BF38F3">
      <w:pPr>
        <w:tabs>
          <w:tab w:val="left" w:pos="1134"/>
        </w:tabs>
        <w:spacing w:before="120" w:after="240" w:line="276" w:lineRule="auto"/>
        <w:jc w:val="both"/>
        <w:rPr>
          <w:rFonts w:ascii="Times New Roman" w:hAnsi="Times New Roman"/>
          <w:szCs w:val="24"/>
        </w:rPr>
      </w:pPr>
      <w:r>
        <w:rPr>
          <w:rFonts w:ascii="Times New Roman" w:hAnsi="Times New Roman"/>
          <w:bCs/>
          <w:szCs w:val="24"/>
        </w:rPr>
        <w:tab/>
      </w:r>
      <w:r w:rsidR="00052AA2">
        <w:rPr>
          <w:rFonts w:ascii="Times New Roman" w:hAnsi="Times New Roman"/>
          <w:bCs/>
          <w:szCs w:val="24"/>
        </w:rPr>
        <w:t>Foi estabelecido que para o uso específico há a exigência da conclusão do uso experimental com a emissão do parecer favorável da ANP, já que há um maior conhecimento sobre o produto. Nessa linha, não há necessidade do plano de trabalho e do cronograma de realização dos testes.</w:t>
      </w:r>
      <w:r w:rsidR="00061960">
        <w:rPr>
          <w:rFonts w:ascii="Times New Roman" w:hAnsi="Times New Roman"/>
          <w:bCs/>
          <w:szCs w:val="24"/>
        </w:rPr>
        <w:t xml:space="preserve"> Ressalta-se que o uso</w:t>
      </w:r>
      <w:r w:rsidR="00EA0C46">
        <w:rPr>
          <w:rFonts w:ascii="Times New Roman" w:hAnsi="Times New Roman"/>
          <w:bCs/>
          <w:szCs w:val="24"/>
        </w:rPr>
        <w:t xml:space="preserve"> específico poderá </w:t>
      </w:r>
      <w:r w:rsidR="00EA0C46">
        <w:rPr>
          <w:rFonts w:ascii="Times New Roman" w:hAnsi="Times New Roman"/>
          <w:szCs w:val="24"/>
        </w:rPr>
        <w:t>ser solicitado</w:t>
      </w:r>
      <w:r w:rsidR="00EA0C46" w:rsidRPr="00AC3C08">
        <w:rPr>
          <w:rFonts w:ascii="Times New Roman" w:hAnsi="Times New Roman"/>
          <w:szCs w:val="24"/>
        </w:rPr>
        <w:t xml:space="preserve"> considerando os resultados dos usos experimentais anteriores devidamente aprovados pela ANP</w:t>
      </w:r>
      <w:r w:rsidR="00EA0C46">
        <w:rPr>
          <w:rFonts w:ascii="Times New Roman" w:hAnsi="Times New Roman"/>
          <w:szCs w:val="24"/>
        </w:rPr>
        <w:t>, desde que seja utilizado o mesmo combustível aprovado no uso experimental e com a mesma finalidade de uso.</w:t>
      </w:r>
    </w:p>
    <w:p w:rsidR="00DF165A" w:rsidRDefault="00247F09" w:rsidP="00DF165A">
      <w:pPr>
        <w:tabs>
          <w:tab w:val="left" w:pos="1134"/>
        </w:tabs>
        <w:spacing w:before="120" w:after="120" w:line="276" w:lineRule="auto"/>
        <w:jc w:val="both"/>
        <w:rPr>
          <w:rFonts w:ascii="Times New Roman" w:hAnsi="Times New Roman"/>
          <w:b/>
          <w:szCs w:val="24"/>
        </w:rPr>
      </w:pPr>
      <w:r>
        <w:rPr>
          <w:rFonts w:ascii="Times New Roman" w:hAnsi="Times New Roman"/>
          <w:b/>
          <w:szCs w:val="24"/>
        </w:rPr>
        <w:tab/>
      </w:r>
      <w:r w:rsidR="00E94528">
        <w:rPr>
          <w:rFonts w:ascii="Times New Roman" w:hAnsi="Times New Roman"/>
          <w:b/>
          <w:szCs w:val="24"/>
        </w:rPr>
        <w:t>4.</w:t>
      </w:r>
      <w:r w:rsidR="00052AA2">
        <w:rPr>
          <w:rFonts w:ascii="Times New Roman" w:hAnsi="Times New Roman"/>
          <w:b/>
          <w:szCs w:val="24"/>
        </w:rPr>
        <w:t>4</w:t>
      </w:r>
      <w:r w:rsidR="00DF165A">
        <w:rPr>
          <w:rFonts w:ascii="Times New Roman" w:hAnsi="Times New Roman"/>
          <w:b/>
          <w:szCs w:val="24"/>
        </w:rPr>
        <w:t>.</w:t>
      </w:r>
      <w:r w:rsidR="00052AA2">
        <w:rPr>
          <w:rFonts w:ascii="Times New Roman" w:hAnsi="Times New Roman"/>
          <w:b/>
          <w:szCs w:val="24"/>
        </w:rPr>
        <w:t xml:space="preserve"> Do Uso em Eventos</w:t>
      </w:r>
    </w:p>
    <w:p w:rsidR="00811E3A" w:rsidRDefault="00B93AE0" w:rsidP="00BF38F3">
      <w:pPr>
        <w:tabs>
          <w:tab w:val="left" w:pos="1134"/>
        </w:tabs>
        <w:spacing w:before="120" w:after="240" w:line="276" w:lineRule="auto"/>
        <w:jc w:val="both"/>
        <w:rPr>
          <w:rFonts w:ascii="Times New Roman" w:hAnsi="Times New Roman"/>
          <w:bCs/>
          <w:szCs w:val="24"/>
        </w:rPr>
      </w:pPr>
      <w:r>
        <w:rPr>
          <w:rFonts w:ascii="Times New Roman" w:hAnsi="Times New Roman"/>
          <w:bCs/>
          <w:szCs w:val="24"/>
        </w:rPr>
        <w:tab/>
      </w:r>
      <w:r w:rsidR="00052AA2">
        <w:rPr>
          <w:rFonts w:ascii="Times New Roman" w:hAnsi="Times New Roman"/>
          <w:bCs/>
          <w:szCs w:val="24"/>
        </w:rPr>
        <w:t>Foi criada uma seção específica para o uso em eventos, tendo em vista que se trata de um período curto</w:t>
      </w:r>
      <w:r w:rsidR="00EA4BBC">
        <w:rPr>
          <w:rFonts w:ascii="Times New Roman" w:hAnsi="Times New Roman"/>
          <w:bCs/>
          <w:szCs w:val="24"/>
        </w:rPr>
        <w:t xml:space="preserve">, com </w:t>
      </w:r>
      <w:r w:rsidR="00052AA2">
        <w:rPr>
          <w:rFonts w:ascii="Times New Roman" w:hAnsi="Times New Roman"/>
          <w:bCs/>
          <w:szCs w:val="24"/>
        </w:rPr>
        <w:t>o objetivo</w:t>
      </w:r>
      <w:r w:rsidR="00EA4BBC">
        <w:rPr>
          <w:rFonts w:ascii="Times New Roman" w:hAnsi="Times New Roman"/>
          <w:bCs/>
          <w:szCs w:val="24"/>
        </w:rPr>
        <w:t xml:space="preserve"> de</w:t>
      </w:r>
      <w:r w:rsidR="00052AA2">
        <w:rPr>
          <w:rFonts w:ascii="Times New Roman" w:hAnsi="Times New Roman"/>
          <w:bCs/>
          <w:szCs w:val="24"/>
        </w:rPr>
        <w:t xml:space="preserve"> demonstrar </w:t>
      </w:r>
      <w:r w:rsidR="00EA4BBC">
        <w:rPr>
          <w:rFonts w:ascii="Times New Roman" w:hAnsi="Times New Roman"/>
          <w:bCs/>
          <w:szCs w:val="24"/>
        </w:rPr>
        <w:t>à</w:t>
      </w:r>
      <w:r w:rsidR="00052AA2">
        <w:rPr>
          <w:rFonts w:ascii="Times New Roman" w:hAnsi="Times New Roman"/>
          <w:bCs/>
          <w:szCs w:val="24"/>
        </w:rPr>
        <w:t xml:space="preserve"> sociedade a utilização de </w:t>
      </w:r>
      <w:r w:rsidR="00EA4BBC">
        <w:rPr>
          <w:rFonts w:ascii="Times New Roman" w:hAnsi="Times New Roman"/>
          <w:bCs/>
          <w:szCs w:val="24"/>
        </w:rPr>
        <w:t>biodiesel</w:t>
      </w:r>
      <w:r w:rsidR="00052AA2">
        <w:rPr>
          <w:rFonts w:ascii="Times New Roman" w:hAnsi="Times New Roman"/>
          <w:bCs/>
          <w:szCs w:val="24"/>
        </w:rPr>
        <w:t xml:space="preserve">. Assim, </w:t>
      </w:r>
      <w:r w:rsidR="00052AA2">
        <w:rPr>
          <w:rFonts w:ascii="Times New Roman" w:hAnsi="Times New Roman"/>
          <w:bCs/>
          <w:szCs w:val="24"/>
        </w:rPr>
        <w:lastRenderedPageBreak/>
        <w:t xml:space="preserve">entende-se que pelo curto período </w:t>
      </w:r>
      <w:r w:rsidR="00EA4BBC">
        <w:rPr>
          <w:rFonts w:ascii="Times New Roman" w:hAnsi="Times New Roman"/>
          <w:bCs/>
          <w:szCs w:val="24"/>
        </w:rPr>
        <w:t xml:space="preserve">de uso </w:t>
      </w:r>
      <w:r w:rsidR="00052AA2">
        <w:rPr>
          <w:rFonts w:ascii="Times New Roman" w:hAnsi="Times New Roman"/>
          <w:bCs/>
          <w:szCs w:val="24"/>
        </w:rPr>
        <w:t>e pelo impacto positivo</w:t>
      </w:r>
      <w:r w:rsidR="00911390">
        <w:rPr>
          <w:rFonts w:ascii="Times New Roman" w:hAnsi="Times New Roman"/>
          <w:bCs/>
          <w:szCs w:val="24"/>
        </w:rPr>
        <w:t xml:space="preserve"> </w:t>
      </w:r>
      <w:r w:rsidR="00052AA2">
        <w:rPr>
          <w:rFonts w:ascii="Times New Roman" w:hAnsi="Times New Roman"/>
          <w:bCs/>
          <w:szCs w:val="24"/>
        </w:rPr>
        <w:t>proporcionad</w:t>
      </w:r>
      <w:r w:rsidR="00EA4BBC">
        <w:rPr>
          <w:rFonts w:ascii="Times New Roman" w:hAnsi="Times New Roman"/>
          <w:bCs/>
          <w:szCs w:val="24"/>
        </w:rPr>
        <w:t>o</w:t>
      </w:r>
      <w:r w:rsidR="00EA0C46">
        <w:rPr>
          <w:rFonts w:ascii="Times New Roman" w:hAnsi="Times New Roman"/>
          <w:bCs/>
          <w:szCs w:val="24"/>
        </w:rPr>
        <w:t>, não há necessidade de solicitação de</w:t>
      </w:r>
      <w:r w:rsidR="00052AA2">
        <w:rPr>
          <w:rFonts w:ascii="Times New Roman" w:hAnsi="Times New Roman"/>
          <w:bCs/>
          <w:szCs w:val="24"/>
        </w:rPr>
        <w:t xml:space="preserve"> prévia anuência</w:t>
      </w:r>
      <w:r w:rsidR="00EA0C46">
        <w:rPr>
          <w:rFonts w:ascii="Times New Roman" w:hAnsi="Times New Roman"/>
          <w:bCs/>
          <w:szCs w:val="24"/>
        </w:rPr>
        <w:t xml:space="preserve"> da ANP</w:t>
      </w:r>
      <w:r w:rsidR="00EA4BBC">
        <w:rPr>
          <w:rFonts w:ascii="Times New Roman" w:hAnsi="Times New Roman"/>
          <w:bCs/>
          <w:szCs w:val="24"/>
        </w:rPr>
        <w:t xml:space="preserve">, sendo exigida </w:t>
      </w:r>
      <w:r w:rsidR="00EA0C46">
        <w:rPr>
          <w:rFonts w:ascii="Times New Roman" w:hAnsi="Times New Roman"/>
          <w:bCs/>
          <w:szCs w:val="24"/>
        </w:rPr>
        <w:t xml:space="preserve"> apenas a comunicação com antecedência mínima de </w:t>
      </w:r>
      <w:r w:rsidR="00EA4BBC">
        <w:rPr>
          <w:rFonts w:ascii="Times New Roman" w:hAnsi="Times New Roman"/>
          <w:bCs/>
          <w:szCs w:val="24"/>
        </w:rPr>
        <w:t>9</w:t>
      </w:r>
      <w:r w:rsidR="00EA0C46">
        <w:rPr>
          <w:rFonts w:ascii="Times New Roman" w:hAnsi="Times New Roman"/>
          <w:bCs/>
          <w:szCs w:val="24"/>
        </w:rPr>
        <w:t>0 dias do início do evento.</w:t>
      </w:r>
    </w:p>
    <w:p w:rsidR="00052AA2" w:rsidRDefault="00F55B0D" w:rsidP="00052AA2">
      <w:pPr>
        <w:tabs>
          <w:tab w:val="left" w:pos="1134"/>
        </w:tabs>
        <w:spacing w:before="120" w:after="120" w:line="276" w:lineRule="auto"/>
        <w:jc w:val="both"/>
        <w:rPr>
          <w:rFonts w:ascii="Times New Roman" w:hAnsi="Times New Roman"/>
          <w:b/>
          <w:bCs/>
          <w:szCs w:val="24"/>
        </w:rPr>
      </w:pPr>
      <w:r>
        <w:rPr>
          <w:rFonts w:ascii="Times New Roman" w:hAnsi="Times New Roman"/>
          <w:b/>
          <w:bCs/>
          <w:szCs w:val="24"/>
        </w:rPr>
        <w:tab/>
      </w:r>
      <w:r w:rsidR="00E2650B" w:rsidRPr="00E2650B">
        <w:rPr>
          <w:rFonts w:ascii="Times New Roman" w:hAnsi="Times New Roman"/>
          <w:b/>
          <w:bCs/>
          <w:szCs w:val="24"/>
        </w:rPr>
        <w:t>4.5 Da Aquisição do Produto</w:t>
      </w:r>
    </w:p>
    <w:p w:rsidR="00E2650B" w:rsidRPr="006236CC" w:rsidRDefault="00E2650B" w:rsidP="00F55B0D">
      <w:pPr>
        <w:tabs>
          <w:tab w:val="left" w:pos="1134"/>
        </w:tabs>
        <w:spacing w:before="120" w:after="240" w:line="276" w:lineRule="auto"/>
        <w:jc w:val="both"/>
        <w:rPr>
          <w:rFonts w:ascii="Times New Roman" w:hAnsi="Times New Roman"/>
          <w:b/>
          <w:bCs/>
          <w:szCs w:val="24"/>
        </w:rPr>
      </w:pPr>
      <w:r>
        <w:rPr>
          <w:rFonts w:ascii="Times New Roman" w:hAnsi="Times New Roman"/>
          <w:b/>
          <w:bCs/>
          <w:szCs w:val="24"/>
        </w:rPr>
        <w:tab/>
      </w:r>
      <w:r w:rsidR="00BC660D" w:rsidRPr="00090A63">
        <w:rPr>
          <w:rFonts w:ascii="Times New Roman" w:hAnsi="Times New Roman"/>
          <w:bCs/>
          <w:szCs w:val="24"/>
        </w:rPr>
        <w:t>A Resolução</w:t>
      </w:r>
      <w:r w:rsidR="006236CC" w:rsidRPr="00090A63">
        <w:rPr>
          <w:rFonts w:ascii="Times New Roman" w:hAnsi="Times New Roman"/>
          <w:bCs/>
          <w:szCs w:val="24"/>
        </w:rPr>
        <w:t xml:space="preserve"> </w:t>
      </w:r>
      <w:r w:rsidR="00BC660D" w:rsidRPr="00090A63">
        <w:rPr>
          <w:rFonts w:ascii="Times New Roman" w:hAnsi="Times New Roman"/>
          <w:bCs/>
          <w:szCs w:val="24"/>
        </w:rPr>
        <w:t xml:space="preserve">CNPE </w:t>
      </w:r>
      <w:r w:rsidR="00247F09">
        <w:rPr>
          <w:rFonts w:ascii="Times New Roman" w:hAnsi="Times New Roman"/>
          <w:bCs/>
          <w:szCs w:val="24"/>
        </w:rPr>
        <w:t xml:space="preserve">nº 3/2015 estabelece </w:t>
      </w:r>
      <w:r w:rsidR="00BC660D" w:rsidRPr="00090A63">
        <w:rPr>
          <w:rFonts w:ascii="Times New Roman" w:hAnsi="Times New Roman"/>
          <w:bCs/>
          <w:szCs w:val="24"/>
        </w:rPr>
        <w:t xml:space="preserve">em seu </w:t>
      </w:r>
      <w:r w:rsidR="006236CC" w:rsidRPr="00090A63">
        <w:rPr>
          <w:rFonts w:ascii="Times New Roman" w:hAnsi="Times New Roman"/>
          <w:bCs/>
          <w:szCs w:val="24"/>
        </w:rPr>
        <w:t>A</w:t>
      </w:r>
      <w:r w:rsidR="00BC660D" w:rsidRPr="00090A63">
        <w:rPr>
          <w:rFonts w:ascii="Times New Roman" w:hAnsi="Times New Roman"/>
          <w:bCs/>
          <w:szCs w:val="24"/>
        </w:rPr>
        <w:t xml:space="preserve">rtigo </w:t>
      </w:r>
      <w:r w:rsidR="006236CC" w:rsidRPr="00090A63">
        <w:rPr>
          <w:rFonts w:ascii="Times New Roman" w:hAnsi="Times New Roman"/>
          <w:bCs/>
          <w:szCs w:val="24"/>
        </w:rPr>
        <w:t xml:space="preserve">4º, Parágrafo 3º, </w:t>
      </w:r>
      <w:r w:rsidR="00247F09">
        <w:rPr>
          <w:rFonts w:ascii="Times New Roman" w:hAnsi="Times New Roman"/>
          <w:bCs/>
          <w:szCs w:val="24"/>
        </w:rPr>
        <w:t xml:space="preserve">que a ANP pode dispensar do leilão </w:t>
      </w:r>
      <w:r w:rsidR="00BC660D" w:rsidRPr="00090A63">
        <w:rPr>
          <w:rFonts w:ascii="Times New Roman" w:hAnsi="Times New Roman"/>
          <w:bCs/>
          <w:szCs w:val="24"/>
        </w:rPr>
        <w:t xml:space="preserve"> a aquisição do biodiesel para uso experimental, específico e demais aplicações. </w:t>
      </w:r>
      <w:r w:rsidR="00826251" w:rsidRPr="00090A63">
        <w:rPr>
          <w:rFonts w:ascii="Times New Roman" w:hAnsi="Times New Roman"/>
          <w:bCs/>
          <w:szCs w:val="24"/>
        </w:rPr>
        <w:t>Contudo,</w:t>
      </w:r>
      <w:r w:rsidR="00826251">
        <w:rPr>
          <w:rFonts w:ascii="Times New Roman" w:hAnsi="Times New Roman"/>
          <w:b/>
          <w:bCs/>
          <w:szCs w:val="24"/>
        </w:rPr>
        <w:t xml:space="preserve"> </w:t>
      </w:r>
      <w:r w:rsidR="00826251">
        <w:rPr>
          <w:rFonts w:ascii="Times New Roman" w:hAnsi="Times New Roman"/>
          <w:bCs/>
          <w:szCs w:val="24"/>
        </w:rPr>
        <w:t>c</w:t>
      </w:r>
      <w:r w:rsidR="003041B5">
        <w:rPr>
          <w:rFonts w:ascii="Times New Roman" w:hAnsi="Times New Roman"/>
          <w:bCs/>
          <w:szCs w:val="24"/>
        </w:rPr>
        <w:t>onforme previamente acordado com a Superintendência de Abastecimento, ficou decidido que todo o biodiesel dever</w:t>
      </w:r>
      <w:r w:rsidR="00826251">
        <w:rPr>
          <w:rFonts w:ascii="Times New Roman" w:hAnsi="Times New Roman"/>
          <w:bCs/>
          <w:szCs w:val="24"/>
        </w:rPr>
        <w:t>á</w:t>
      </w:r>
      <w:r w:rsidR="003041B5">
        <w:rPr>
          <w:rFonts w:ascii="Times New Roman" w:hAnsi="Times New Roman"/>
          <w:bCs/>
          <w:szCs w:val="24"/>
        </w:rPr>
        <w:t xml:space="preserve"> ser adquirido por meio de leilões, sendo, portanto, o </w:t>
      </w:r>
      <w:r w:rsidR="00247F09">
        <w:rPr>
          <w:rFonts w:ascii="Times New Roman" w:hAnsi="Times New Roman"/>
          <w:bCs/>
          <w:szCs w:val="24"/>
        </w:rPr>
        <w:t>único fornecedor o distribuidor de combustíveis líquidos.</w:t>
      </w:r>
      <w:r w:rsidR="003B439B">
        <w:rPr>
          <w:rFonts w:ascii="Times New Roman" w:hAnsi="Times New Roman"/>
          <w:bCs/>
          <w:szCs w:val="24"/>
        </w:rPr>
        <w:t xml:space="preserve"> </w:t>
      </w:r>
    </w:p>
    <w:p w:rsidR="003041B5" w:rsidRDefault="00F55B0D" w:rsidP="003041B5">
      <w:pPr>
        <w:tabs>
          <w:tab w:val="left" w:pos="1134"/>
        </w:tabs>
        <w:spacing w:before="120" w:after="120" w:line="276" w:lineRule="auto"/>
        <w:jc w:val="both"/>
        <w:rPr>
          <w:rFonts w:ascii="Times New Roman" w:hAnsi="Times New Roman"/>
          <w:b/>
          <w:bCs/>
          <w:szCs w:val="24"/>
        </w:rPr>
      </w:pPr>
      <w:r>
        <w:rPr>
          <w:rFonts w:ascii="Times New Roman" w:hAnsi="Times New Roman"/>
          <w:b/>
          <w:bCs/>
          <w:szCs w:val="24"/>
        </w:rPr>
        <w:tab/>
      </w:r>
      <w:r w:rsidR="003041B5" w:rsidRPr="00E2650B">
        <w:rPr>
          <w:rFonts w:ascii="Times New Roman" w:hAnsi="Times New Roman"/>
          <w:b/>
          <w:bCs/>
          <w:szCs w:val="24"/>
        </w:rPr>
        <w:t>4.</w:t>
      </w:r>
      <w:r w:rsidR="003041B5">
        <w:rPr>
          <w:rFonts w:ascii="Times New Roman" w:hAnsi="Times New Roman"/>
          <w:b/>
          <w:bCs/>
          <w:szCs w:val="24"/>
        </w:rPr>
        <w:t>6</w:t>
      </w:r>
      <w:r w:rsidR="003041B5" w:rsidRPr="00E2650B">
        <w:rPr>
          <w:rFonts w:ascii="Times New Roman" w:hAnsi="Times New Roman"/>
          <w:b/>
          <w:bCs/>
          <w:szCs w:val="24"/>
        </w:rPr>
        <w:t xml:space="preserve"> Da</w:t>
      </w:r>
      <w:r w:rsidR="003041B5">
        <w:rPr>
          <w:rFonts w:ascii="Times New Roman" w:hAnsi="Times New Roman"/>
          <w:b/>
          <w:bCs/>
          <w:szCs w:val="24"/>
        </w:rPr>
        <w:t>s</w:t>
      </w:r>
      <w:r w:rsidR="003041B5" w:rsidRPr="00E2650B">
        <w:rPr>
          <w:rFonts w:ascii="Times New Roman" w:hAnsi="Times New Roman"/>
          <w:b/>
          <w:bCs/>
          <w:szCs w:val="24"/>
        </w:rPr>
        <w:t xml:space="preserve"> </w:t>
      </w:r>
      <w:r w:rsidR="003041B5">
        <w:rPr>
          <w:rFonts w:ascii="Times New Roman" w:hAnsi="Times New Roman"/>
          <w:b/>
          <w:bCs/>
          <w:szCs w:val="24"/>
        </w:rPr>
        <w:t>Obrigações</w:t>
      </w:r>
    </w:p>
    <w:p w:rsidR="00774EF9" w:rsidRDefault="003041B5" w:rsidP="00EA0C46">
      <w:pPr>
        <w:tabs>
          <w:tab w:val="left" w:pos="1134"/>
        </w:tabs>
        <w:spacing w:before="120" w:after="120" w:line="276" w:lineRule="auto"/>
        <w:jc w:val="both"/>
        <w:rPr>
          <w:rFonts w:ascii="Times New Roman" w:hAnsi="Times New Roman"/>
          <w:color w:val="000000" w:themeColor="text1"/>
          <w:szCs w:val="24"/>
        </w:rPr>
      </w:pPr>
      <w:r>
        <w:rPr>
          <w:rFonts w:ascii="Times New Roman" w:hAnsi="Times New Roman"/>
          <w:b/>
          <w:bCs/>
          <w:szCs w:val="24"/>
        </w:rPr>
        <w:tab/>
      </w:r>
      <w:r w:rsidR="00EA0C46" w:rsidRPr="00EA0C46">
        <w:rPr>
          <w:rFonts w:ascii="Times New Roman" w:hAnsi="Times New Roman"/>
          <w:color w:val="000000" w:themeColor="text1"/>
          <w:szCs w:val="24"/>
        </w:rPr>
        <w:t xml:space="preserve">De forma que a ANP possa conhecer </w:t>
      </w:r>
      <w:r w:rsidR="00CC3B94">
        <w:rPr>
          <w:rFonts w:ascii="Times New Roman" w:hAnsi="Times New Roman"/>
          <w:color w:val="000000" w:themeColor="text1"/>
          <w:szCs w:val="24"/>
        </w:rPr>
        <w:t xml:space="preserve">e </w:t>
      </w:r>
      <w:r w:rsidR="00FD5C97">
        <w:rPr>
          <w:rFonts w:ascii="Times New Roman" w:hAnsi="Times New Roman"/>
          <w:color w:val="000000" w:themeColor="text1"/>
          <w:szCs w:val="24"/>
        </w:rPr>
        <w:t>compor</w:t>
      </w:r>
      <w:r w:rsidR="00CC3B94">
        <w:rPr>
          <w:rFonts w:ascii="Times New Roman" w:hAnsi="Times New Roman"/>
          <w:color w:val="000000" w:themeColor="text1"/>
          <w:szCs w:val="24"/>
        </w:rPr>
        <w:t xml:space="preserve"> um banco de dados referentes à</w:t>
      </w:r>
      <w:r w:rsidR="00EA0C46" w:rsidRPr="00EA0C46">
        <w:rPr>
          <w:rFonts w:ascii="Times New Roman" w:hAnsi="Times New Roman"/>
          <w:color w:val="000000" w:themeColor="text1"/>
          <w:szCs w:val="24"/>
        </w:rPr>
        <w:t xml:space="preserve"> qualidade d</w:t>
      </w:r>
      <w:r w:rsidR="00FD5C97">
        <w:rPr>
          <w:rFonts w:ascii="Times New Roman" w:hAnsi="Times New Roman"/>
          <w:color w:val="000000" w:themeColor="text1"/>
          <w:szCs w:val="24"/>
        </w:rPr>
        <w:t>o</w:t>
      </w:r>
      <w:r w:rsidR="00EA0C46" w:rsidRPr="00EA0C46">
        <w:rPr>
          <w:rFonts w:ascii="Times New Roman" w:hAnsi="Times New Roman"/>
          <w:color w:val="000000" w:themeColor="text1"/>
          <w:szCs w:val="24"/>
        </w:rPr>
        <w:t xml:space="preserve"> </w:t>
      </w:r>
      <w:r w:rsidR="00FD5C97">
        <w:rPr>
          <w:rFonts w:ascii="Times New Roman" w:hAnsi="Times New Roman"/>
          <w:color w:val="000000" w:themeColor="text1"/>
          <w:szCs w:val="24"/>
        </w:rPr>
        <w:t>óleo diesel</w:t>
      </w:r>
      <w:r w:rsidR="00EA0C46" w:rsidRPr="00EA0C46">
        <w:rPr>
          <w:rFonts w:ascii="Times New Roman" w:hAnsi="Times New Roman"/>
          <w:color w:val="000000" w:themeColor="text1"/>
          <w:szCs w:val="24"/>
        </w:rPr>
        <w:t xml:space="preserve"> com teor de biodiesel </w:t>
      </w:r>
      <w:r w:rsidR="00FD5C97">
        <w:rPr>
          <w:rFonts w:ascii="Times New Roman" w:hAnsi="Times New Roman"/>
          <w:color w:val="000000" w:themeColor="text1"/>
          <w:szCs w:val="24"/>
        </w:rPr>
        <w:t>superior ao percentual obrigatório</w:t>
      </w:r>
      <w:r w:rsidR="00EA0C46" w:rsidRPr="00EA0C46">
        <w:rPr>
          <w:rFonts w:ascii="Times New Roman" w:hAnsi="Times New Roman"/>
          <w:color w:val="000000" w:themeColor="text1"/>
          <w:szCs w:val="24"/>
        </w:rPr>
        <w:t xml:space="preserve"> no uso experimental, o</w:t>
      </w:r>
      <w:r w:rsidRPr="00EA0C46">
        <w:rPr>
          <w:rFonts w:ascii="Times New Roman" w:hAnsi="Times New Roman"/>
          <w:color w:val="000000" w:themeColor="text1"/>
          <w:szCs w:val="24"/>
        </w:rPr>
        <w:t xml:space="preserve"> distribuidor</w:t>
      </w:r>
      <w:r w:rsidR="003B439B">
        <w:rPr>
          <w:rFonts w:ascii="Times New Roman" w:hAnsi="Times New Roman"/>
          <w:color w:val="000000" w:themeColor="text1"/>
          <w:szCs w:val="24"/>
        </w:rPr>
        <w:t xml:space="preserve"> de combustíveis líquidos</w:t>
      </w:r>
      <w:r w:rsidR="00EA0C46">
        <w:rPr>
          <w:rFonts w:ascii="Times New Roman" w:hAnsi="Times New Roman"/>
          <w:bCs/>
          <w:szCs w:val="24"/>
        </w:rPr>
        <w:t>,</w:t>
      </w:r>
      <w:r>
        <w:rPr>
          <w:rFonts w:ascii="Times New Roman" w:hAnsi="Times New Roman"/>
          <w:bCs/>
          <w:szCs w:val="24"/>
        </w:rPr>
        <w:t xml:space="preserve"> fornecedor</w:t>
      </w:r>
      <w:r w:rsidR="00DA0304">
        <w:rPr>
          <w:rFonts w:ascii="Times New Roman" w:hAnsi="Times New Roman"/>
          <w:bCs/>
          <w:szCs w:val="24"/>
        </w:rPr>
        <w:t xml:space="preserve"> do produto</w:t>
      </w:r>
      <w:r w:rsidR="00EA0C46">
        <w:rPr>
          <w:rFonts w:ascii="Times New Roman" w:hAnsi="Times New Roman"/>
          <w:bCs/>
          <w:szCs w:val="24"/>
        </w:rPr>
        <w:t>,</w:t>
      </w:r>
      <w:r>
        <w:rPr>
          <w:rFonts w:ascii="Times New Roman" w:hAnsi="Times New Roman"/>
          <w:bCs/>
          <w:szCs w:val="24"/>
        </w:rPr>
        <w:t xml:space="preserve"> </w:t>
      </w:r>
      <w:r w:rsidR="00EA0C46">
        <w:rPr>
          <w:rFonts w:ascii="Times New Roman" w:hAnsi="Times New Roman"/>
          <w:color w:val="000000" w:themeColor="text1"/>
          <w:szCs w:val="24"/>
        </w:rPr>
        <w:t xml:space="preserve">deverá </w:t>
      </w:r>
      <w:r w:rsidR="00EA0C46" w:rsidRPr="00034BE8">
        <w:rPr>
          <w:rFonts w:ascii="Times New Roman" w:hAnsi="Times New Roman"/>
          <w:color w:val="000000" w:themeColor="text1"/>
          <w:szCs w:val="24"/>
        </w:rPr>
        <w:t xml:space="preserve">analisar </w:t>
      </w:r>
      <w:r w:rsidR="00FD5C97">
        <w:rPr>
          <w:rFonts w:ascii="Times New Roman" w:hAnsi="Times New Roman"/>
          <w:color w:val="000000" w:themeColor="text1"/>
          <w:szCs w:val="24"/>
        </w:rPr>
        <w:t>o produto a</w:t>
      </w:r>
      <w:r w:rsidR="00EA0C46" w:rsidRPr="00034BE8">
        <w:rPr>
          <w:rFonts w:ascii="Times New Roman" w:hAnsi="Times New Roman"/>
          <w:color w:val="000000" w:themeColor="text1"/>
          <w:szCs w:val="24"/>
        </w:rPr>
        <w:t xml:space="preserve"> ser utilizad</w:t>
      </w:r>
      <w:r w:rsidR="00FD5C97">
        <w:rPr>
          <w:rFonts w:ascii="Times New Roman" w:hAnsi="Times New Roman"/>
          <w:color w:val="000000" w:themeColor="text1"/>
          <w:szCs w:val="24"/>
        </w:rPr>
        <w:t>o</w:t>
      </w:r>
      <w:r w:rsidR="00EA0C46" w:rsidRPr="00034BE8">
        <w:rPr>
          <w:rFonts w:ascii="Times New Roman" w:hAnsi="Times New Roman"/>
          <w:color w:val="000000" w:themeColor="text1"/>
          <w:szCs w:val="24"/>
        </w:rPr>
        <w:t xml:space="preserve">, considerando no mínimo as características exigidas na </w:t>
      </w:r>
      <w:r w:rsidR="00EA0C46">
        <w:rPr>
          <w:rFonts w:ascii="Times New Roman" w:hAnsi="Times New Roman"/>
          <w:color w:val="000000" w:themeColor="text1"/>
          <w:szCs w:val="24"/>
        </w:rPr>
        <w:t xml:space="preserve">especificação do óleo diesel B8 a B30. Além disso, deverá </w:t>
      </w:r>
      <w:r w:rsidR="00EA0C46" w:rsidRPr="00034BE8">
        <w:rPr>
          <w:rFonts w:ascii="Times New Roman" w:hAnsi="Times New Roman"/>
          <w:color w:val="000000" w:themeColor="text1"/>
          <w:szCs w:val="24"/>
        </w:rPr>
        <w:t xml:space="preserve">enviar mensalmente à ANP os resultados dessas </w:t>
      </w:r>
      <w:r w:rsidR="00EA3087" w:rsidRPr="00034BE8">
        <w:rPr>
          <w:rFonts w:ascii="Times New Roman" w:hAnsi="Times New Roman"/>
          <w:color w:val="000000" w:themeColor="text1"/>
          <w:szCs w:val="24"/>
        </w:rPr>
        <w:t>análises.</w:t>
      </w:r>
      <w:r w:rsidR="00FD5C97">
        <w:rPr>
          <w:rFonts w:ascii="Times New Roman" w:hAnsi="Times New Roman"/>
          <w:color w:val="000000" w:themeColor="text1"/>
          <w:szCs w:val="24"/>
        </w:rPr>
        <w:t xml:space="preserve"> </w:t>
      </w:r>
      <w:r w:rsidR="00774EF9">
        <w:rPr>
          <w:rFonts w:ascii="Times New Roman" w:hAnsi="Times New Roman"/>
          <w:color w:val="000000" w:themeColor="text1"/>
          <w:szCs w:val="24"/>
        </w:rPr>
        <w:tab/>
      </w:r>
    </w:p>
    <w:p w:rsidR="00774EF9" w:rsidRDefault="00774EF9" w:rsidP="00EA0C46">
      <w:pPr>
        <w:tabs>
          <w:tab w:val="left" w:pos="1134"/>
        </w:tabs>
        <w:spacing w:before="120" w:after="120" w:line="276" w:lineRule="auto"/>
        <w:jc w:val="both"/>
        <w:rPr>
          <w:rFonts w:ascii="Times New Roman" w:hAnsi="Times New Roman"/>
          <w:color w:val="000000" w:themeColor="text1"/>
          <w:szCs w:val="24"/>
        </w:rPr>
      </w:pPr>
      <w:r>
        <w:rPr>
          <w:rFonts w:ascii="Times New Roman" w:hAnsi="Times New Roman"/>
          <w:color w:val="000000" w:themeColor="text1"/>
          <w:szCs w:val="24"/>
        </w:rPr>
        <w:tab/>
      </w:r>
      <w:r w:rsidR="00D43ECB">
        <w:rPr>
          <w:rFonts w:ascii="Times New Roman" w:hAnsi="Times New Roman"/>
          <w:color w:val="000000" w:themeColor="text1"/>
          <w:szCs w:val="24"/>
        </w:rPr>
        <w:t>Como se trata de um combustível não regulado, a proposta é que seja realizada a c</w:t>
      </w:r>
      <w:r w:rsidR="00FD5C97">
        <w:rPr>
          <w:rFonts w:ascii="Times New Roman" w:hAnsi="Times New Roman"/>
          <w:color w:val="000000" w:themeColor="text1"/>
          <w:szCs w:val="24"/>
        </w:rPr>
        <w:t xml:space="preserve">ertificação completa do </w:t>
      </w:r>
      <w:r w:rsidR="00D43ECB">
        <w:rPr>
          <w:rFonts w:ascii="Times New Roman" w:hAnsi="Times New Roman"/>
          <w:color w:val="000000" w:themeColor="text1"/>
          <w:szCs w:val="24"/>
        </w:rPr>
        <w:t>produto</w:t>
      </w:r>
      <w:r w:rsidR="00FD5C97">
        <w:rPr>
          <w:rFonts w:ascii="Times New Roman" w:hAnsi="Times New Roman"/>
          <w:color w:val="000000" w:themeColor="text1"/>
          <w:szCs w:val="24"/>
        </w:rPr>
        <w:t xml:space="preserve"> e não de algumas características como é exigido</w:t>
      </w:r>
      <w:r w:rsidR="00D43ECB">
        <w:rPr>
          <w:rFonts w:ascii="Times New Roman" w:hAnsi="Times New Roman"/>
          <w:color w:val="000000" w:themeColor="text1"/>
          <w:szCs w:val="24"/>
        </w:rPr>
        <w:t xml:space="preserve"> a este agente</w:t>
      </w:r>
      <w:r w:rsidR="00FD5C97">
        <w:rPr>
          <w:rFonts w:ascii="Times New Roman" w:hAnsi="Times New Roman"/>
          <w:color w:val="000000" w:themeColor="text1"/>
          <w:szCs w:val="24"/>
        </w:rPr>
        <w:t>, no caso dos combustíveis regulados</w:t>
      </w:r>
      <w:r w:rsidR="00D43ECB">
        <w:rPr>
          <w:rFonts w:ascii="Times New Roman" w:hAnsi="Times New Roman"/>
          <w:color w:val="000000" w:themeColor="text1"/>
          <w:szCs w:val="24"/>
        </w:rPr>
        <w:t xml:space="preserve"> (Boletim de Conformidade). Assim,</w:t>
      </w:r>
      <w:r w:rsidR="00FD5C97">
        <w:rPr>
          <w:rFonts w:ascii="Times New Roman" w:hAnsi="Times New Roman"/>
          <w:color w:val="000000" w:themeColor="text1"/>
          <w:szCs w:val="24"/>
        </w:rPr>
        <w:t xml:space="preserve"> </w:t>
      </w:r>
      <w:r w:rsidR="00FD5C97">
        <w:rPr>
          <w:rFonts w:ascii="Times New Roman" w:hAnsi="Times New Roman"/>
          <w:szCs w:val="24"/>
        </w:rPr>
        <w:t xml:space="preserve">o </w:t>
      </w:r>
      <w:r w:rsidR="00D43ECB">
        <w:rPr>
          <w:rFonts w:ascii="Times New Roman" w:hAnsi="Times New Roman"/>
          <w:color w:val="000000" w:themeColor="text1"/>
          <w:szCs w:val="24"/>
        </w:rPr>
        <w:t xml:space="preserve">distribuidor de combustíveis líquidos </w:t>
      </w:r>
      <w:r>
        <w:rPr>
          <w:rFonts w:ascii="Times New Roman" w:hAnsi="Times New Roman"/>
          <w:color w:val="000000" w:themeColor="text1"/>
          <w:szCs w:val="24"/>
        </w:rPr>
        <w:t>deverá</w:t>
      </w:r>
      <w:r w:rsidR="00FD5C97">
        <w:rPr>
          <w:rFonts w:ascii="Times New Roman" w:hAnsi="Times New Roman"/>
          <w:color w:val="000000" w:themeColor="text1"/>
          <w:szCs w:val="24"/>
        </w:rPr>
        <w:t xml:space="preserve"> </w:t>
      </w:r>
      <w:r>
        <w:rPr>
          <w:rFonts w:ascii="Times New Roman" w:hAnsi="Times New Roman"/>
          <w:color w:val="000000" w:themeColor="text1"/>
          <w:szCs w:val="24"/>
        </w:rPr>
        <w:t>analisar pelo menos uma vez por mês, uma amostra representativa de óleo diesel BX</w:t>
      </w:r>
      <w:r w:rsidRPr="00454542">
        <w:rPr>
          <w:rFonts w:ascii="Times New Roman" w:hAnsi="Times New Roman"/>
          <w:color w:val="000000" w:themeColor="text1"/>
          <w:szCs w:val="24"/>
        </w:rPr>
        <w:t xml:space="preserve"> a ser </w:t>
      </w:r>
      <w:r>
        <w:rPr>
          <w:rFonts w:ascii="Times New Roman" w:hAnsi="Times New Roman"/>
          <w:color w:val="000000" w:themeColor="text1"/>
          <w:szCs w:val="24"/>
        </w:rPr>
        <w:t>comercializada, não sendo obrigatória a certificação a cada carregamento. Adicionalmente, no caso de comercializar óleo diesel BX com diversos teores de biodiesel, a análise</w:t>
      </w:r>
      <w:r w:rsidR="00D43ECB">
        <w:rPr>
          <w:rFonts w:ascii="Times New Roman" w:hAnsi="Times New Roman"/>
          <w:color w:val="000000" w:themeColor="text1"/>
          <w:szCs w:val="24"/>
        </w:rPr>
        <w:t xml:space="preserve"> completa</w:t>
      </w:r>
      <w:r>
        <w:rPr>
          <w:rFonts w:ascii="Times New Roman" w:hAnsi="Times New Roman"/>
          <w:color w:val="000000" w:themeColor="text1"/>
          <w:szCs w:val="24"/>
        </w:rPr>
        <w:t xml:space="preserve"> da amostra deverá ser realizada em cada </w:t>
      </w:r>
      <w:r w:rsidR="00D43ECB">
        <w:rPr>
          <w:rFonts w:ascii="Times New Roman" w:hAnsi="Times New Roman"/>
          <w:color w:val="000000" w:themeColor="text1"/>
          <w:szCs w:val="24"/>
        </w:rPr>
        <w:t xml:space="preserve">amostra de </w:t>
      </w:r>
      <w:r>
        <w:rPr>
          <w:rFonts w:ascii="Times New Roman" w:hAnsi="Times New Roman"/>
          <w:color w:val="000000" w:themeColor="text1"/>
          <w:szCs w:val="24"/>
        </w:rPr>
        <w:t xml:space="preserve">produto que apresentar teor diferente de biodiesel. </w:t>
      </w:r>
    </w:p>
    <w:p w:rsidR="00EA0C46" w:rsidRDefault="00DA0304" w:rsidP="00F55B0D">
      <w:pPr>
        <w:tabs>
          <w:tab w:val="left" w:pos="1134"/>
        </w:tabs>
        <w:spacing w:before="120" w:after="240" w:line="276" w:lineRule="auto"/>
        <w:jc w:val="both"/>
        <w:rPr>
          <w:rFonts w:ascii="Times New Roman" w:hAnsi="Times New Roman"/>
          <w:b/>
          <w:color w:val="000000" w:themeColor="text1"/>
          <w:szCs w:val="24"/>
        </w:rPr>
      </w:pPr>
      <w:r>
        <w:rPr>
          <w:rFonts w:ascii="Times New Roman" w:hAnsi="Times New Roman"/>
          <w:bCs/>
          <w:szCs w:val="24"/>
        </w:rPr>
        <w:tab/>
      </w:r>
      <w:r w:rsidR="00D43ECB">
        <w:rPr>
          <w:rFonts w:ascii="Times New Roman" w:hAnsi="Times New Roman"/>
          <w:bCs/>
          <w:szCs w:val="24"/>
        </w:rPr>
        <w:t>Para o</w:t>
      </w:r>
      <w:r w:rsidR="00EA0C46">
        <w:rPr>
          <w:rFonts w:ascii="Times New Roman" w:hAnsi="Times New Roman"/>
          <w:color w:val="000000" w:themeColor="text1"/>
          <w:szCs w:val="24"/>
        </w:rPr>
        <w:t xml:space="preserve"> </w:t>
      </w:r>
      <w:r w:rsidR="008401F8">
        <w:rPr>
          <w:rFonts w:ascii="Times New Roman" w:hAnsi="Times New Roman"/>
          <w:color w:val="000000" w:themeColor="text1"/>
          <w:szCs w:val="24"/>
        </w:rPr>
        <w:t>solicitante,</w:t>
      </w:r>
      <w:r w:rsidR="00EA0C46">
        <w:rPr>
          <w:rFonts w:ascii="Times New Roman" w:hAnsi="Times New Roman"/>
          <w:color w:val="000000" w:themeColor="text1"/>
          <w:szCs w:val="24"/>
        </w:rPr>
        <w:t xml:space="preserve"> detentor da prévia anuência</w:t>
      </w:r>
      <w:r w:rsidR="008401F8">
        <w:rPr>
          <w:rFonts w:ascii="Times New Roman" w:hAnsi="Times New Roman"/>
          <w:color w:val="000000" w:themeColor="text1"/>
          <w:szCs w:val="24"/>
        </w:rPr>
        <w:t>,</w:t>
      </w:r>
      <w:r w:rsidR="00D43ECB">
        <w:rPr>
          <w:rFonts w:ascii="Times New Roman" w:hAnsi="Times New Roman"/>
          <w:color w:val="000000" w:themeColor="text1"/>
          <w:szCs w:val="24"/>
        </w:rPr>
        <w:t xml:space="preserve"> está sendo exigido o envio de</w:t>
      </w:r>
      <w:r w:rsidR="00EA0C46">
        <w:rPr>
          <w:rFonts w:ascii="Times New Roman" w:hAnsi="Times New Roman"/>
          <w:color w:val="000000" w:themeColor="text1"/>
          <w:szCs w:val="24"/>
        </w:rPr>
        <w:t xml:space="preserve"> </w:t>
      </w:r>
      <w:r w:rsidR="00D43ECB">
        <w:rPr>
          <w:rFonts w:ascii="Times New Roman" w:hAnsi="Times New Roman"/>
          <w:color w:val="000000" w:themeColor="text1"/>
          <w:szCs w:val="24"/>
        </w:rPr>
        <w:t>um</w:t>
      </w:r>
      <w:r w:rsidR="00EA0C46">
        <w:rPr>
          <w:rFonts w:ascii="Times New Roman" w:hAnsi="Times New Roman"/>
          <w:color w:val="000000" w:themeColor="text1"/>
          <w:szCs w:val="24"/>
        </w:rPr>
        <w:t xml:space="preserve"> relatório final contendo no mínimo os resultados dos testes constantes no plano de trabalho em até 60 (sessenta) dias após a finalização do uso experimental</w:t>
      </w:r>
      <w:r w:rsidR="00D43ECB">
        <w:rPr>
          <w:rFonts w:ascii="Times New Roman" w:hAnsi="Times New Roman"/>
          <w:color w:val="000000" w:themeColor="text1"/>
          <w:szCs w:val="24"/>
        </w:rPr>
        <w:t>, o qual será dado um parecer da ANP.</w:t>
      </w:r>
      <w:r w:rsidR="00EA0C46" w:rsidRPr="001815A9">
        <w:rPr>
          <w:rFonts w:ascii="Times New Roman" w:hAnsi="Times New Roman"/>
          <w:b/>
          <w:color w:val="000000" w:themeColor="text1"/>
          <w:szCs w:val="24"/>
        </w:rPr>
        <w:t xml:space="preserve"> </w:t>
      </w:r>
    </w:p>
    <w:p w:rsidR="00826251" w:rsidRPr="00A63852" w:rsidRDefault="00F55B0D" w:rsidP="003041B5">
      <w:pPr>
        <w:tabs>
          <w:tab w:val="left" w:pos="1134"/>
        </w:tabs>
        <w:spacing w:before="120" w:after="120" w:line="276" w:lineRule="auto"/>
        <w:jc w:val="both"/>
        <w:rPr>
          <w:rFonts w:ascii="Times New Roman" w:hAnsi="Times New Roman"/>
          <w:b/>
          <w:bCs/>
          <w:szCs w:val="24"/>
        </w:rPr>
      </w:pPr>
      <w:r>
        <w:rPr>
          <w:rFonts w:ascii="Times New Roman" w:hAnsi="Times New Roman"/>
          <w:b/>
          <w:bCs/>
          <w:szCs w:val="24"/>
        </w:rPr>
        <w:tab/>
      </w:r>
      <w:r w:rsidR="00DA0304" w:rsidRPr="00A63852">
        <w:rPr>
          <w:rFonts w:ascii="Times New Roman" w:hAnsi="Times New Roman"/>
          <w:b/>
          <w:bCs/>
          <w:szCs w:val="24"/>
        </w:rPr>
        <w:t xml:space="preserve">4.7 </w:t>
      </w:r>
      <w:r w:rsidR="00826251" w:rsidRPr="00A63852">
        <w:rPr>
          <w:rFonts w:ascii="Times New Roman" w:hAnsi="Times New Roman"/>
          <w:b/>
          <w:bCs/>
          <w:szCs w:val="24"/>
        </w:rPr>
        <w:t>Das Disposições Transitórias</w:t>
      </w:r>
    </w:p>
    <w:p w:rsidR="00826251" w:rsidRPr="008401F8" w:rsidRDefault="008401F8" w:rsidP="00F55B0D">
      <w:pPr>
        <w:tabs>
          <w:tab w:val="left" w:pos="1134"/>
        </w:tabs>
        <w:spacing w:before="120" w:after="240" w:line="276" w:lineRule="auto"/>
        <w:jc w:val="both"/>
        <w:rPr>
          <w:rFonts w:ascii="Times New Roman" w:hAnsi="Times New Roman"/>
          <w:color w:val="000000" w:themeColor="text1"/>
          <w:szCs w:val="24"/>
        </w:rPr>
      </w:pPr>
      <w:r>
        <w:rPr>
          <w:rFonts w:ascii="Times New Roman" w:hAnsi="Times New Roman"/>
          <w:color w:val="000000" w:themeColor="text1"/>
          <w:szCs w:val="24"/>
        </w:rPr>
        <w:tab/>
      </w:r>
      <w:r w:rsidR="00826251" w:rsidRPr="008401F8">
        <w:rPr>
          <w:rFonts w:ascii="Times New Roman" w:hAnsi="Times New Roman"/>
          <w:color w:val="000000" w:themeColor="text1"/>
          <w:szCs w:val="24"/>
        </w:rPr>
        <w:t xml:space="preserve">As autorizações vigentes de uso específico de biodiesel e de </w:t>
      </w:r>
      <w:r w:rsidR="00754F42">
        <w:rPr>
          <w:rFonts w:ascii="Times New Roman" w:hAnsi="Times New Roman"/>
          <w:szCs w:val="24"/>
        </w:rPr>
        <w:t>óleo diesel BX</w:t>
      </w:r>
      <w:r w:rsidR="00826251" w:rsidRPr="008401F8">
        <w:rPr>
          <w:rFonts w:ascii="Times New Roman" w:hAnsi="Times New Roman"/>
          <w:color w:val="000000" w:themeColor="text1"/>
          <w:szCs w:val="24"/>
        </w:rPr>
        <w:t>, em teores diversos do autorizado pela legislação vigente, permanecem em vigor com os mesmos efeitos da prévia anuência estabelecida na Resolução proposta, inclusive no que se refere a aquisição do biodiesel.</w:t>
      </w:r>
    </w:p>
    <w:p w:rsidR="00DA0304" w:rsidRDefault="00F55B0D" w:rsidP="003041B5">
      <w:pPr>
        <w:tabs>
          <w:tab w:val="left" w:pos="1134"/>
        </w:tabs>
        <w:spacing w:before="120" w:after="120" w:line="276" w:lineRule="auto"/>
        <w:jc w:val="both"/>
        <w:rPr>
          <w:rFonts w:ascii="Times New Roman" w:hAnsi="Times New Roman"/>
          <w:b/>
          <w:bCs/>
          <w:szCs w:val="24"/>
        </w:rPr>
      </w:pPr>
      <w:r>
        <w:rPr>
          <w:rFonts w:ascii="Times New Roman" w:hAnsi="Times New Roman"/>
          <w:b/>
          <w:bCs/>
          <w:szCs w:val="24"/>
        </w:rPr>
        <w:tab/>
      </w:r>
      <w:r w:rsidR="00826251" w:rsidRPr="00A63852">
        <w:rPr>
          <w:rFonts w:ascii="Times New Roman" w:hAnsi="Times New Roman"/>
          <w:b/>
          <w:bCs/>
          <w:szCs w:val="24"/>
        </w:rPr>
        <w:t xml:space="preserve">4.8 </w:t>
      </w:r>
      <w:r w:rsidR="00DA0304" w:rsidRPr="00A63852">
        <w:rPr>
          <w:rFonts w:ascii="Times New Roman" w:hAnsi="Times New Roman"/>
          <w:b/>
          <w:bCs/>
          <w:szCs w:val="24"/>
        </w:rPr>
        <w:t>Das Disposições Finais</w:t>
      </w:r>
    </w:p>
    <w:p w:rsidR="00DA0304" w:rsidRDefault="00DA0304" w:rsidP="003041B5">
      <w:pPr>
        <w:tabs>
          <w:tab w:val="left" w:pos="1134"/>
        </w:tabs>
        <w:spacing w:before="120" w:after="120" w:line="276" w:lineRule="auto"/>
        <w:jc w:val="both"/>
        <w:rPr>
          <w:rFonts w:ascii="Times New Roman" w:hAnsi="Times New Roman"/>
          <w:bCs/>
          <w:szCs w:val="24"/>
        </w:rPr>
      </w:pPr>
      <w:r>
        <w:rPr>
          <w:rFonts w:ascii="Times New Roman" w:hAnsi="Times New Roman"/>
          <w:b/>
          <w:bCs/>
          <w:szCs w:val="24"/>
        </w:rPr>
        <w:tab/>
      </w:r>
      <w:r>
        <w:rPr>
          <w:rFonts w:ascii="Times New Roman" w:hAnsi="Times New Roman"/>
          <w:bCs/>
          <w:szCs w:val="24"/>
        </w:rPr>
        <w:t xml:space="preserve">Foram mantidas as disposições de que a ANP poderá requerer documentos e informações complementares para concessão da prévia anuência, que o descumprimento da Resolução sujeita os infratores às sanções administrativas previstas na Lei n° 9.847, de 26 de </w:t>
      </w:r>
      <w:r>
        <w:rPr>
          <w:rFonts w:ascii="Times New Roman" w:hAnsi="Times New Roman"/>
          <w:bCs/>
          <w:szCs w:val="24"/>
        </w:rPr>
        <w:lastRenderedPageBreak/>
        <w:t>outubro de 1999, alterada pela Lei nº 11.097, de 13 de janeiro de 2005 e a análise pela Diretoria da ANP dos casos não contemplados pela Diretoria da ANP.</w:t>
      </w:r>
    </w:p>
    <w:p w:rsidR="00A63852" w:rsidRDefault="00DA0304" w:rsidP="00F55B0D">
      <w:pPr>
        <w:tabs>
          <w:tab w:val="left" w:pos="1134"/>
        </w:tabs>
        <w:spacing w:before="120" w:after="360" w:line="276" w:lineRule="auto"/>
        <w:jc w:val="both"/>
        <w:rPr>
          <w:rFonts w:ascii="Times New Roman" w:hAnsi="Times New Roman"/>
          <w:bCs/>
          <w:szCs w:val="24"/>
        </w:rPr>
      </w:pPr>
      <w:r>
        <w:rPr>
          <w:rFonts w:ascii="Times New Roman" w:hAnsi="Times New Roman"/>
          <w:bCs/>
          <w:szCs w:val="24"/>
        </w:rPr>
        <w:tab/>
        <w:t xml:space="preserve">Por fim, são revogadas as </w:t>
      </w:r>
      <w:r w:rsidRPr="00DA0304">
        <w:rPr>
          <w:rFonts w:ascii="Times New Roman" w:hAnsi="Times New Roman"/>
          <w:bCs/>
          <w:szCs w:val="24"/>
        </w:rPr>
        <w:t>Resoluções ANP nº 18, de 22 de junho de 2007, e n° 2, de 29 de janeiro 2008.</w:t>
      </w:r>
    </w:p>
    <w:p w:rsidR="00A021EA" w:rsidRPr="00F46585" w:rsidRDefault="001151BF" w:rsidP="00484214">
      <w:pPr>
        <w:tabs>
          <w:tab w:val="left" w:pos="1134"/>
        </w:tabs>
        <w:spacing w:before="120" w:after="120" w:line="276" w:lineRule="auto"/>
        <w:jc w:val="both"/>
        <w:rPr>
          <w:rFonts w:ascii="Times New Roman" w:hAnsi="Times New Roman"/>
          <w:b/>
          <w:szCs w:val="24"/>
        </w:rPr>
      </w:pPr>
      <w:r>
        <w:rPr>
          <w:rFonts w:ascii="Times New Roman" w:hAnsi="Times New Roman"/>
          <w:b/>
          <w:szCs w:val="24"/>
        </w:rPr>
        <w:t>5</w:t>
      </w:r>
      <w:r w:rsidR="004670AD" w:rsidRPr="00F46585">
        <w:rPr>
          <w:rFonts w:ascii="Times New Roman" w:hAnsi="Times New Roman"/>
          <w:b/>
          <w:szCs w:val="24"/>
        </w:rPr>
        <w:t>.</w:t>
      </w:r>
      <w:r w:rsidR="004670AD" w:rsidRPr="00F46585">
        <w:rPr>
          <w:rFonts w:ascii="Times New Roman" w:hAnsi="Times New Roman"/>
          <w:b/>
          <w:szCs w:val="24"/>
        </w:rPr>
        <w:tab/>
      </w:r>
      <w:r w:rsidR="00C33929" w:rsidRPr="00484214">
        <w:rPr>
          <w:rFonts w:ascii="Times New Roman" w:hAnsi="Times New Roman"/>
          <w:b/>
          <w:szCs w:val="24"/>
        </w:rPr>
        <w:t>CONCLUSÃ</w:t>
      </w:r>
      <w:r w:rsidR="00B3085C" w:rsidRPr="00484214">
        <w:rPr>
          <w:rFonts w:ascii="Times New Roman" w:hAnsi="Times New Roman"/>
          <w:b/>
          <w:szCs w:val="24"/>
        </w:rPr>
        <w:t>O</w:t>
      </w:r>
    </w:p>
    <w:p w:rsidR="001151BF" w:rsidRDefault="00A9008C" w:rsidP="001151BF">
      <w:pPr>
        <w:tabs>
          <w:tab w:val="left" w:pos="1134"/>
        </w:tabs>
        <w:spacing w:before="120" w:after="120" w:line="276" w:lineRule="auto"/>
        <w:jc w:val="both"/>
        <w:rPr>
          <w:rFonts w:ascii="Times New Roman" w:hAnsi="Times New Roman"/>
          <w:bCs/>
          <w:szCs w:val="24"/>
        </w:rPr>
      </w:pPr>
      <w:r w:rsidRPr="00A9008C">
        <w:rPr>
          <w:rFonts w:ascii="Times New Roman" w:hAnsi="Times New Roman"/>
          <w:bCs/>
          <w:szCs w:val="24"/>
        </w:rPr>
        <w:tab/>
      </w:r>
      <w:r w:rsidR="003F36E2">
        <w:rPr>
          <w:rFonts w:ascii="Times New Roman" w:hAnsi="Times New Roman"/>
          <w:bCs/>
          <w:szCs w:val="24"/>
        </w:rPr>
        <w:t xml:space="preserve">A </w:t>
      </w:r>
      <w:r w:rsidR="00DA0304">
        <w:rPr>
          <w:rFonts w:ascii="Times New Roman" w:hAnsi="Times New Roman"/>
          <w:bCs/>
          <w:szCs w:val="24"/>
        </w:rPr>
        <w:t xml:space="preserve">publicação de nova Resolução em substituição às </w:t>
      </w:r>
      <w:r w:rsidR="00DA0304" w:rsidRPr="00DA0304">
        <w:rPr>
          <w:rFonts w:ascii="Times New Roman" w:hAnsi="Times New Roman"/>
          <w:bCs/>
          <w:szCs w:val="24"/>
        </w:rPr>
        <w:t>Resoluções ANP nº 18, de 22 de junho de 2007, e n° 2, de 29 de janeiro 2008</w:t>
      </w:r>
      <w:r w:rsidR="00DA0304">
        <w:rPr>
          <w:rFonts w:ascii="Times New Roman" w:hAnsi="Times New Roman"/>
          <w:bCs/>
          <w:szCs w:val="24"/>
        </w:rPr>
        <w:t xml:space="preserve"> permite a adequação do arcabouço regulatório da ANP</w:t>
      </w:r>
      <w:r w:rsidR="00253C5D">
        <w:rPr>
          <w:rFonts w:ascii="Times New Roman" w:hAnsi="Times New Roman"/>
          <w:bCs/>
          <w:szCs w:val="24"/>
        </w:rPr>
        <w:t xml:space="preserve"> à Lei 13.033, </w:t>
      </w:r>
      <w:r w:rsidR="00253C5D" w:rsidRPr="00464BB1">
        <w:rPr>
          <w:rFonts w:ascii="Times New Roman" w:hAnsi="Times New Roman"/>
          <w:szCs w:val="24"/>
        </w:rPr>
        <w:t xml:space="preserve">de 24 de setembro de 2014, </w:t>
      </w:r>
      <w:r w:rsidR="00253C5D">
        <w:rPr>
          <w:rFonts w:ascii="Times New Roman" w:hAnsi="Times New Roman"/>
          <w:szCs w:val="24"/>
        </w:rPr>
        <w:t xml:space="preserve">e à </w:t>
      </w:r>
      <w:r w:rsidR="00253C5D" w:rsidRPr="00253C5D">
        <w:rPr>
          <w:rFonts w:ascii="Times New Roman" w:hAnsi="Times New Roman"/>
          <w:szCs w:val="24"/>
        </w:rPr>
        <w:t xml:space="preserve">Resolução </w:t>
      </w:r>
      <w:r w:rsidR="00253C5D">
        <w:rPr>
          <w:rFonts w:ascii="Times New Roman" w:hAnsi="Times New Roman"/>
          <w:szCs w:val="24"/>
        </w:rPr>
        <w:t xml:space="preserve">CNPE </w:t>
      </w:r>
      <w:r w:rsidR="00253C5D" w:rsidRPr="00253C5D">
        <w:rPr>
          <w:rFonts w:ascii="Times New Roman" w:hAnsi="Times New Roman"/>
          <w:szCs w:val="24"/>
        </w:rPr>
        <w:t>n° 3, de 21 de setembro de 2015</w:t>
      </w:r>
      <w:r w:rsidRPr="00A9008C">
        <w:rPr>
          <w:rFonts w:ascii="Times New Roman" w:hAnsi="Times New Roman"/>
          <w:bCs/>
          <w:szCs w:val="24"/>
        </w:rPr>
        <w:t>.</w:t>
      </w:r>
    </w:p>
    <w:p w:rsidR="00253C5D" w:rsidRDefault="00253C5D" w:rsidP="001151BF">
      <w:pPr>
        <w:tabs>
          <w:tab w:val="left" w:pos="1134"/>
        </w:tabs>
        <w:spacing w:before="120" w:after="120" w:line="276" w:lineRule="auto"/>
        <w:jc w:val="both"/>
        <w:rPr>
          <w:rFonts w:ascii="Times New Roman" w:hAnsi="Times New Roman"/>
          <w:bCs/>
          <w:szCs w:val="24"/>
        </w:rPr>
      </w:pPr>
      <w:r>
        <w:rPr>
          <w:rFonts w:ascii="Times New Roman" w:hAnsi="Times New Roman"/>
          <w:bCs/>
          <w:szCs w:val="24"/>
        </w:rPr>
        <w:tab/>
        <w:t>Em adição, foi demonstrado ao longo da presente Nota Técnica que serão estabelecidos com a publicação da nova Resolução pela ANP</w:t>
      </w:r>
      <w:r w:rsidRPr="00253C5D">
        <w:rPr>
          <w:rFonts w:ascii="Times New Roman" w:hAnsi="Times New Roman"/>
          <w:bCs/>
          <w:szCs w:val="24"/>
        </w:rPr>
        <w:t xml:space="preserve"> os mecanismos necessários à proteção do consumidor e do meio ambiente com o uso </w:t>
      </w:r>
      <w:r w:rsidR="00754F42">
        <w:rPr>
          <w:rFonts w:ascii="Times New Roman" w:hAnsi="Times New Roman"/>
          <w:bCs/>
          <w:szCs w:val="24"/>
        </w:rPr>
        <w:t>de biodiesel ou óleo diesel BX</w:t>
      </w:r>
      <w:r w:rsidRPr="00253C5D">
        <w:rPr>
          <w:rFonts w:ascii="Times New Roman" w:hAnsi="Times New Roman"/>
          <w:bCs/>
          <w:szCs w:val="24"/>
        </w:rPr>
        <w:t xml:space="preserve"> em quantidade superior ao percentual de adição obrigatória, assim como os fluxos de informações pelos agentes e consumidores.</w:t>
      </w:r>
    </w:p>
    <w:p w:rsidR="006236CC" w:rsidRDefault="006236CC">
      <w:pPr>
        <w:rPr>
          <w:rFonts w:ascii="Times New Roman" w:hAnsi="Times New Roman"/>
        </w:rPr>
      </w:pPr>
    </w:p>
    <w:p w:rsidR="00253C5D" w:rsidRDefault="001151BF" w:rsidP="00F55B0D">
      <w:pPr>
        <w:tabs>
          <w:tab w:val="left" w:pos="1134"/>
        </w:tabs>
        <w:spacing w:before="120" w:after="240" w:line="276" w:lineRule="auto"/>
        <w:jc w:val="both"/>
        <w:rPr>
          <w:rFonts w:ascii="Times New Roman" w:hAnsi="Times New Roman"/>
        </w:rPr>
      </w:pPr>
      <w:r>
        <w:rPr>
          <w:rFonts w:ascii="Times New Roman" w:hAnsi="Times New Roman"/>
        </w:rPr>
        <w:t>E</w:t>
      </w:r>
      <w:r w:rsidR="00B01ED5" w:rsidRPr="00C33929">
        <w:rPr>
          <w:rFonts w:ascii="Times New Roman" w:hAnsi="Times New Roman"/>
        </w:rPr>
        <w:t>laboração:</w:t>
      </w:r>
    </w:p>
    <w:p w:rsidR="00253C5D" w:rsidRPr="00253C5D" w:rsidRDefault="00253C5D" w:rsidP="00253C5D">
      <w:pPr>
        <w:pStyle w:val="Ttulo1"/>
        <w:spacing w:before="120" w:after="120" w:line="23" w:lineRule="atLeast"/>
        <w:rPr>
          <w:rFonts w:ascii="Times New Roman" w:hAnsi="Times New Roman"/>
          <w:b w:val="0"/>
        </w:rPr>
      </w:pPr>
      <w:r w:rsidRPr="00253C5D">
        <w:rPr>
          <w:rFonts w:ascii="Times New Roman" w:hAnsi="Times New Roman"/>
          <w:b w:val="0"/>
        </w:rPr>
        <w:t>___________________________________</w:t>
      </w:r>
    </w:p>
    <w:p w:rsidR="00253C5D" w:rsidRPr="00253C5D" w:rsidRDefault="00253C5D" w:rsidP="00253C5D">
      <w:pPr>
        <w:pStyle w:val="Ttulo1"/>
        <w:spacing w:before="120" w:after="120" w:line="23" w:lineRule="atLeast"/>
        <w:rPr>
          <w:rFonts w:ascii="Times New Roman" w:hAnsi="Times New Roman"/>
          <w:b w:val="0"/>
        </w:rPr>
      </w:pPr>
      <w:r w:rsidRPr="00253C5D">
        <w:rPr>
          <w:rFonts w:ascii="Times New Roman" w:hAnsi="Times New Roman"/>
          <w:b w:val="0"/>
        </w:rPr>
        <w:t>CELMA DA SILVA ANASTACIO ROCCO</w:t>
      </w:r>
    </w:p>
    <w:p w:rsidR="00253C5D" w:rsidRPr="00253C5D" w:rsidRDefault="00253C5D" w:rsidP="00253C5D">
      <w:pPr>
        <w:pStyle w:val="Ttulo1"/>
        <w:spacing w:before="120" w:after="120" w:line="23" w:lineRule="atLeast"/>
        <w:rPr>
          <w:rFonts w:ascii="Times New Roman" w:hAnsi="Times New Roman"/>
          <w:b w:val="0"/>
        </w:rPr>
      </w:pPr>
      <w:r w:rsidRPr="00253C5D">
        <w:rPr>
          <w:rFonts w:ascii="Times New Roman" w:hAnsi="Times New Roman"/>
          <w:b w:val="0"/>
        </w:rPr>
        <w:t>Especialista em Regulação</w:t>
      </w:r>
    </w:p>
    <w:p w:rsidR="00253C5D" w:rsidRPr="00253C5D" w:rsidRDefault="00253C5D" w:rsidP="00253C5D">
      <w:pPr>
        <w:pStyle w:val="Ttulo1"/>
        <w:spacing w:before="120" w:after="120" w:line="23" w:lineRule="atLeast"/>
        <w:rPr>
          <w:rFonts w:ascii="Times New Roman" w:hAnsi="Times New Roman"/>
          <w:b w:val="0"/>
        </w:rPr>
      </w:pPr>
    </w:p>
    <w:p w:rsidR="0008231D" w:rsidRPr="0008231D" w:rsidRDefault="0008231D" w:rsidP="0008231D">
      <w:pPr>
        <w:pStyle w:val="Ttulo1"/>
        <w:spacing w:before="120" w:after="120" w:line="23" w:lineRule="atLeast"/>
        <w:rPr>
          <w:rFonts w:ascii="Times New Roman" w:hAnsi="Times New Roman"/>
          <w:b w:val="0"/>
        </w:rPr>
      </w:pPr>
      <w:r w:rsidRPr="0008231D">
        <w:rPr>
          <w:rFonts w:ascii="Times New Roman" w:hAnsi="Times New Roman"/>
          <w:b w:val="0"/>
        </w:rPr>
        <w:t>_______________________________</w:t>
      </w:r>
    </w:p>
    <w:p w:rsidR="0008231D" w:rsidRPr="0008231D" w:rsidRDefault="0008231D" w:rsidP="0008231D">
      <w:pPr>
        <w:pStyle w:val="Ttulo1"/>
        <w:spacing w:before="120" w:after="120" w:line="23" w:lineRule="atLeast"/>
        <w:rPr>
          <w:rFonts w:ascii="Times New Roman" w:hAnsi="Times New Roman"/>
          <w:b w:val="0"/>
        </w:rPr>
      </w:pPr>
      <w:r w:rsidRPr="0008231D">
        <w:rPr>
          <w:rFonts w:ascii="Times New Roman" w:hAnsi="Times New Roman"/>
          <w:b w:val="0"/>
        </w:rPr>
        <w:t>PIETRO ADAMO SAMPAIO MENDES</w:t>
      </w:r>
    </w:p>
    <w:p w:rsidR="0008231D" w:rsidRPr="0008231D" w:rsidRDefault="0008231D" w:rsidP="0008231D">
      <w:pPr>
        <w:pStyle w:val="Ttulo1"/>
        <w:spacing w:before="120" w:after="120" w:line="23" w:lineRule="atLeast"/>
        <w:rPr>
          <w:rFonts w:ascii="Times New Roman" w:hAnsi="Times New Roman"/>
          <w:b w:val="0"/>
        </w:rPr>
      </w:pPr>
      <w:r w:rsidRPr="0008231D">
        <w:rPr>
          <w:rFonts w:ascii="Times New Roman" w:hAnsi="Times New Roman"/>
          <w:b w:val="0"/>
        </w:rPr>
        <w:t>Especialista em Regulação</w:t>
      </w:r>
    </w:p>
    <w:p w:rsidR="00D0523E" w:rsidRPr="00253C5D" w:rsidRDefault="00D0523E" w:rsidP="00D0523E">
      <w:pPr>
        <w:pStyle w:val="Ttulo1"/>
        <w:spacing w:before="120" w:after="120" w:line="23" w:lineRule="atLeast"/>
        <w:rPr>
          <w:rFonts w:ascii="Times New Roman" w:hAnsi="Times New Roman"/>
          <w:b w:val="0"/>
        </w:rPr>
      </w:pPr>
    </w:p>
    <w:p w:rsidR="00D0523E" w:rsidRPr="00C33929" w:rsidRDefault="00D0523E" w:rsidP="008401F8">
      <w:pPr>
        <w:pStyle w:val="Ttulo1"/>
        <w:spacing w:before="120" w:after="360" w:line="23" w:lineRule="atLeast"/>
        <w:rPr>
          <w:rFonts w:ascii="Times New Roman" w:hAnsi="Times New Roman"/>
        </w:rPr>
      </w:pPr>
      <w:r>
        <w:rPr>
          <w:rFonts w:ascii="Times New Roman" w:hAnsi="Times New Roman"/>
        </w:rPr>
        <w:t>Revisão</w:t>
      </w:r>
      <w:r w:rsidRPr="00C33929">
        <w:rPr>
          <w:rFonts w:ascii="Times New Roman" w:hAnsi="Times New Roman"/>
        </w:rPr>
        <w:t>:</w:t>
      </w:r>
    </w:p>
    <w:p w:rsidR="00D0523E" w:rsidRPr="00C33929" w:rsidRDefault="00D0523E" w:rsidP="00D0523E">
      <w:pPr>
        <w:pStyle w:val="Ttulo1"/>
        <w:spacing w:before="120" w:after="120" w:line="23" w:lineRule="atLeast"/>
        <w:rPr>
          <w:rFonts w:ascii="Times New Roman" w:hAnsi="Times New Roman"/>
          <w:b w:val="0"/>
        </w:rPr>
      </w:pPr>
      <w:r w:rsidRPr="00C33929">
        <w:rPr>
          <w:rFonts w:ascii="Times New Roman" w:hAnsi="Times New Roman"/>
          <w:b w:val="0"/>
        </w:rPr>
        <w:t>___________________________________</w:t>
      </w:r>
    </w:p>
    <w:p w:rsidR="00D0523E" w:rsidRPr="00C33929" w:rsidRDefault="00D0523E" w:rsidP="00D0523E">
      <w:pPr>
        <w:pStyle w:val="Ttulo1"/>
        <w:spacing w:before="120" w:after="120" w:line="23" w:lineRule="atLeast"/>
        <w:rPr>
          <w:rFonts w:ascii="Times New Roman" w:hAnsi="Times New Roman"/>
          <w:b w:val="0"/>
        </w:rPr>
      </w:pPr>
      <w:r>
        <w:rPr>
          <w:rFonts w:ascii="Times New Roman" w:hAnsi="Times New Roman"/>
          <w:b w:val="0"/>
        </w:rPr>
        <w:t>JACKSON DA SILVA ALBUQUERQUE</w:t>
      </w:r>
    </w:p>
    <w:p w:rsidR="00D0523E" w:rsidRDefault="00D0523E" w:rsidP="00D0523E">
      <w:pPr>
        <w:pStyle w:val="Ttulo1"/>
        <w:spacing w:before="120" w:after="120" w:line="23" w:lineRule="atLeast"/>
        <w:rPr>
          <w:rFonts w:ascii="Times New Roman" w:hAnsi="Times New Roman"/>
          <w:b w:val="0"/>
        </w:rPr>
      </w:pPr>
      <w:r>
        <w:rPr>
          <w:rFonts w:ascii="Times New Roman" w:hAnsi="Times New Roman"/>
          <w:b w:val="0"/>
        </w:rPr>
        <w:t>Coordenador da Coordenação de Regulação</w:t>
      </w:r>
      <w:r w:rsidR="00386059">
        <w:rPr>
          <w:rFonts w:ascii="Times New Roman" w:hAnsi="Times New Roman"/>
          <w:b w:val="0"/>
        </w:rPr>
        <w:t xml:space="preserve"> da Qualidade</w:t>
      </w:r>
      <w:r>
        <w:rPr>
          <w:rFonts w:ascii="Times New Roman" w:hAnsi="Times New Roman"/>
          <w:b w:val="0"/>
        </w:rPr>
        <w:t xml:space="preserve"> de Produtos</w:t>
      </w:r>
    </w:p>
    <w:p w:rsidR="00484214" w:rsidRPr="00484214" w:rsidRDefault="00484214" w:rsidP="00484214"/>
    <w:p w:rsidR="00AD1292" w:rsidRPr="00C33929" w:rsidRDefault="00AD1292" w:rsidP="008401F8">
      <w:pPr>
        <w:pStyle w:val="Ttulo1"/>
        <w:spacing w:before="120" w:after="360" w:line="23" w:lineRule="atLeast"/>
        <w:rPr>
          <w:rFonts w:ascii="Times New Roman" w:hAnsi="Times New Roman"/>
        </w:rPr>
      </w:pPr>
      <w:r w:rsidRPr="00C33929">
        <w:rPr>
          <w:rFonts w:ascii="Times New Roman" w:hAnsi="Times New Roman"/>
        </w:rPr>
        <w:t>Aprovação:</w:t>
      </w:r>
    </w:p>
    <w:p w:rsidR="00AD1292" w:rsidRPr="00C33929" w:rsidRDefault="00AD1292" w:rsidP="00C33929">
      <w:pPr>
        <w:pStyle w:val="Ttulo1"/>
        <w:spacing w:before="120" w:after="120" w:line="23" w:lineRule="atLeast"/>
        <w:rPr>
          <w:rFonts w:ascii="Times New Roman" w:hAnsi="Times New Roman"/>
          <w:b w:val="0"/>
        </w:rPr>
      </w:pPr>
      <w:r w:rsidRPr="00C33929">
        <w:rPr>
          <w:rFonts w:ascii="Times New Roman" w:hAnsi="Times New Roman"/>
          <w:b w:val="0"/>
        </w:rPr>
        <w:t>___________________________________</w:t>
      </w:r>
    </w:p>
    <w:p w:rsidR="00B915F6" w:rsidRPr="00C33929" w:rsidRDefault="008401F8" w:rsidP="00B915F6">
      <w:pPr>
        <w:spacing w:before="120" w:after="120" w:line="23" w:lineRule="atLeast"/>
        <w:rPr>
          <w:rFonts w:ascii="Times New Roman" w:hAnsi="Times New Roman"/>
        </w:rPr>
      </w:pPr>
      <w:r>
        <w:rPr>
          <w:rFonts w:ascii="Times New Roman" w:hAnsi="Times New Roman"/>
        </w:rPr>
        <w:t>CRISTIANE ZULIVIA DE ANDRADE MONTEIRO</w:t>
      </w:r>
    </w:p>
    <w:p w:rsidR="00AD1292" w:rsidRPr="00AD1292" w:rsidRDefault="00B915F6" w:rsidP="00253C5D">
      <w:pPr>
        <w:spacing w:before="120" w:after="120" w:line="23" w:lineRule="atLeast"/>
        <w:rPr>
          <w:rFonts w:ascii="Times New Roman" w:hAnsi="Times New Roman"/>
          <w:b/>
        </w:rPr>
      </w:pPr>
      <w:r w:rsidRPr="00C33929">
        <w:rPr>
          <w:rFonts w:ascii="Times New Roman" w:hAnsi="Times New Roman"/>
        </w:rPr>
        <w:t>Superintendente</w:t>
      </w:r>
      <w:r w:rsidR="008401F8">
        <w:rPr>
          <w:rFonts w:ascii="Times New Roman" w:hAnsi="Times New Roman"/>
        </w:rPr>
        <w:t>-Adjunta</w:t>
      </w:r>
      <w:r w:rsidRPr="00C33929">
        <w:rPr>
          <w:rFonts w:ascii="Times New Roman" w:hAnsi="Times New Roman"/>
        </w:rPr>
        <w:t xml:space="preserve"> de Biocombustíveis e Qualidade de Produtos</w:t>
      </w:r>
    </w:p>
    <w:sectPr w:rsidR="00AD1292" w:rsidRPr="00AD1292" w:rsidSect="00EE1C49">
      <w:footerReference w:type="default" r:id="rId8"/>
      <w:headerReference w:type="first" r:id="rId9"/>
      <w:footerReference w:type="first" r:id="rId10"/>
      <w:type w:val="continuous"/>
      <w:pgSz w:w="11907" w:h="16840" w:code="9"/>
      <w:pgMar w:top="2410" w:right="851" w:bottom="1134" w:left="1418" w:header="0" w:footer="68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8F3" w:rsidRDefault="00BF38F3">
      <w:r>
        <w:separator/>
      </w:r>
    </w:p>
  </w:endnote>
  <w:endnote w:type="continuationSeparator" w:id="0">
    <w:p w:rsidR="00BF38F3" w:rsidRDefault="00BF3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88480"/>
      <w:docPartObj>
        <w:docPartGallery w:val="Page Numbers (Bottom of Page)"/>
        <w:docPartUnique/>
      </w:docPartObj>
    </w:sdtPr>
    <w:sdtContent>
      <w:p w:rsidR="00BF38F3" w:rsidRDefault="00BF38F3">
        <w:pPr>
          <w:pStyle w:val="Rodap"/>
          <w:jc w:val="right"/>
          <w:rPr>
            <w:rFonts w:ascii="Times New Roman" w:hAnsi="Times New Roman"/>
            <w:sz w:val="18"/>
            <w:szCs w:val="18"/>
          </w:rPr>
        </w:pPr>
      </w:p>
      <w:p w:rsidR="00BF38F3" w:rsidRDefault="00BF38F3">
        <w:pPr>
          <w:pStyle w:val="Rodap"/>
          <w:jc w:val="right"/>
        </w:pPr>
        <w:r w:rsidRPr="00BF38F3">
          <w:rPr>
            <w:rFonts w:ascii="Times New Roman" w:hAnsi="Times New Roman"/>
            <w:sz w:val="18"/>
            <w:szCs w:val="18"/>
          </w:rPr>
          <w:fldChar w:fldCharType="begin"/>
        </w:r>
        <w:r w:rsidRPr="00BF38F3">
          <w:rPr>
            <w:rFonts w:ascii="Times New Roman" w:hAnsi="Times New Roman"/>
            <w:sz w:val="18"/>
            <w:szCs w:val="18"/>
          </w:rPr>
          <w:instrText xml:space="preserve"> PAGE   \* MERGEFORMAT </w:instrText>
        </w:r>
        <w:r w:rsidRPr="00BF38F3">
          <w:rPr>
            <w:rFonts w:ascii="Times New Roman" w:hAnsi="Times New Roman"/>
            <w:sz w:val="18"/>
            <w:szCs w:val="18"/>
          </w:rPr>
          <w:fldChar w:fldCharType="separate"/>
        </w:r>
        <w:r w:rsidR="00AA55C3">
          <w:rPr>
            <w:rFonts w:ascii="Times New Roman" w:hAnsi="Times New Roman"/>
            <w:noProof/>
            <w:sz w:val="18"/>
            <w:szCs w:val="18"/>
          </w:rPr>
          <w:t>3</w:t>
        </w:r>
        <w:r w:rsidRPr="00BF38F3">
          <w:rPr>
            <w:rFonts w:ascii="Times New Roman" w:hAnsi="Times New Roman"/>
            <w:sz w:val="18"/>
            <w:szCs w:val="18"/>
          </w:rPr>
          <w:fldChar w:fldCharType="end"/>
        </w:r>
      </w:p>
    </w:sdtContent>
  </w:sdt>
  <w:p w:rsidR="00BF38F3" w:rsidRDefault="00BF38F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F3" w:rsidRPr="008401F8" w:rsidRDefault="00BF38F3">
    <w:pPr>
      <w:pStyle w:val="Rodap"/>
      <w:rPr>
        <w:rFonts w:ascii="Times New Roman" w:hAnsi="Times New Roman"/>
        <w:sz w:val="16"/>
        <w:szCs w:val="16"/>
      </w:rPr>
    </w:pPr>
    <w:r w:rsidRPr="008401F8">
      <w:rPr>
        <w:rFonts w:ascii="Times New Roman" w:hAnsi="Times New Roman"/>
        <w:sz w:val="16"/>
        <w:szCs w:val="16"/>
      </w:rPr>
      <w:t>SID: 00610.127651/2015-52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8F3" w:rsidRDefault="00BF38F3">
      <w:r>
        <w:separator/>
      </w:r>
    </w:p>
  </w:footnote>
  <w:footnote w:type="continuationSeparator" w:id="0">
    <w:p w:rsidR="00BF38F3" w:rsidRDefault="00BF3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F3" w:rsidRDefault="00BF38F3">
    <w:pPr>
      <w:pStyle w:val="Cabealho"/>
      <w:rPr>
        <w:noProof/>
      </w:rPr>
    </w:pPr>
  </w:p>
  <w:p w:rsidR="00BF38F3" w:rsidRDefault="00BF38F3">
    <w:pPr>
      <w:pStyle w:val="Cabealho"/>
      <w:rPr>
        <w:noProof/>
      </w:rPr>
    </w:pPr>
    <w:r>
      <w:rPr>
        <w:noProof/>
      </w:rPr>
      <w:t xml:space="preserve">          </w:t>
    </w:r>
  </w:p>
  <w:p w:rsidR="00BF38F3" w:rsidRDefault="00BF38F3" w:rsidP="005F6E68">
    <w:pPr>
      <w:pStyle w:val="Cabealho"/>
      <w:tabs>
        <w:tab w:val="left" w:pos="851"/>
      </w:tabs>
    </w:pPr>
    <w:r>
      <w:rPr>
        <w:noProof/>
      </w:rPr>
      <w:pict>
        <v:shapetype id="_x0000_t202" coordsize="21600,21600" o:spt="202" path="m,l,21600r21600,l21600,xe">
          <v:stroke joinstyle="miter"/>
          <v:path gradientshapeok="t" o:connecttype="rect"/>
        </v:shapetype>
        <v:shape id="_x0000_s9217" type="#_x0000_t202" style="position:absolute;margin-left:78.9pt;margin-top:15.5pt;width:410.05pt;height:68.4pt;z-index:251657728;mso-height-percent:200;mso-height-percent:200;mso-width-relative:margin;mso-height-relative:margin" stroked="f">
          <v:textbox style="mso-next-textbox:#_x0000_s9217;mso-fit-shape-to-text:t">
            <w:txbxContent>
              <w:p w:rsidR="00BF38F3" w:rsidRPr="005F6E68" w:rsidRDefault="00BF38F3" w:rsidP="008401F8">
                <w:pPr>
                  <w:jc w:val="center"/>
                  <w:rPr>
                    <w:rFonts w:ascii="Times New Roman" w:hAnsi="Times New Roman"/>
                    <w:b/>
                    <w:szCs w:val="24"/>
                  </w:rPr>
                </w:pPr>
                <w:r w:rsidRPr="005F6E68">
                  <w:rPr>
                    <w:rFonts w:ascii="Times New Roman" w:hAnsi="Times New Roman"/>
                    <w:b/>
                    <w:szCs w:val="24"/>
                  </w:rPr>
                  <w:t>Agência Nacional do Petróleo, Gás Natural e Biocombustíveis</w:t>
                </w:r>
              </w:p>
              <w:p w:rsidR="00BF38F3" w:rsidRPr="005F6E68" w:rsidRDefault="00BF38F3" w:rsidP="008401F8">
                <w:pPr>
                  <w:jc w:val="center"/>
                  <w:rPr>
                    <w:rFonts w:ascii="Times New Roman" w:hAnsi="Times New Roman"/>
                    <w:b/>
                    <w:szCs w:val="24"/>
                  </w:rPr>
                </w:pPr>
                <w:r w:rsidRPr="005F6E68">
                  <w:rPr>
                    <w:rFonts w:ascii="Times New Roman" w:hAnsi="Times New Roman"/>
                    <w:b/>
                    <w:szCs w:val="24"/>
                  </w:rPr>
                  <w:t>Superintendência de Biocombustíveis e de Qualidade de Produtos</w:t>
                </w:r>
              </w:p>
              <w:p w:rsidR="00BF38F3" w:rsidRPr="005F6E68" w:rsidRDefault="00BF38F3" w:rsidP="008401F8">
                <w:pPr>
                  <w:pStyle w:val="Corpodetexto2"/>
                  <w:spacing w:line="240" w:lineRule="auto"/>
                  <w:jc w:val="center"/>
                  <w:rPr>
                    <w:b/>
                    <w:sz w:val="24"/>
                    <w:szCs w:val="24"/>
                  </w:rPr>
                </w:pPr>
                <w:r w:rsidRPr="005F6E68">
                  <w:rPr>
                    <w:b/>
                    <w:bCs/>
                    <w:sz w:val="24"/>
                    <w:szCs w:val="24"/>
                  </w:rPr>
                  <w:t>Coordenação de Regulação da Qualidade de Produtos</w:t>
                </w:r>
              </w:p>
              <w:p w:rsidR="00BF38F3" w:rsidRPr="003927AE" w:rsidRDefault="00BF38F3" w:rsidP="008401F8">
                <w:pPr>
                  <w:jc w:val="center"/>
                  <w:rPr>
                    <w:szCs w:val="24"/>
                  </w:rPr>
                </w:pPr>
              </w:p>
            </w:txbxContent>
          </v:textbox>
        </v:shape>
      </w:pict>
    </w:r>
    <w:r>
      <w:rPr>
        <w:noProof/>
      </w:rPr>
      <w:drawing>
        <wp:inline distT="0" distB="0" distL="0" distR="0">
          <wp:extent cx="716280" cy="1302385"/>
          <wp:effectExtent l="19050" t="0" r="7620" b="0"/>
          <wp:docPr id="1" name="Imagem 1" descr="logo_a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anp"/>
                  <pic:cNvPicPr>
                    <a:picLocks noChangeAspect="1" noChangeArrowheads="1"/>
                  </pic:cNvPicPr>
                </pic:nvPicPr>
                <pic:blipFill>
                  <a:blip r:embed="rId1"/>
                  <a:srcRect/>
                  <a:stretch>
                    <a:fillRect/>
                  </a:stretch>
                </pic:blipFill>
                <pic:spPr bwMode="auto">
                  <a:xfrm>
                    <a:off x="0" y="0"/>
                    <a:ext cx="716280" cy="13023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141"/>
    <w:multiLevelType w:val="hybridMultilevel"/>
    <w:tmpl w:val="05EA1FF4"/>
    <w:lvl w:ilvl="0" w:tplc="5502B21A">
      <w:start w:val="1"/>
      <w:numFmt w:val="decimal"/>
      <w:lvlText w:val="%1."/>
      <w:lvlJc w:val="left"/>
      <w:pPr>
        <w:ind w:left="786" w:hanging="360"/>
      </w:pPr>
      <w:rPr>
        <w:sz w:val="24"/>
        <w:szCs w:val="24"/>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3003A13"/>
    <w:multiLevelType w:val="hybridMultilevel"/>
    <w:tmpl w:val="E5AA293C"/>
    <w:lvl w:ilvl="0" w:tplc="5B4CF554">
      <w:start w:val="1"/>
      <w:numFmt w:val="lowerLetter"/>
      <w:lvlText w:val="%1)"/>
      <w:lvlJc w:val="left"/>
      <w:pPr>
        <w:ind w:left="1440" w:hanging="360"/>
      </w:pPr>
      <w:rPr>
        <w:rFonts w:ascii="Times New Roman" w:eastAsia="Times New Roman" w:hAnsi="Times New Roman" w:cs="Times New Roman"/>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35F0EAD"/>
    <w:multiLevelType w:val="hybridMultilevel"/>
    <w:tmpl w:val="52B2C6D8"/>
    <w:lvl w:ilvl="0" w:tplc="E3885DF0">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nsid w:val="0BF0378E"/>
    <w:multiLevelType w:val="singleLevel"/>
    <w:tmpl w:val="F9561668"/>
    <w:lvl w:ilvl="0">
      <w:start w:val="2"/>
      <w:numFmt w:val="decimal"/>
      <w:lvlText w:val="%1."/>
      <w:lvlJc w:val="left"/>
      <w:pPr>
        <w:tabs>
          <w:tab w:val="num" w:pos="360"/>
        </w:tabs>
        <w:ind w:left="0" w:firstLine="0"/>
      </w:pPr>
    </w:lvl>
  </w:abstractNum>
  <w:abstractNum w:abstractNumId="4">
    <w:nsid w:val="0D5644B9"/>
    <w:multiLevelType w:val="singleLevel"/>
    <w:tmpl w:val="71F425EE"/>
    <w:lvl w:ilvl="0">
      <w:start w:val="1"/>
      <w:numFmt w:val="decimal"/>
      <w:lvlText w:val="%1."/>
      <w:lvlJc w:val="left"/>
      <w:pPr>
        <w:tabs>
          <w:tab w:val="num" w:pos="1410"/>
        </w:tabs>
        <w:ind w:left="1410" w:hanging="1410"/>
      </w:pPr>
      <w:rPr>
        <w:rFonts w:hint="default"/>
      </w:rPr>
    </w:lvl>
  </w:abstractNum>
  <w:abstractNum w:abstractNumId="5">
    <w:nsid w:val="1C8C4E10"/>
    <w:multiLevelType w:val="multilevel"/>
    <w:tmpl w:val="E1D8E16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9C0549A"/>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5C15E12"/>
    <w:multiLevelType w:val="hybridMultilevel"/>
    <w:tmpl w:val="4B4E7A1C"/>
    <w:lvl w:ilvl="0" w:tplc="E876823E">
      <w:start w:val="1"/>
      <w:numFmt w:val="bullet"/>
      <w:lvlText w:val=""/>
      <w:lvlJc w:val="left"/>
      <w:pPr>
        <w:tabs>
          <w:tab w:val="num" w:pos="720"/>
        </w:tabs>
        <w:ind w:left="720" w:hanging="360"/>
      </w:pPr>
      <w:rPr>
        <w:rFonts w:ascii="Wingdings" w:hAnsi="Wingdings" w:hint="default"/>
      </w:rPr>
    </w:lvl>
    <w:lvl w:ilvl="1" w:tplc="E970EC64" w:tentative="1">
      <w:start w:val="1"/>
      <w:numFmt w:val="bullet"/>
      <w:lvlText w:val=""/>
      <w:lvlJc w:val="left"/>
      <w:pPr>
        <w:tabs>
          <w:tab w:val="num" w:pos="1440"/>
        </w:tabs>
        <w:ind w:left="1440" w:hanging="360"/>
      </w:pPr>
      <w:rPr>
        <w:rFonts w:ascii="Wingdings" w:hAnsi="Wingdings" w:hint="default"/>
      </w:rPr>
    </w:lvl>
    <w:lvl w:ilvl="2" w:tplc="535C6364" w:tentative="1">
      <w:start w:val="1"/>
      <w:numFmt w:val="bullet"/>
      <w:lvlText w:val=""/>
      <w:lvlJc w:val="left"/>
      <w:pPr>
        <w:tabs>
          <w:tab w:val="num" w:pos="2160"/>
        </w:tabs>
        <w:ind w:left="2160" w:hanging="360"/>
      </w:pPr>
      <w:rPr>
        <w:rFonts w:ascii="Wingdings" w:hAnsi="Wingdings" w:hint="default"/>
      </w:rPr>
    </w:lvl>
    <w:lvl w:ilvl="3" w:tplc="7E9CA6F6" w:tentative="1">
      <w:start w:val="1"/>
      <w:numFmt w:val="bullet"/>
      <w:lvlText w:val=""/>
      <w:lvlJc w:val="left"/>
      <w:pPr>
        <w:tabs>
          <w:tab w:val="num" w:pos="2880"/>
        </w:tabs>
        <w:ind w:left="2880" w:hanging="360"/>
      </w:pPr>
      <w:rPr>
        <w:rFonts w:ascii="Wingdings" w:hAnsi="Wingdings" w:hint="default"/>
      </w:rPr>
    </w:lvl>
    <w:lvl w:ilvl="4" w:tplc="D7C2BBD2" w:tentative="1">
      <w:start w:val="1"/>
      <w:numFmt w:val="bullet"/>
      <w:lvlText w:val=""/>
      <w:lvlJc w:val="left"/>
      <w:pPr>
        <w:tabs>
          <w:tab w:val="num" w:pos="3600"/>
        </w:tabs>
        <w:ind w:left="3600" w:hanging="360"/>
      </w:pPr>
      <w:rPr>
        <w:rFonts w:ascii="Wingdings" w:hAnsi="Wingdings" w:hint="default"/>
      </w:rPr>
    </w:lvl>
    <w:lvl w:ilvl="5" w:tplc="FA08A754" w:tentative="1">
      <w:start w:val="1"/>
      <w:numFmt w:val="bullet"/>
      <w:lvlText w:val=""/>
      <w:lvlJc w:val="left"/>
      <w:pPr>
        <w:tabs>
          <w:tab w:val="num" w:pos="4320"/>
        </w:tabs>
        <w:ind w:left="4320" w:hanging="360"/>
      </w:pPr>
      <w:rPr>
        <w:rFonts w:ascii="Wingdings" w:hAnsi="Wingdings" w:hint="default"/>
      </w:rPr>
    </w:lvl>
    <w:lvl w:ilvl="6" w:tplc="B6CC5100" w:tentative="1">
      <w:start w:val="1"/>
      <w:numFmt w:val="bullet"/>
      <w:lvlText w:val=""/>
      <w:lvlJc w:val="left"/>
      <w:pPr>
        <w:tabs>
          <w:tab w:val="num" w:pos="5040"/>
        </w:tabs>
        <w:ind w:left="5040" w:hanging="360"/>
      </w:pPr>
      <w:rPr>
        <w:rFonts w:ascii="Wingdings" w:hAnsi="Wingdings" w:hint="default"/>
      </w:rPr>
    </w:lvl>
    <w:lvl w:ilvl="7" w:tplc="F670E1BE" w:tentative="1">
      <w:start w:val="1"/>
      <w:numFmt w:val="bullet"/>
      <w:lvlText w:val=""/>
      <w:lvlJc w:val="left"/>
      <w:pPr>
        <w:tabs>
          <w:tab w:val="num" w:pos="5760"/>
        </w:tabs>
        <w:ind w:left="5760" w:hanging="360"/>
      </w:pPr>
      <w:rPr>
        <w:rFonts w:ascii="Wingdings" w:hAnsi="Wingdings" w:hint="default"/>
      </w:rPr>
    </w:lvl>
    <w:lvl w:ilvl="8" w:tplc="C6A40196" w:tentative="1">
      <w:start w:val="1"/>
      <w:numFmt w:val="bullet"/>
      <w:lvlText w:val=""/>
      <w:lvlJc w:val="left"/>
      <w:pPr>
        <w:tabs>
          <w:tab w:val="num" w:pos="6480"/>
        </w:tabs>
        <w:ind w:left="6480" w:hanging="360"/>
      </w:pPr>
      <w:rPr>
        <w:rFonts w:ascii="Wingdings" w:hAnsi="Wingdings" w:hint="default"/>
      </w:rPr>
    </w:lvl>
  </w:abstractNum>
  <w:abstractNum w:abstractNumId="8">
    <w:nsid w:val="36260B27"/>
    <w:multiLevelType w:val="hybridMultilevel"/>
    <w:tmpl w:val="ED9C2C9A"/>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386E041C"/>
    <w:multiLevelType w:val="hybridMultilevel"/>
    <w:tmpl w:val="63E26506"/>
    <w:lvl w:ilvl="0" w:tplc="D80A8D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682A32"/>
    <w:multiLevelType w:val="hybridMultilevel"/>
    <w:tmpl w:val="5E86D01A"/>
    <w:lvl w:ilvl="0" w:tplc="08F01E6C">
      <w:start w:val="2"/>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233664D"/>
    <w:multiLevelType w:val="hybridMultilevel"/>
    <w:tmpl w:val="AAF63BC8"/>
    <w:lvl w:ilvl="0" w:tplc="04160001">
      <w:start w:val="1"/>
      <w:numFmt w:val="bullet"/>
      <w:lvlText w:val=""/>
      <w:lvlJc w:val="left"/>
      <w:pPr>
        <w:ind w:left="1509" w:hanging="360"/>
      </w:pPr>
      <w:rPr>
        <w:rFonts w:ascii="Symbol" w:hAnsi="Symbol" w:hint="default"/>
      </w:rPr>
    </w:lvl>
    <w:lvl w:ilvl="1" w:tplc="04160003" w:tentative="1">
      <w:start w:val="1"/>
      <w:numFmt w:val="bullet"/>
      <w:lvlText w:val="o"/>
      <w:lvlJc w:val="left"/>
      <w:pPr>
        <w:ind w:left="2229" w:hanging="360"/>
      </w:pPr>
      <w:rPr>
        <w:rFonts w:ascii="Courier New" w:hAnsi="Courier New" w:cs="Courier New" w:hint="default"/>
      </w:rPr>
    </w:lvl>
    <w:lvl w:ilvl="2" w:tplc="04160005" w:tentative="1">
      <w:start w:val="1"/>
      <w:numFmt w:val="bullet"/>
      <w:lvlText w:val=""/>
      <w:lvlJc w:val="left"/>
      <w:pPr>
        <w:ind w:left="2949" w:hanging="360"/>
      </w:pPr>
      <w:rPr>
        <w:rFonts w:ascii="Wingdings" w:hAnsi="Wingdings" w:hint="default"/>
      </w:rPr>
    </w:lvl>
    <w:lvl w:ilvl="3" w:tplc="04160001" w:tentative="1">
      <w:start w:val="1"/>
      <w:numFmt w:val="bullet"/>
      <w:lvlText w:val=""/>
      <w:lvlJc w:val="left"/>
      <w:pPr>
        <w:ind w:left="3669" w:hanging="360"/>
      </w:pPr>
      <w:rPr>
        <w:rFonts w:ascii="Symbol" w:hAnsi="Symbol" w:hint="default"/>
      </w:rPr>
    </w:lvl>
    <w:lvl w:ilvl="4" w:tplc="04160003" w:tentative="1">
      <w:start w:val="1"/>
      <w:numFmt w:val="bullet"/>
      <w:lvlText w:val="o"/>
      <w:lvlJc w:val="left"/>
      <w:pPr>
        <w:ind w:left="4389" w:hanging="360"/>
      </w:pPr>
      <w:rPr>
        <w:rFonts w:ascii="Courier New" w:hAnsi="Courier New" w:cs="Courier New" w:hint="default"/>
      </w:rPr>
    </w:lvl>
    <w:lvl w:ilvl="5" w:tplc="04160005" w:tentative="1">
      <w:start w:val="1"/>
      <w:numFmt w:val="bullet"/>
      <w:lvlText w:val=""/>
      <w:lvlJc w:val="left"/>
      <w:pPr>
        <w:ind w:left="5109" w:hanging="360"/>
      </w:pPr>
      <w:rPr>
        <w:rFonts w:ascii="Wingdings" w:hAnsi="Wingdings" w:hint="default"/>
      </w:rPr>
    </w:lvl>
    <w:lvl w:ilvl="6" w:tplc="04160001" w:tentative="1">
      <w:start w:val="1"/>
      <w:numFmt w:val="bullet"/>
      <w:lvlText w:val=""/>
      <w:lvlJc w:val="left"/>
      <w:pPr>
        <w:ind w:left="5829" w:hanging="360"/>
      </w:pPr>
      <w:rPr>
        <w:rFonts w:ascii="Symbol" w:hAnsi="Symbol" w:hint="default"/>
      </w:rPr>
    </w:lvl>
    <w:lvl w:ilvl="7" w:tplc="04160003" w:tentative="1">
      <w:start w:val="1"/>
      <w:numFmt w:val="bullet"/>
      <w:lvlText w:val="o"/>
      <w:lvlJc w:val="left"/>
      <w:pPr>
        <w:ind w:left="6549" w:hanging="360"/>
      </w:pPr>
      <w:rPr>
        <w:rFonts w:ascii="Courier New" w:hAnsi="Courier New" w:cs="Courier New" w:hint="default"/>
      </w:rPr>
    </w:lvl>
    <w:lvl w:ilvl="8" w:tplc="04160005" w:tentative="1">
      <w:start w:val="1"/>
      <w:numFmt w:val="bullet"/>
      <w:lvlText w:val=""/>
      <w:lvlJc w:val="left"/>
      <w:pPr>
        <w:ind w:left="7269" w:hanging="360"/>
      </w:pPr>
      <w:rPr>
        <w:rFonts w:ascii="Wingdings" w:hAnsi="Wingdings" w:hint="default"/>
      </w:rPr>
    </w:lvl>
  </w:abstractNum>
  <w:abstractNum w:abstractNumId="12">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3">
    <w:nsid w:val="44FD51D1"/>
    <w:multiLevelType w:val="singleLevel"/>
    <w:tmpl w:val="91329222"/>
    <w:lvl w:ilvl="0">
      <w:start w:val="1"/>
      <w:numFmt w:val="decimal"/>
      <w:lvlText w:val="%1."/>
      <w:lvlJc w:val="left"/>
      <w:pPr>
        <w:tabs>
          <w:tab w:val="num" w:pos="1418"/>
        </w:tabs>
        <w:ind w:left="1418" w:hanging="1418"/>
      </w:pPr>
      <w:rPr>
        <w:spacing w:val="46"/>
      </w:rPr>
    </w:lvl>
  </w:abstractNum>
  <w:abstractNum w:abstractNumId="14">
    <w:nsid w:val="52210A29"/>
    <w:multiLevelType w:val="singleLevel"/>
    <w:tmpl w:val="0416000F"/>
    <w:lvl w:ilvl="0">
      <w:start w:val="1"/>
      <w:numFmt w:val="decimal"/>
      <w:lvlText w:val="%1."/>
      <w:lvlJc w:val="left"/>
      <w:pPr>
        <w:tabs>
          <w:tab w:val="num" w:pos="360"/>
        </w:tabs>
        <w:ind w:left="360" w:hanging="360"/>
      </w:pPr>
    </w:lvl>
  </w:abstractNum>
  <w:abstractNum w:abstractNumId="15">
    <w:nsid w:val="5D640CEB"/>
    <w:multiLevelType w:val="singleLevel"/>
    <w:tmpl w:val="0416000F"/>
    <w:lvl w:ilvl="0">
      <w:start w:val="1"/>
      <w:numFmt w:val="decimal"/>
      <w:lvlText w:val="%1."/>
      <w:lvlJc w:val="left"/>
      <w:pPr>
        <w:tabs>
          <w:tab w:val="num" w:pos="360"/>
        </w:tabs>
        <w:ind w:left="360" w:hanging="360"/>
      </w:pPr>
    </w:lvl>
  </w:abstractNum>
  <w:abstractNum w:abstractNumId="16">
    <w:nsid w:val="65872B1D"/>
    <w:multiLevelType w:val="hybridMultilevel"/>
    <w:tmpl w:val="701C403A"/>
    <w:lvl w:ilvl="0" w:tplc="164008A8">
      <w:start w:val="1"/>
      <w:numFmt w:val="decimal"/>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5A3C93"/>
    <w:multiLevelType w:val="hybridMultilevel"/>
    <w:tmpl w:val="AB8CA89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C0D76C8"/>
    <w:multiLevelType w:val="hybridMultilevel"/>
    <w:tmpl w:val="AFC6F50A"/>
    <w:lvl w:ilvl="0" w:tplc="0E7AD52C">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9">
    <w:nsid w:val="6F4E599C"/>
    <w:multiLevelType w:val="singleLevel"/>
    <w:tmpl w:val="04160019"/>
    <w:lvl w:ilvl="0">
      <w:start w:val="1"/>
      <w:numFmt w:val="lowerLetter"/>
      <w:lvlText w:val="(%1)"/>
      <w:lvlJc w:val="left"/>
      <w:pPr>
        <w:tabs>
          <w:tab w:val="num" w:pos="360"/>
        </w:tabs>
        <w:ind w:left="360" w:hanging="360"/>
      </w:pPr>
    </w:lvl>
  </w:abstractNum>
  <w:num w:numId="1">
    <w:abstractNumId w:val="3"/>
  </w:num>
  <w:num w:numId="2">
    <w:abstractNumId w:val="19"/>
  </w:num>
  <w:num w:numId="3">
    <w:abstractNumId w:val="15"/>
  </w:num>
  <w:num w:numId="4">
    <w:abstractNumId w:val="14"/>
  </w:num>
  <w:num w:numId="5">
    <w:abstractNumId w:val="12"/>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num>
  <w:num w:numId="9">
    <w:abstractNumId w:val="17"/>
  </w:num>
  <w:num w:numId="10">
    <w:abstractNumId w:val="6"/>
  </w:num>
  <w:num w:numId="11">
    <w:abstractNumId w:val="2"/>
  </w:num>
  <w:num w:numId="12">
    <w:abstractNumId w:val="9"/>
  </w:num>
  <w:num w:numId="13">
    <w:abstractNumId w:val="1"/>
  </w:num>
  <w:num w:numId="14">
    <w:abstractNumId w:val="10"/>
  </w:num>
  <w:num w:numId="15">
    <w:abstractNumId w:val="16"/>
  </w:num>
  <w:num w:numId="16">
    <w:abstractNumId w:val="5"/>
  </w:num>
  <w:num w:numId="17">
    <w:abstractNumId w:val="7"/>
  </w:num>
  <w:num w:numId="18">
    <w:abstractNumId w:val="11"/>
  </w:num>
  <w:num w:numId="19">
    <w:abstractNumId w:val="18"/>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9">
      <o:colormenu v:ext="edit" strokecolor="none"/>
    </o:shapedefaults>
    <o:shapelayout v:ext="edit">
      <o:idmap v:ext="edit" data="9"/>
    </o:shapelayout>
  </w:hdrShapeDefaults>
  <w:footnotePr>
    <w:footnote w:id="-1"/>
    <w:footnote w:id="0"/>
  </w:footnotePr>
  <w:endnotePr>
    <w:endnote w:id="-1"/>
    <w:endnote w:id="0"/>
  </w:endnotePr>
  <w:compat/>
  <w:rsids>
    <w:rsidRoot w:val="0033191A"/>
    <w:rsid w:val="00000DFD"/>
    <w:rsid w:val="00001BE9"/>
    <w:rsid w:val="000059C6"/>
    <w:rsid w:val="000076C0"/>
    <w:rsid w:val="000077CC"/>
    <w:rsid w:val="000078E7"/>
    <w:rsid w:val="00007A2D"/>
    <w:rsid w:val="00007C03"/>
    <w:rsid w:val="00010BD1"/>
    <w:rsid w:val="0001196C"/>
    <w:rsid w:val="00012D5F"/>
    <w:rsid w:val="000131B3"/>
    <w:rsid w:val="00015EA9"/>
    <w:rsid w:val="000172A9"/>
    <w:rsid w:val="00021641"/>
    <w:rsid w:val="000218F8"/>
    <w:rsid w:val="00022641"/>
    <w:rsid w:val="00022DA1"/>
    <w:rsid w:val="00024F16"/>
    <w:rsid w:val="00030B79"/>
    <w:rsid w:val="00031930"/>
    <w:rsid w:val="00032492"/>
    <w:rsid w:val="000339C6"/>
    <w:rsid w:val="000342F9"/>
    <w:rsid w:val="000351DA"/>
    <w:rsid w:val="00041727"/>
    <w:rsid w:val="00044456"/>
    <w:rsid w:val="000455AC"/>
    <w:rsid w:val="00045C26"/>
    <w:rsid w:val="00046ACF"/>
    <w:rsid w:val="00046F45"/>
    <w:rsid w:val="0004759A"/>
    <w:rsid w:val="00047B6A"/>
    <w:rsid w:val="000517C4"/>
    <w:rsid w:val="00052AA2"/>
    <w:rsid w:val="00052DDC"/>
    <w:rsid w:val="00054E20"/>
    <w:rsid w:val="00061960"/>
    <w:rsid w:val="0006388A"/>
    <w:rsid w:val="0006465B"/>
    <w:rsid w:val="000670BF"/>
    <w:rsid w:val="00067EA8"/>
    <w:rsid w:val="00072801"/>
    <w:rsid w:val="000736B0"/>
    <w:rsid w:val="000759A5"/>
    <w:rsid w:val="00076D47"/>
    <w:rsid w:val="00077D0A"/>
    <w:rsid w:val="0008231D"/>
    <w:rsid w:val="0008260A"/>
    <w:rsid w:val="000834D7"/>
    <w:rsid w:val="000841C1"/>
    <w:rsid w:val="000844E8"/>
    <w:rsid w:val="00090A63"/>
    <w:rsid w:val="000944AD"/>
    <w:rsid w:val="00094943"/>
    <w:rsid w:val="000963ED"/>
    <w:rsid w:val="00096BE5"/>
    <w:rsid w:val="00097D2C"/>
    <w:rsid w:val="00097E06"/>
    <w:rsid w:val="000A2AA9"/>
    <w:rsid w:val="000A3D1B"/>
    <w:rsid w:val="000A4605"/>
    <w:rsid w:val="000A585E"/>
    <w:rsid w:val="000A63FD"/>
    <w:rsid w:val="000B08C6"/>
    <w:rsid w:val="000B11D7"/>
    <w:rsid w:val="000B1912"/>
    <w:rsid w:val="000B421E"/>
    <w:rsid w:val="000B5676"/>
    <w:rsid w:val="000B56CC"/>
    <w:rsid w:val="000B6730"/>
    <w:rsid w:val="000B6791"/>
    <w:rsid w:val="000C43D4"/>
    <w:rsid w:val="000C4826"/>
    <w:rsid w:val="000C5FA1"/>
    <w:rsid w:val="000D0B26"/>
    <w:rsid w:val="000D2565"/>
    <w:rsid w:val="000D25EC"/>
    <w:rsid w:val="000D268E"/>
    <w:rsid w:val="000E0BC9"/>
    <w:rsid w:val="000E1E8E"/>
    <w:rsid w:val="000E4C24"/>
    <w:rsid w:val="000E5CBF"/>
    <w:rsid w:val="000E6714"/>
    <w:rsid w:val="000E736B"/>
    <w:rsid w:val="000F035C"/>
    <w:rsid w:val="000F1591"/>
    <w:rsid w:val="000F2761"/>
    <w:rsid w:val="000F642E"/>
    <w:rsid w:val="000F69ED"/>
    <w:rsid w:val="0010303C"/>
    <w:rsid w:val="00103980"/>
    <w:rsid w:val="00103BA5"/>
    <w:rsid w:val="0010671C"/>
    <w:rsid w:val="001107FF"/>
    <w:rsid w:val="001110D2"/>
    <w:rsid w:val="00112D19"/>
    <w:rsid w:val="00113CA2"/>
    <w:rsid w:val="00113F84"/>
    <w:rsid w:val="001141D8"/>
    <w:rsid w:val="001151BF"/>
    <w:rsid w:val="00116963"/>
    <w:rsid w:val="0012105F"/>
    <w:rsid w:val="001233C8"/>
    <w:rsid w:val="00125DFC"/>
    <w:rsid w:val="00125E0A"/>
    <w:rsid w:val="0012672D"/>
    <w:rsid w:val="001301EF"/>
    <w:rsid w:val="00131F7C"/>
    <w:rsid w:val="0013470F"/>
    <w:rsid w:val="00135BC4"/>
    <w:rsid w:val="00136D29"/>
    <w:rsid w:val="00137030"/>
    <w:rsid w:val="00140132"/>
    <w:rsid w:val="00140F52"/>
    <w:rsid w:val="001428B0"/>
    <w:rsid w:val="00142C31"/>
    <w:rsid w:val="00145E30"/>
    <w:rsid w:val="001506F8"/>
    <w:rsid w:val="001540D1"/>
    <w:rsid w:val="001574F1"/>
    <w:rsid w:val="00163258"/>
    <w:rsid w:val="00163859"/>
    <w:rsid w:val="00163C06"/>
    <w:rsid w:val="001657A8"/>
    <w:rsid w:val="00170C33"/>
    <w:rsid w:val="0017430A"/>
    <w:rsid w:val="00181CC2"/>
    <w:rsid w:val="00187C07"/>
    <w:rsid w:val="00190C1D"/>
    <w:rsid w:val="00192C37"/>
    <w:rsid w:val="001A56F2"/>
    <w:rsid w:val="001A63C4"/>
    <w:rsid w:val="001A7859"/>
    <w:rsid w:val="001A7F55"/>
    <w:rsid w:val="001B23B2"/>
    <w:rsid w:val="001B55F8"/>
    <w:rsid w:val="001B6846"/>
    <w:rsid w:val="001C14EE"/>
    <w:rsid w:val="001C2298"/>
    <w:rsid w:val="001C4760"/>
    <w:rsid w:val="001D0245"/>
    <w:rsid w:val="001D1501"/>
    <w:rsid w:val="001D1B02"/>
    <w:rsid w:val="001D1C8E"/>
    <w:rsid w:val="001D1EDF"/>
    <w:rsid w:val="001E051C"/>
    <w:rsid w:val="001E0B58"/>
    <w:rsid w:val="001E2AA3"/>
    <w:rsid w:val="001E4DBA"/>
    <w:rsid w:val="001E5F17"/>
    <w:rsid w:val="001E7FEA"/>
    <w:rsid w:val="001F0438"/>
    <w:rsid w:val="001F5761"/>
    <w:rsid w:val="00204237"/>
    <w:rsid w:val="002044D1"/>
    <w:rsid w:val="0020655E"/>
    <w:rsid w:val="002069D3"/>
    <w:rsid w:val="00206D0B"/>
    <w:rsid w:val="00207D4F"/>
    <w:rsid w:val="002105CF"/>
    <w:rsid w:val="00214516"/>
    <w:rsid w:val="0021639D"/>
    <w:rsid w:val="002164D0"/>
    <w:rsid w:val="00216EB0"/>
    <w:rsid w:val="0022140B"/>
    <w:rsid w:val="00222CDE"/>
    <w:rsid w:val="00223BD2"/>
    <w:rsid w:val="002248EB"/>
    <w:rsid w:val="002251EC"/>
    <w:rsid w:val="00230E89"/>
    <w:rsid w:val="00233767"/>
    <w:rsid w:val="00235B07"/>
    <w:rsid w:val="00240021"/>
    <w:rsid w:val="00240B41"/>
    <w:rsid w:val="00240D65"/>
    <w:rsid w:val="002417CA"/>
    <w:rsid w:val="00241D0E"/>
    <w:rsid w:val="00244EF8"/>
    <w:rsid w:val="002461FE"/>
    <w:rsid w:val="00247F09"/>
    <w:rsid w:val="00253C5D"/>
    <w:rsid w:val="00253E2A"/>
    <w:rsid w:val="0025767C"/>
    <w:rsid w:val="00262104"/>
    <w:rsid w:val="00263B38"/>
    <w:rsid w:val="00264953"/>
    <w:rsid w:val="002658E8"/>
    <w:rsid w:val="00266A49"/>
    <w:rsid w:val="0027102A"/>
    <w:rsid w:val="002746FA"/>
    <w:rsid w:val="0027552B"/>
    <w:rsid w:val="00276932"/>
    <w:rsid w:val="00282B26"/>
    <w:rsid w:val="0028339F"/>
    <w:rsid w:val="002875BA"/>
    <w:rsid w:val="002876DE"/>
    <w:rsid w:val="00290AB5"/>
    <w:rsid w:val="00291890"/>
    <w:rsid w:val="00292C03"/>
    <w:rsid w:val="00292D94"/>
    <w:rsid w:val="002A0381"/>
    <w:rsid w:val="002A0EAE"/>
    <w:rsid w:val="002A212B"/>
    <w:rsid w:val="002A2A27"/>
    <w:rsid w:val="002A2C45"/>
    <w:rsid w:val="002A57C7"/>
    <w:rsid w:val="002B1D95"/>
    <w:rsid w:val="002B20BB"/>
    <w:rsid w:val="002B69E7"/>
    <w:rsid w:val="002B6F5C"/>
    <w:rsid w:val="002C332E"/>
    <w:rsid w:val="002C4F7D"/>
    <w:rsid w:val="002C5143"/>
    <w:rsid w:val="002C5DDF"/>
    <w:rsid w:val="002D1657"/>
    <w:rsid w:val="002D1D28"/>
    <w:rsid w:val="002D34DC"/>
    <w:rsid w:val="002E11D4"/>
    <w:rsid w:val="002E1D83"/>
    <w:rsid w:val="002E1D99"/>
    <w:rsid w:val="002E2BBF"/>
    <w:rsid w:val="002E5EA4"/>
    <w:rsid w:val="002E64F1"/>
    <w:rsid w:val="002F0D33"/>
    <w:rsid w:val="002F1366"/>
    <w:rsid w:val="002F14E1"/>
    <w:rsid w:val="002F55EB"/>
    <w:rsid w:val="002F7D39"/>
    <w:rsid w:val="00300936"/>
    <w:rsid w:val="00301235"/>
    <w:rsid w:val="00302D71"/>
    <w:rsid w:val="00303403"/>
    <w:rsid w:val="003039C1"/>
    <w:rsid w:val="003041B5"/>
    <w:rsid w:val="00304759"/>
    <w:rsid w:val="00310633"/>
    <w:rsid w:val="0031243E"/>
    <w:rsid w:val="003143BC"/>
    <w:rsid w:val="003171F9"/>
    <w:rsid w:val="00322E42"/>
    <w:rsid w:val="00325C72"/>
    <w:rsid w:val="0033191A"/>
    <w:rsid w:val="003358C4"/>
    <w:rsid w:val="00336FC3"/>
    <w:rsid w:val="00340F5F"/>
    <w:rsid w:val="003438F1"/>
    <w:rsid w:val="003442A1"/>
    <w:rsid w:val="00347CCF"/>
    <w:rsid w:val="0035291B"/>
    <w:rsid w:val="003568BC"/>
    <w:rsid w:val="0035740B"/>
    <w:rsid w:val="003603AC"/>
    <w:rsid w:val="0036060F"/>
    <w:rsid w:val="00361B26"/>
    <w:rsid w:val="00362C96"/>
    <w:rsid w:val="00363031"/>
    <w:rsid w:val="003634F4"/>
    <w:rsid w:val="00363D96"/>
    <w:rsid w:val="00371150"/>
    <w:rsid w:val="00374D43"/>
    <w:rsid w:val="00375663"/>
    <w:rsid w:val="00382D7C"/>
    <w:rsid w:val="003840B4"/>
    <w:rsid w:val="00384EC6"/>
    <w:rsid w:val="003855CE"/>
    <w:rsid w:val="00386059"/>
    <w:rsid w:val="00390EBE"/>
    <w:rsid w:val="00392A24"/>
    <w:rsid w:val="003A16D0"/>
    <w:rsid w:val="003A2790"/>
    <w:rsid w:val="003A52D1"/>
    <w:rsid w:val="003A7A43"/>
    <w:rsid w:val="003B0543"/>
    <w:rsid w:val="003B32B9"/>
    <w:rsid w:val="003B39B9"/>
    <w:rsid w:val="003B3ADA"/>
    <w:rsid w:val="003B439B"/>
    <w:rsid w:val="003B4BFA"/>
    <w:rsid w:val="003B741D"/>
    <w:rsid w:val="003C163D"/>
    <w:rsid w:val="003C255E"/>
    <w:rsid w:val="003C486E"/>
    <w:rsid w:val="003C56EA"/>
    <w:rsid w:val="003C57BC"/>
    <w:rsid w:val="003D05F3"/>
    <w:rsid w:val="003D16AB"/>
    <w:rsid w:val="003D2E00"/>
    <w:rsid w:val="003D424F"/>
    <w:rsid w:val="003D519F"/>
    <w:rsid w:val="003D5F5C"/>
    <w:rsid w:val="003E1037"/>
    <w:rsid w:val="003E24C9"/>
    <w:rsid w:val="003E5547"/>
    <w:rsid w:val="003E58EE"/>
    <w:rsid w:val="003F0DF9"/>
    <w:rsid w:val="003F2626"/>
    <w:rsid w:val="003F3539"/>
    <w:rsid w:val="003F36E2"/>
    <w:rsid w:val="003F3C50"/>
    <w:rsid w:val="003F5A64"/>
    <w:rsid w:val="0040203A"/>
    <w:rsid w:val="00402160"/>
    <w:rsid w:val="00402ACA"/>
    <w:rsid w:val="004037FC"/>
    <w:rsid w:val="00404B8A"/>
    <w:rsid w:val="00404C7B"/>
    <w:rsid w:val="00405D5B"/>
    <w:rsid w:val="0040614D"/>
    <w:rsid w:val="00406573"/>
    <w:rsid w:val="004115E9"/>
    <w:rsid w:val="004118BE"/>
    <w:rsid w:val="0041243E"/>
    <w:rsid w:val="004129AB"/>
    <w:rsid w:val="00412BA7"/>
    <w:rsid w:val="00412F7B"/>
    <w:rsid w:val="00413EF7"/>
    <w:rsid w:val="00414367"/>
    <w:rsid w:val="00415609"/>
    <w:rsid w:val="00421EDF"/>
    <w:rsid w:val="004220D8"/>
    <w:rsid w:val="0042255E"/>
    <w:rsid w:val="00423222"/>
    <w:rsid w:val="0042791C"/>
    <w:rsid w:val="00427C16"/>
    <w:rsid w:val="004310B4"/>
    <w:rsid w:val="00432269"/>
    <w:rsid w:val="00436FE0"/>
    <w:rsid w:val="00437569"/>
    <w:rsid w:val="00441C26"/>
    <w:rsid w:val="00444F36"/>
    <w:rsid w:val="004501F5"/>
    <w:rsid w:val="00453ECB"/>
    <w:rsid w:val="00455831"/>
    <w:rsid w:val="00456607"/>
    <w:rsid w:val="004613AF"/>
    <w:rsid w:val="004635D7"/>
    <w:rsid w:val="00464BB1"/>
    <w:rsid w:val="004667D2"/>
    <w:rsid w:val="004670AD"/>
    <w:rsid w:val="00470C62"/>
    <w:rsid w:val="00470D7A"/>
    <w:rsid w:val="00472253"/>
    <w:rsid w:val="004735E0"/>
    <w:rsid w:val="00473B95"/>
    <w:rsid w:val="00474C5D"/>
    <w:rsid w:val="00476700"/>
    <w:rsid w:val="00480E15"/>
    <w:rsid w:val="004838B7"/>
    <w:rsid w:val="00484214"/>
    <w:rsid w:val="0048441E"/>
    <w:rsid w:val="00491A79"/>
    <w:rsid w:val="00494EB8"/>
    <w:rsid w:val="00495501"/>
    <w:rsid w:val="00496295"/>
    <w:rsid w:val="004A0C21"/>
    <w:rsid w:val="004A1065"/>
    <w:rsid w:val="004A1761"/>
    <w:rsid w:val="004A1DA2"/>
    <w:rsid w:val="004A475F"/>
    <w:rsid w:val="004B656B"/>
    <w:rsid w:val="004B7F22"/>
    <w:rsid w:val="004C083F"/>
    <w:rsid w:val="004C3EEB"/>
    <w:rsid w:val="004C5DEB"/>
    <w:rsid w:val="004D17BA"/>
    <w:rsid w:val="004D2125"/>
    <w:rsid w:val="004D2239"/>
    <w:rsid w:val="004D260A"/>
    <w:rsid w:val="004D28D9"/>
    <w:rsid w:val="004D341C"/>
    <w:rsid w:val="004D5CF5"/>
    <w:rsid w:val="004D7271"/>
    <w:rsid w:val="004E05BD"/>
    <w:rsid w:val="004E0C27"/>
    <w:rsid w:val="004E11AD"/>
    <w:rsid w:val="004E2B08"/>
    <w:rsid w:val="004E3090"/>
    <w:rsid w:val="004E5033"/>
    <w:rsid w:val="004E5BAF"/>
    <w:rsid w:val="004E6B8E"/>
    <w:rsid w:val="004F03C7"/>
    <w:rsid w:val="004F0C78"/>
    <w:rsid w:val="004F296C"/>
    <w:rsid w:val="004F4A7E"/>
    <w:rsid w:val="005000A8"/>
    <w:rsid w:val="00500418"/>
    <w:rsid w:val="005005AF"/>
    <w:rsid w:val="005010C8"/>
    <w:rsid w:val="00503DCD"/>
    <w:rsid w:val="005060B3"/>
    <w:rsid w:val="00507DBC"/>
    <w:rsid w:val="0051094D"/>
    <w:rsid w:val="00510A55"/>
    <w:rsid w:val="00510BB4"/>
    <w:rsid w:val="00517285"/>
    <w:rsid w:val="0052188C"/>
    <w:rsid w:val="00521CC6"/>
    <w:rsid w:val="00524068"/>
    <w:rsid w:val="005253D1"/>
    <w:rsid w:val="00526A1E"/>
    <w:rsid w:val="0052776C"/>
    <w:rsid w:val="00531CA6"/>
    <w:rsid w:val="005327AA"/>
    <w:rsid w:val="00533A4D"/>
    <w:rsid w:val="005344D4"/>
    <w:rsid w:val="00536E23"/>
    <w:rsid w:val="00537622"/>
    <w:rsid w:val="0054280A"/>
    <w:rsid w:val="005428DE"/>
    <w:rsid w:val="00542EE2"/>
    <w:rsid w:val="005446F4"/>
    <w:rsid w:val="0054602C"/>
    <w:rsid w:val="0054617B"/>
    <w:rsid w:val="00550D66"/>
    <w:rsid w:val="00550F91"/>
    <w:rsid w:val="0055156E"/>
    <w:rsid w:val="00551671"/>
    <w:rsid w:val="005532F9"/>
    <w:rsid w:val="00553C93"/>
    <w:rsid w:val="00554E68"/>
    <w:rsid w:val="00555ECE"/>
    <w:rsid w:val="005566D3"/>
    <w:rsid w:val="00556DFE"/>
    <w:rsid w:val="005578FF"/>
    <w:rsid w:val="00557D12"/>
    <w:rsid w:val="00562D06"/>
    <w:rsid w:val="00564AD2"/>
    <w:rsid w:val="00564C7E"/>
    <w:rsid w:val="0056540F"/>
    <w:rsid w:val="00567330"/>
    <w:rsid w:val="00570114"/>
    <w:rsid w:val="0057195D"/>
    <w:rsid w:val="00572C98"/>
    <w:rsid w:val="00574322"/>
    <w:rsid w:val="00577912"/>
    <w:rsid w:val="00582B5C"/>
    <w:rsid w:val="00583719"/>
    <w:rsid w:val="00584BCA"/>
    <w:rsid w:val="005854F7"/>
    <w:rsid w:val="00587D45"/>
    <w:rsid w:val="00590B2F"/>
    <w:rsid w:val="00590DEC"/>
    <w:rsid w:val="00591F31"/>
    <w:rsid w:val="005928C7"/>
    <w:rsid w:val="00592B9F"/>
    <w:rsid w:val="00596970"/>
    <w:rsid w:val="00596E5B"/>
    <w:rsid w:val="005A68F4"/>
    <w:rsid w:val="005A7F3F"/>
    <w:rsid w:val="005B1D11"/>
    <w:rsid w:val="005B23F0"/>
    <w:rsid w:val="005B2558"/>
    <w:rsid w:val="005B477B"/>
    <w:rsid w:val="005B4E93"/>
    <w:rsid w:val="005B5A0A"/>
    <w:rsid w:val="005B646A"/>
    <w:rsid w:val="005B668E"/>
    <w:rsid w:val="005C16DF"/>
    <w:rsid w:val="005C40F8"/>
    <w:rsid w:val="005C6030"/>
    <w:rsid w:val="005D0DC8"/>
    <w:rsid w:val="005D5BB4"/>
    <w:rsid w:val="005E05D9"/>
    <w:rsid w:val="005E2E35"/>
    <w:rsid w:val="005E3050"/>
    <w:rsid w:val="005E5549"/>
    <w:rsid w:val="005E76D5"/>
    <w:rsid w:val="005E7767"/>
    <w:rsid w:val="005F0F18"/>
    <w:rsid w:val="005F6086"/>
    <w:rsid w:val="005F6E68"/>
    <w:rsid w:val="005F77BD"/>
    <w:rsid w:val="00606108"/>
    <w:rsid w:val="0061025E"/>
    <w:rsid w:val="006109E1"/>
    <w:rsid w:val="00615821"/>
    <w:rsid w:val="00616D75"/>
    <w:rsid w:val="006231CD"/>
    <w:rsid w:val="006236CC"/>
    <w:rsid w:val="00623C3D"/>
    <w:rsid w:val="00627241"/>
    <w:rsid w:val="00627DED"/>
    <w:rsid w:val="006307E6"/>
    <w:rsid w:val="006310C2"/>
    <w:rsid w:val="00632E0F"/>
    <w:rsid w:val="00633ACE"/>
    <w:rsid w:val="00635510"/>
    <w:rsid w:val="00635BCC"/>
    <w:rsid w:val="006374D4"/>
    <w:rsid w:val="00640188"/>
    <w:rsid w:val="00641045"/>
    <w:rsid w:val="00641AD9"/>
    <w:rsid w:val="00641FBA"/>
    <w:rsid w:val="006432C5"/>
    <w:rsid w:val="006436F9"/>
    <w:rsid w:val="00651C41"/>
    <w:rsid w:val="00657CA8"/>
    <w:rsid w:val="00663FA7"/>
    <w:rsid w:val="00667064"/>
    <w:rsid w:val="00670547"/>
    <w:rsid w:val="00672004"/>
    <w:rsid w:val="00672AFC"/>
    <w:rsid w:val="00674AFD"/>
    <w:rsid w:val="006805DC"/>
    <w:rsid w:val="00681DF7"/>
    <w:rsid w:val="0068207D"/>
    <w:rsid w:val="006933EE"/>
    <w:rsid w:val="006958B8"/>
    <w:rsid w:val="00696391"/>
    <w:rsid w:val="00696CE8"/>
    <w:rsid w:val="00697CF2"/>
    <w:rsid w:val="006A4B3C"/>
    <w:rsid w:val="006A5348"/>
    <w:rsid w:val="006A7375"/>
    <w:rsid w:val="006B0AA6"/>
    <w:rsid w:val="006B3162"/>
    <w:rsid w:val="006B42D9"/>
    <w:rsid w:val="006B5B91"/>
    <w:rsid w:val="006C0A0B"/>
    <w:rsid w:val="006C0F0B"/>
    <w:rsid w:val="006C1898"/>
    <w:rsid w:val="006C3991"/>
    <w:rsid w:val="006C5034"/>
    <w:rsid w:val="006C6E28"/>
    <w:rsid w:val="006C74D0"/>
    <w:rsid w:val="006D029D"/>
    <w:rsid w:val="006D0545"/>
    <w:rsid w:val="006D4B90"/>
    <w:rsid w:val="006D5822"/>
    <w:rsid w:val="006D6DC1"/>
    <w:rsid w:val="006E0D56"/>
    <w:rsid w:val="006E1327"/>
    <w:rsid w:val="006E175F"/>
    <w:rsid w:val="006E506D"/>
    <w:rsid w:val="006E61A7"/>
    <w:rsid w:val="006E67D8"/>
    <w:rsid w:val="006E70FD"/>
    <w:rsid w:val="006E71C1"/>
    <w:rsid w:val="006F0BAD"/>
    <w:rsid w:val="006F2809"/>
    <w:rsid w:val="006F2D5C"/>
    <w:rsid w:val="006F53F7"/>
    <w:rsid w:val="006F6805"/>
    <w:rsid w:val="006F7620"/>
    <w:rsid w:val="007020C6"/>
    <w:rsid w:val="00702D5A"/>
    <w:rsid w:val="00702F76"/>
    <w:rsid w:val="00703392"/>
    <w:rsid w:val="00703444"/>
    <w:rsid w:val="00703881"/>
    <w:rsid w:val="00704D8C"/>
    <w:rsid w:val="00710A6E"/>
    <w:rsid w:val="007114A0"/>
    <w:rsid w:val="00711FA1"/>
    <w:rsid w:val="0071345A"/>
    <w:rsid w:val="00713531"/>
    <w:rsid w:val="0071385A"/>
    <w:rsid w:val="007163A1"/>
    <w:rsid w:val="0072192D"/>
    <w:rsid w:val="007221FF"/>
    <w:rsid w:val="007242AA"/>
    <w:rsid w:val="007262D5"/>
    <w:rsid w:val="00726D8D"/>
    <w:rsid w:val="00726FDC"/>
    <w:rsid w:val="00727907"/>
    <w:rsid w:val="0073152E"/>
    <w:rsid w:val="00734D0D"/>
    <w:rsid w:val="0073576B"/>
    <w:rsid w:val="00736E20"/>
    <w:rsid w:val="00741A9D"/>
    <w:rsid w:val="0074221A"/>
    <w:rsid w:val="0074297C"/>
    <w:rsid w:val="00743042"/>
    <w:rsid w:val="0074396B"/>
    <w:rsid w:val="00743982"/>
    <w:rsid w:val="00746645"/>
    <w:rsid w:val="007501BD"/>
    <w:rsid w:val="0075051F"/>
    <w:rsid w:val="007521F8"/>
    <w:rsid w:val="007548D5"/>
    <w:rsid w:val="00754C18"/>
    <w:rsid w:val="00754F42"/>
    <w:rsid w:val="00756F15"/>
    <w:rsid w:val="00765703"/>
    <w:rsid w:val="007664BA"/>
    <w:rsid w:val="0076674E"/>
    <w:rsid w:val="00770011"/>
    <w:rsid w:val="007712DE"/>
    <w:rsid w:val="007718BD"/>
    <w:rsid w:val="00771D1D"/>
    <w:rsid w:val="00772441"/>
    <w:rsid w:val="007747E0"/>
    <w:rsid w:val="00774EF9"/>
    <w:rsid w:val="00781011"/>
    <w:rsid w:val="0079017D"/>
    <w:rsid w:val="00793973"/>
    <w:rsid w:val="00796F1B"/>
    <w:rsid w:val="00797BF6"/>
    <w:rsid w:val="007A148A"/>
    <w:rsid w:val="007A203C"/>
    <w:rsid w:val="007A379A"/>
    <w:rsid w:val="007A5F2D"/>
    <w:rsid w:val="007A789B"/>
    <w:rsid w:val="007B0551"/>
    <w:rsid w:val="007B1AB5"/>
    <w:rsid w:val="007B3CDA"/>
    <w:rsid w:val="007B3F73"/>
    <w:rsid w:val="007B4347"/>
    <w:rsid w:val="007B4A1B"/>
    <w:rsid w:val="007B507D"/>
    <w:rsid w:val="007C0A8F"/>
    <w:rsid w:val="007C0AFB"/>
    <w:rsid w:val="007C3951"/>
    <w:rsid w:val="007C51A3"/>
    <w:rsid w:val="007C5977"/>
    <w:rsid w:val="007D639E"/>
    <w:rsid w:val="007D7011"/>
    <w:rsid w:val="007D7481"/>
    <w:rsid w:val="007E134A"/>
    <w:rsid w:val="007E2329"/>
    <w:rsid w:val="007E4B17"/>
    <w:rsid w:val="007F046B"/>
    <w:rsid w:val="007F2C6F"/>
    <w:rsid w:val="007F7161"/>
    <w:rsid w:val="008000A2"/>
    <w:rsid w:val="00800341"/>
    <w:rsid w:val="00802394"/>
    <w:rsid w:val="008025C1"/>
    <w:rsid w:val="0080283B"/>
    <w:rsid w:val="00802864"/>
    <w:rsid w:val="00802D68"/>
    <w:rsid w:val="0080351A"/>
    <w:rsid w:val="00806EC3"/>
    <w:rsid w:val="00811E3A"/>
    <w:rsid w:val="008128D6"/>
    <w:rsid w:val="00813DAC"/>
    <w:rsid w:val="00820966"/>
    <w:rsid w:val="00820AC7"/>
    <w:rsid w:val="00822506"/>
    <w:rsid w:val="00822EDF"/>
    <w:rsid w:val="00824179"/>
    <w:rsid w:val="0082503B"/>
    <w:rsid w:val="00826251"/>
    <w:rsid w:val="00830177"/>
    <w:rsid w:val="00834204"/>
    <w:rsid w:val="00837F5F"/>
    <w:rsid w:val="00840198"/>
    <w:rsid w:val="008401F8"/>
    <w:rsid w:val="00843B05"/>
    <w:rsid w:val="00845367"/>
    <w:rsid w:val="00845C88"/>
    <w:rsid w:val="0084677A"/>
    <w:rsid w:val="00846888"/>
    <w:rsid w:val="008477D1"/>
    <w:rsid w:val="00847806"/>
    <w:rsid w:val="0085287E"/>
    <w:rsid w:val="008533E8"/>
    <w:rsid w:val="00854C65"/>
    <w:rsid w:val="00861344"/>
    <w:rsid w:val="00862196"/>
    <w:rsid w:val="008659A1"/>
    <w:rsid w:val="00866F2D"/>
    <w:rsid w:val="00867805"/>
    <w:rsid w:val="00870639"/>
    <w:rsid w:val="008739E6"/>
    <w:rsid w:val="00873D6E"/>
    <w:rsid w:val="00874047"/>
    <w:rsid w:val="00874C0F"/>
    <w:rsid w:val="00875356"/>
    <w:rsid w:val="00876820"/>
    <w:rsid w:val="0087788E"/>
    <w:rsid w:val="008815BF"/>
    <w:rsid w:val="0088173F"/>
    <w:rsid w:val="0088546B"/>
    <w:rsid w:val="008858D8"/>
    <w:rsid w:val="00885B0E"/>
    <w:rsid w:val="00886885"/>
    <w:rsid w:val="0089168E"/>
    <w:rsid w:val="0089205A"/>
    <w:rsid w:val="00892CAE"/>
    <w:rsid w:val="00894E5E"/>
    <w:rsid w:val="00897B0E"/>
    <w:rsid w:val="008A29F4"/>
    <w:rsid w:val="008A4470"/>
    <w:rsid w:val="008A46A4"/>
    <w:rsid w:val="008A509D"/>
    <w:rsid w:val="008A5580"/>
    <w:rsid w:val="008A58E5"/>
    <w:rsid w:val="008A5A0E"/>
    <w:rsid w:val="008A773B"/>
    <w:rsid w:val="008B0ADD"/>
    <w:rsid w:val="008B0BFB"/>
    <w:rsid w:val="008B1F95"/>
    <w:rsid w:val="008B39CD"/>
    <w:rsid w:val="008B527C"/>
    <w:rsid w:val="008B543A"/>
    <w:rsid w:val="008B5957"/>
    <w:rsid w:val="008B62FA"/>
    <w:rsid w:val="008C4363"/>
    <w:rsid w:val="008C4F13"/>
    <w:rsid w:val="008C575E"/>
    <w:rsid w:val="008C6C2F"/>
    <w:rsid w:val="008C7DC3"/>
    <w:rsid w:val="008D17C4"/>
    <w:rsid w:val="008D1CA3"/>
    <w:rsid w:val="008D240B"/>
    <w:rsid w:val="008D2B50"/>
    <w:rsid w:val="008D3E3B"/>
    <w:rsid w:val="008D504A"/>
    <w:rsid w:val="008D557E"/>
    <w:rsid w:val="008D583D"/>
    <w:rsid w:val="008D5A3B"/>
    <w:rsid w:val="008E0066"/>
    <w:rsid w:val="008E0749"/>
    <w:rsid w:val="008F3129"/>
    <w:rsid w:val="008F600B"/>
    <w:rsid w:val="00902E6A"/>
    <w:rsid w:val="00903EB3"/>
    <w:rsid w:val="0090419E"/>
    <w:rsid w:val="009075CA"/>
    <w:rsid w:val="00907699"/>
    <w:rsid w:val="00910C11"/>
    <w:rsid w:val="00911390"/>
    <w:rsid w:val="009148A3"/>
    <w:rsid w:val="009159E1"/>
    <w:rsid w:val="00916081"/>
    <w:rsid w:val="009226D6"/>
    <w:rsid w:val="00923DEF"/>
    <w:rsid w:val="009248B0"/>
    <w:rsid w:val="00926315"/>
    <w:rsid w:val="00932118"/>
    <w:rsid w:val="00943706"/>
    <w:rsid w:val="00944218"/>
    <w:rsid w:val="00945133"/>
    <w:rsid w:val="00945B01"/>
    <w:rsid w:val="0094689F"/>
    <w:rsid w:val="00947398"/>
    <w:rsid w:val="0095012D"/>
    <w:rsid w:val="00953E6C"/>
    <w:rsid w:val="00960FA0"/>
    <w:rsid w:val="00962D3E"/>
    <w:rsid w:val="009645E2"/>
    <w:rsid w:val="00967C88"/>
    <w:rsid w:val="00967EC1"/>
    <w:rsid w:val="0097001D"/>
    <w:rsid w:val="0097225D"/>
    <w:rsid w:val="00972517"/>
    <w:rsid w:val="00972B05"/>
    <w:rsid w:val="009733CF"/>
    <w:rsid w:val="00976D28"/>
    <w:rsid w:val="00977628"/>
    <w:rsid w:val="00977FEE"/>
    <w:rsid w:val="00982AAD"/>
    <w:rsid w:val="009844AD"/>
    <w:rsid w:val="00984565"/>
    <w:rsid w:val="00986107"/>
    <w:rsid w:val="009905C3"/>
    <w:rsid w:val="009914E9"/>
    <w:rsid w:val="00992AFF"/>
    <w:rsid w:val="00994C38"/>
    <w:rsid w:val="009A0EFD"/>
    <w:rsid w:val="009A2893"/>
    <w:rsid w:val="009A4846"/>
    <w:rsid w:val="009A5770"/>
    <w:rsid w:val="009A6882"/>
    <w:rsid w:val="009A7790"/>
    <w:rsid w:val="009A7D8A"/>
    <w:rsid w:val="009B0C65"/>
    <w:rsid w:val="009B4DFD"/>
    <w:rsid w:val="009B7108"/>
    <w:rsid w:val="009B7C53"/>
    <w:rsid w:val="009C107C"/>
    <w:rsid w:val="009C19F3"/>
    <w:rsid w:val="009C2260"/>
    <w:rsid w:val="009C3249"/>
    <w:rsid w:val="009C523D"/>
    <w:rsid w:val="009D08F4"/>
    <w:rsid w:val="009D0AE8"/>
    <w:rsid w:val="009D3038"/>
    <w:rsid w:val="009E6410"/>
    <w:rsid w:val="009F1180"/>
    <w:rsid w:val="009F1C44"/>
    <w:rsid w:val="009F23F5"/>
    <w:rsid w:val="009F3596"/>
    <w:rsid w:val="009F42F6"/>
    <w:rsid w:val="009F68F4"/>
    <w:rsid w:val="00A013CB"/>
    <w:rsid w:val="00A01F93"/>
    <w:rsid w:val="00A021EA"/>
    <w:rsid w:val="00A02C2E"/>
    <w:rsid w:val="00A03D6F"/>
    <w:rsid w:val="00A053C0"/>
    <w:rsid w:val="00A07949"/>
    <w:rsid w:val="00A11FFF"/>
    <w:rsid w:val="00A12000"/>
    <w:rsid w:val="00A1429F"/>
    <w:rsid w:val="00A14544"/>
    <w:rsid w:val="00A15321"/>
    <w:rsid w:val="00A15CF5"/>
    <w:rsid w:val="00A15E7F"/>
    <w:rsid w:val="00A2356E"/>
    <w:rsid w:val="00A23E1C"/>
    <w:rsid w:val="00A26E0A"/>
    <w:rsid w:val="00A309A4"/>
    <w:rsid w:val="00A3713A"/>
    <w:rsid w:val="00A40A7C"/>
    <w:rsid w:val="00A40B22"/>
    <w:rsid w:val="00A432AB"/>
    <w:rsid w:val="00A4514A"/>
    <w:rsid w:val="00A45919"/>
    <w:rsid w:val="00A465B2"/>
    <w:rsid w:val="00A4780D"/>
    <w:rsid w:val="00A4791F"/>
    <w:rsid w:val="00A47B63"/>
    <w:rsid w:val="00A47CF2"/>
    <w:rsid w:val="00A52D3A"/>
    <w:rsid w:val="00A54520"/>
    <w:rsid w:val="00A54A47"/>
    <w:rsid w:val="00A5559D"/>
    <w:rsid w:val="00A56E0D"/>
    <w:rsid w:val="00A56F6B"/>
    <w:rsid w:val="00A571E2"/>
    <w:rsid w:val="00A62501"/>
    <w:rsid w:val="00A63365"/>
    <w:rsid w:val="00A63852"/>
    <w:rsid w:val="00A63D12"/>
    <w:rsid w:val="00A671F0"/>
    <w:rsid w:val="00A67262"/>
    <w:rsid w:val="00A70736"/>
    <w:rsid w:val="00A72422"/>
    <w:rsid w:val="00A75921"/>
    <w:rsid w:val="00A806BA"/>
    <w:rsid w:val="00A8156C"/>
    <w:rsid w:val="00A86DFE"/>
    <w:rsid w:val="00A9008C"/>
    <w:rsid w:val="00A909A9"/>
    <w:rsid w:val="00A9182C"/>
    <w:rsid w:val="00A936ED"/>
    <w:rsid w:val="00A9516E"/>
    <w:rsid w:val="00AA0967"/>
    <w:rsid w:val="00AA0F17"/>
    <w:rsid w:val="00AA26B7"/>
    <w:rsid w:val="00AA3140"/>
    <w:rsid w:val="00AA501E"/>
    <w:rsid w:val="00AA55C3"/>
    <w:rsid w:val="00AA608B"/>
    <w:rsid w:val="00AB3D1D"/>
    <w:rsid w:val="00AB4D01"/>
    <w:rsid w:val="00AC1AAC"/>
    <w:rsid w:val="00AC3865"/>
    <w:rsid w:val="00AC5022"/>
    <w:rsid w:val="00AC53E1"/>
    <w:rsid w:val="00AC56ED"/>
    <w:rsid w:val="00AC6CEB"/>
    <w:rsid w:val="00AD1292"/>
    <w:rsid w:val="00AD1520"/>
    <w:rsid w:val="00AD6686"/>
    <w:rsid w:val="00AD75A1"/>
    <w:rsid w:val="00AE279C"/>
    <w:rsid w:val="00AE2C6C"/>
    <w:rsid w:val="00AE3F02"/>
    <w:rsid w:val="00AF3E51"/>
    <w:rsid w:val="00AF496E"/>
    <w:rsid w:val="00B00704"/>
    <w:rsid w:val="00B0106B"/>
    <w:rsid w:val="00B01ED5"/>
    <w:rsid w:val="00B033B6"/>
    <w:rsid w:val="00B05877"/>
    <w:rsid w:val="00B123A9"/>
    <w:rsid w:val="00B17031"/>
    <w:rsid w:val="00B1733B"/>
    <w:rsid w:val="00B1738C"/>
    <w:rsid w:val="00B17800"/>
    <w:rsid w:val="00B221BE"/>
    <w:rsid w:val="00B238C7"/>
    <w:rsid w:val="00B26371"/>
    <w:rsid w:val="00B3085C"/>
    <w:rsid w:val="00B323F0"/>
    <w:rsid w:val="00B34816"/>
    <w:rsid w:val="00B34842"/>
    <w:rsid w:val="00B35821"/>
    <w:rsid w:val="00B36245"/>
    <w:rsid w:val="00B40E64"/>
    <w:rsid w:val="00B418EF"/>
    <w:rsid w:val="00B42C48"/>
    <w:rsid w:val="00B43A31"/>
    <w:rsid w:val="00B4437E"/>
    <w:rsid w:val="00B453C6"/>
    <w:rsid w:val="00B454C5"/>
    <w:rsid w:val="00B4624F"/>
    <w:rsid w:val="00B50626"/>
    <w:rsid w:val="00B50C2D"/>
    <w:rsid w:val="00B50F02"/>
    <w:rsid w:val="00B5156E"/>
    <w:rsid w:val="00B51865"/>
    <w:rsid w:val="00B51AAD"/>
    <w:rsid w:val="00B51D53"/>
    <w:rsid w:val="00B5260D"/>
    <w:rsid w:val="00B52DA4"/>
    <w:rsid w:val="00B52F0A"/>
    <w:rsid w:val="00B537DB"/>
    <w:rsid w:val="00B54A0B"/>
    <w:rsid w:val="00B54CE0"/>
    <w:rsid w:val="00B57018"/>
    <w:rsid w:val="00B64FE7"/>
    <w:rsid w:val="00B70EE3"/>
    <w:rsid w:val="00B723B3"/>
    <w:rsid w:val="00B80EDD"/>
    <w:rsid w:val="00B85EB2"/>
    <w:rsid w:val="00B87BC0"/>
    <w:rsid w:val="00B90221"/>
    <w:rsid w:val="00B915F6"/>
    <w:rsid w:val="00B91FC3"/>
    <w:rsid w:val="00B93AE0"/>
    <w:rsid w:val="00B93B43"/>
    <w:rsid w:val="00B9487D"/>
    <w:rsid w:val="00B95ED8"/>
    <w:rsid w:val="00B96636"/>
    <w:rsid w:val="00BA05DF"/>
    <w:rsid w:val="00BA07ED"/>
    <w:rsid w:val="00BA13AD"/>
    <w:rsid w:val="00BA473E"/>
    <w:rsid w:val="00BA5B18"/>
    <w:rsid w:val="00BA70D2"/>
    <w:rsid w:val="00BB0FC7"/>
    <w:rsid w:val="00BB7B5D"/>
    <w:rsid w:val="00BC5DB7"/>
    <w:rsid w:val="00BC660D"/>
    <w:rsid w:val="00BD09E6"/>
    <w:rsid w:val="00BD0BBE"/>
    <w:rsid w:val="00BD394C"/>
    <w:rsid w:val="00BD3D8B"/>
    <w:rsid w:val="00BE25AD"/>
    <w:rsid w:val="00BE25BA"/>
    <w:rsid w:val="00BE3129"/>
    <w:rsid w:val="00BE3B2F"/>
    <w:rsid w:val="00BE7247"/>
    <w:rsid w:val="00BF38F3"/>
    <w:rsid w:val="00BF4054"/>
    <w:rsid w:val="00BF48A8"/>
    <w:rsid w:val="00BF6016"/>
    <w:rsid w:val="00C0073A"/>
    <w:rsid w:val="00C009A2"/>
    <w:rsid w:val="00C027DD"/>
    <w:rsid w:val="00C02FE4"/>
    <w:rsid w:val="00C051E5"/>
    <w:rsid w:val="00C10EB4"/>
    <w:rsid w:val="00C11FB0"/>
    <w:rsid w:val="00C1360B"/>
    <w:rsid w:val="00C13890"/>
    <w:rsid w:val="00C15A07"/>
    <w:rsid w:val="00C22EBF"/>
    <w:rsid w:val="00C22FFB"/>
    <w:rsid w:val="00C25E27"/>
    <w:rsid w:val="00C26514"/>
    <w:rsid w:val="00C27301"/>
    <w:rsid w:val="00C31695"/>
    <w:rsid w:val="00C33215"/>
    <w:rsid w:val="00C33454"/>
    <w:rsid w:val="00C33929"/>
    <w:rsid w:val="00C340D1"/>
    <w:rsid w:val="00C347B1"/>
    <w:rsid w:val="00C34A44"/>
    <w:rsid w:val="00C352C6"/>
    <w:rsid w:val="00C40E61"/>
    <w:rsid w:val="00C41123"/>
    <w:rsid w:val="00C41864"/>
    <w:rsid w:val="00C41F96"/>
    <w:rsid w:val="00C439C3"/>
    <w:rsid w:val="00C477DC"/>
    <w:rsid w:val="00C504F4"/>
    <w:rsid w:val="00C54D19"/>
    <w:rsid w:val="00C56062"/>
    <w:rsid w:val="00C57709"/>
    <w:rsid w:val="00C57D1F"/>
    <w:rsid w:val="00C6082C"/>
    <w:rsid w:val="00C614F7"/>
    <w:rsid w:val="00C617E0"/>
    <w:rsid w:val="00C61DB7"/>
    <w:rsid w:val="00C62FC3"/>
    <w:rsid w:val="00C65FF9"/>
    <w:rsid w:val="00C66761"/>
    <w:rsid w:val="00C66CF8"/>
    <w:rsid w:val="00C73003"/>
    <w:rsid w:val="00C806CB"/>
    <w:rsid w:val="00C83B82"/>
    <w:rsid w:val="00C90548"/>
    <w:rsid w:val="00C90EE4"/>
    <w:rsid w:val="00C9402B"/>
    <w:rsid w:val="00C94AD2"/>
    <w:rsid w:val="00C96339"/>
    <w:rsid w:val="00C96923"/>
    <w:rsid w:val="00C96E2D"/>
    <w:rsid w:val="00CA59C4"/>
    <w:rsid w:val="00CA6D47"/>
    <w:rsid w:val="00CA72F7"/>
    <w:rsid w:val="00CB23EE"/>
    <w:rsid w:val="00CB2E42"/>
    <w:rsid w:val="00CB2EE7"/>
    <w:rsid w:val="00CB36F2"/>
    <w:rsid w:val="00CB5B93"/>
    <w:rsid w:val="00CB6A3A"/>
    <w:rsid w:val="00CC1314"/>
    <w:rsid w:val="00CC138E"/>
    <w:rsid w:val="00CC2751"/>
    <w:rsid w:val="00CC3148"/>
    <w:rsid w:val="00CC3B94"/>
    <w:rsid w:val="00CD03A4"/>
    <w:rsid w:val="00CD08D8"/>
    <w:rsid w:val="00CD1297"/>
    <w:rsid w:val="00CD2729"/>
    <w:rsid w:val="00CD3879"/>
    <w:rsid w:val="00CD38BA"/>
    <w:rsid w:val="00CD40C4"/>
    <w:rsid w:val="00CE0BBD"/>
    <w:rsid w:val="00CE0C41"/>
    <w:rsid w:val="00CE51F8"/>
    <w:rsid w:val="00CE69AA"/>
    <w:rsid w:val="00CF552B"/>
    <w:rsid w:val="00CF6F21"/>
    <w:rsid w:val="00D0070C"/>
    <w:rsid w:val="00D019C3"/>
    <w:rsid w:val="00D046BB"/>
    <w:rsid w:val="00D0523E"/>
    <w:rsid w:val="00D06C8A"/>
    <w:rsid w:val="00D06C99"/>
    <w:rsid w:val="00D07421"/>
    <w:rsid w:val="00D10466"/>
    <w:rsid w:val="00D11174"/>
    <w:rsid w:val="00D14E22"/>
    <w:rsid w:val="00D166E3"/>
    <w:rsid w:val="00D1748A"/>
    <w:rsid w:val="00D20B62"/>
    <w:rsid w:val="00D22464"/>
    <w:rsid w:val="00D22F1A"/>
    <w:rsid w:val="00D23A5E"/>
    <w:rsid w:val="00D23DAB"/>
    <w:rsid w:val="00D26C97"/>
    <w:rsid w:val="00D30A35"/>
    <w:rsid w:val="00D35EE3"/>
    <w:rsid w:val="00D36583"/>
    <w:rsid w:val="00D3667D"/>
    <w:rsid w:val="00D37817"/>
    <w:rsid w:val="00D37D78"/>
    <w:rsid w:val="00D4229E"/>
    <w:rsid w:val="00D42AD9"/>
    <w:rsid w:val="00D43ECB"/>
    <w:rsid w:val="00D472C5"/>
    <w:rsid w:val="00D479E9"/>
    <w:rsid w:val="00D50B57"/>
    <w:rsid w:val="00D51207"/>
    <w:rsid w:val="00D53236"/>
    <w:rsid w:val="00D53E1A"/>
    <w:rsid w:val="00D54246"/>
    <w:rsid w:val="00D54F91"/>
    <w:rsid w:val="00D614FE"/>
    <w:rsid w:val="00D62FC2"/>
    <w:rsid w:val="00D64F45"/>
    <w:rsid w:val="00D67023"/>
    <w:rsid w:val="00D676B2"/>
    <w:rsid w:val="00D70CEA"/>
    <w:rsid w:val="00D71676"/>
    <w:rsid w:val="00D732B8"/>
    <w:rsid w:val="00D7457A"/>
    <w:rsid w:val="00D76139"/>
    <w:rsid w:val="00D80334"/>
    <w:rsid w:val="00D8337C"/>
    <w:rsid w:val="00D84D90"/>
    <w:rsid w:val="00D8661C"/>
    <w:rsid w:val="00D86CAD"/>
    <w:rsid w:val="00D87614"/>
    <w:rsid w:val="00D87B82"/>
    <w:rsid w:val="00D90D1E"/>
    <w:rsid w:val="00D95F7C"/>
    <w:rsid w:val="00D96411"/>
    <w:rsid w:val="00DA0304"/>
    <w:rsid w:val="00DA0E59"/>
    <w:rsid w:val="00DA4E4D"/>
    <w:rsid w:val="00DA796B"/>
    <w:rsid w:val="00DB234F"/>
    <w:rsid w:val="00DB28BC"/>
    <w:rsid w:val="00DB2D63"/>
    <w:rsid w:val="00DB31BB"/>
    <w:rsid w:val="00DB3C16"/>
    <w:rsid w:val="00DB5A62"/>
    <w:rsid w:val="00DB61EC"/>
    <w:rsid w:val="00DB70D3"/>
    <w:rsid w:val="00DC0E14"/>
    <w:rsid w:val="00DC6527"/>
    <w:rsid w:val="00DD0265"/>
    <w:rsid w:val="00DD0326"/>
    <w:rsid w:val="00DD2B01"/>
    <w:rsid w:val="00DD3553"/>
    <w:rsid w:val="00DD3583"/>
    <w:rsid w:val="00DD3800"/>
    <w:rsid w:val="00DD470E"/>
    <w:rsid w:val="00DD73E9"/>
    <w:rsid w:val="00DE0941"/>
    <w:rsid w:val="00DE371A"/>
    <w:rsid w:val="00DE3770"/>
    <w:rsid w:val="00DE4D33"/>
    <w:rsid w:val="00DE677B"/>
    <w:rsid w:val="00DF165A"/>
    <w:rsid w:val="00DF324F"/>
    <w:rsid w:val="00DF39CD"/>
    <w:rsid w:val="00DF4112"/>
    <w:rsid w:val="00DF484C"/>
    <w:rsid w:val="00DF504A"/>
    <w:rsid w:val="00E00296"/>
    <w:rsid w:val="00E0120C"/>
    <w:rsid w:val="00E02496"/>
    <w:rsid w:val="00E02709"/>
    <w:rsid w:val="00E0567F"/>
    <w:rsid w:val="00E0762D"/>
    <w:rsid w:val="00E13DFA"/>
    <w:rsid w:val="00E1742F"/>
    <w:rsid w:val="00E220AB"/>
    <w:rsid w:val="00E2311B"/>
    <w:rsid w:val="00E24847"/>
    <w:rsid w:val="00E26478"/>
    <w:rsid w:val="00E2650B"/>
    <w:rsid w:val="00E422CE"/>
    <w:rsid w:val="00E43803"/>
    <w:rsid w:val="00E448FD"/>
    <w:rsid w:val="00E44C8B"/>
    <w:rsid w:val="00E45994"/>
    <w:rsid w:val="00E46857"/>
    <w:rsid w:val="00E46BF3"/>
    <w:rsid w:val="00E55E07"/>
    <w:rsid w:val="00E60134"/>
    <w:rsid w:val="00E64B08"/>
    <w:rsid w:val="00E65CCB"/>
    <w:rsid w:val="00E66A77"/>
    <w:rsid w:val="00E66CC8"/>
    <w:rsid w:val="00E66E7C"/>
    <w:rsid w:val="00E71729"/>
    <w:rsid w:val="00E73912"/>
    <w:rsid w:val="00E74097"/>
    <w:rsid w:val="00E75B91"/>
    <w:rsid w:val="00E77EA5"/>
    <w:rsid w:val="00E80253"/>
    <w:rsid w:val="00E80327"/>
    <w:rsid w:val="00E87DB4"/>
    <w:rsid w:val="00E923DE"/>
    <w:rsid w:val="00E9398F"/>
    <w:rsid w:val="00E94528"/>
    <w:rsid w:val="00EA0C46"/>
    <w:rsid w:val="00EA167C"/>
    <w:rsid w:val="00EA1B28"/>
    <w:rsid w:val="00EA3087"/>
    <w:rsid w:val="00EA4BBC"/>
    <w:rsid w:val="00EA6BE7"/>
    <w:rsid w:val="00EA7DC9"/>
    <w:rsid w:val="00EB3924"/>
    <w:rsid w:val="00EB3F71"/>
    <w:rsid w:val="00EB442B"/>
    <w:rsid w:val="00EB640C"/>
    <w:rsid w:val="00EC3316"/>
    <w:rsid w:val="00EC482B"/>
    <w:rsid w:val="00EC5D28"/>
    <w:rsid w:val="00EC7DB3"/>
    <w:rsid w:val="00ED3479"/>
    <w:rsid w:val="00ED4503"/>
    <w:rsid w:val="00ED596B"/>
    <w:rsid w:val="00ED5A4E"/>
    <w:rsid w:val="00ED68B1"/>
    <w:rsid w:val="00EE05AB"/>
    <w:rsid w:val="00EE1C49"/>
    <w:rsid w:val="00EE26DF"/>
    <w:rsid w:val="00EE30DA"/>
    <w:rsid w:val="00EE6533"/>
    <w:rsid w:val="00EE78A1"/>
    <w:rsid w:val="00EE7B95"/>
    <w:rsid w:val="00EF21AE"/>
    <w:rsid w:val="00EF3FB1"/>
    <w:rsid w:val="00EF43AF"/>
    <w:rsid w:val="00EF4901"/>
    <w:rsid w:val="00EF6F19"/>
    <w:rsid w:val="00EF7302"/>
    <w:rsid w:val="00F018AC"/>
    <w:rsid w:val="00F03788"/>
    <w:rsid w:val="00F10EDC"/>
    <w:rsid w:val="00F1422C"/>
    <w:rsid w:val="00F14859"/>
    <w:rsid w:val="00F155E5"/>
    <w:rsid w:val="00F16150"/>
    <w:rsid w:val="00F2045C"/>
    <w:rsid w:val="00F22D34"/>
    <w:rsid w:val="00F232C4"/>
    <w:rsid w:val="00F236A8"/>
    <w:rsid w:val="00F247D3"/>
    <w:rsid w:val="00F30531"/>
    <w:rsid w:val="00F31051"/>
    <w:rsid w:val="00F3115B"/>
    <w:rsid w:val="00F31C58"/>
    <w:rsid w:val="00F31E59"/>
    <w:rsid w:val="00F31EBC"/>
    <w:rsid w:val="00F32421"/>
    <w:rsid w:val="00F33EDD"/>
    <w:rsid w:val="00F343DF"/>
    <w:rsid w:val="00F3549B"/>
    <w:rsid w:val="00F375E0"/>
    <w:rsid w:val="00F42548"/>
    <w:rsid w:val="00F44D37"/>
    <w:rsid w:val="00F45FF4"/>
    <w:rsid w:val="00F46585"/>
    <w:rsid w:val="00F46A98"/>
    <w:rsid w:val="00F477DE"/>
    <w:rsid w:val="00F50DB9"/>
    <w:rsid w:val="00F5387F"/>
    <w:rsid w:val="00F53938"/>
    <w:rsid w:val="00F53CBB"/>
    <w:rsid w:val="00F55725"/>
    <w:rsid w:val="00F55B0D"/>
    <w:rsid w:val="00F56009"/>
    <w:rsid w:val="00F577B7"/>
    <w:rsid w:val="00F636C2"/>
    <w:rsid w:val="00F64EDC"/>
    <w:rsid w:val="00F65F17"/>
    <w:rsid w:val="00F67704"/>
    <w:rsid w:val="00F718AB"/>
    <w:rsid w:val="00F808B6"/>
    <w:rsid w:val="00F80F7F"/>
    <w:rsid w:val="00F85E84"/>
    <w:rsid w:val="00F8746C"/>
    <w:rsid w:val="00F9058D"/>
    <w:rsid w:val="00F90765"/>
    <w:rsid w:val="00F90F8E"/>
    <w:rsid w:val="00F91105"/>
    <w:rsid w:val="00F924D6"/>
    <w:rsid w:val="00F9262E"/>
    <w:rsid w:val="00F9280A"/>
    <w:rsid w:val="00F93F35"/>
    <w:rsid w:val="00F959D5"/>
    <w:rsid w:val="00F95EF1"/>
    <w:rsid w:val="00FA07BB"/>
    <w:rsid w:val="00FA10CB"/>
    <w:rsid w:val="00FA1B36"/>
    <w:rsid w:val="00FA2E03"/>
    <w:rsid w:val="00FA400D"/>
    <w:rsid w:val="00FA4724"/>
    <w:rsid w:val="00FB23AD"/>
    <w:rsid w:val="00FB5CED"/>
    <w:rsid w:val="00FC1E10"/>
    <w:rsid w:val="00FC4057"/>
    <w:rsid w:val="00FC4373"/>
    <w:rsid w:val="00FC52AE"/>
    <w:rsid w:val="00FC7616"/>
    <w:rsid w:val="00FC793C"/>
    <w:rsid w:val="00FC7BC6"/>
    <w:rsid w:val="00FC7EFB"/>
    <w:rsid w:val="00FD071F"/>
    <w:rsid w:val="00FD07E6"/>
    <w:rsid w:val="00FD2270"/>
    <w:rsid w:val="00FD2500"/>
    <w:rsid w:val="00FD423F"/>
    <w:rsid w:val="00FD4817"/>
    <w:rsid w:val="00FD5C97"/>
    <w:rsid w:val="00FD66AC"/>
    <w:rsid w:val="00FE4C7D"/>
    <w:rsid w:val="00FE6664"/>
    <w:rsid w:val="00FE6726"/>
    <w:rsid w:val="00FE68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67"/>
    <w:rPr>
      <w:rFonts w:ascii="Arial" w:hAnsi="Arial"/>
      <w:sz w:val="24"/>
    </w:rPr>
  </w:style>
  <w:style w:type="paragraph" w:styleId="Ttulo1">
    <w:name w:val="heading 1"/>
    <w:basedOn w:val="Normal"/>
    <w:next w:val="Normal"/>
    <w:link w:val="Ttulo1Char"/>
    <w:qFormat/>
    <w:rsid w:val="00455831"/>
    <w:pPr>
      <w:keepNext/>
      <w:jc w:val="both"/>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A0967"/>
    <w:pPr>
      <w:tabs>
        <w:tab w:val="center" w:pos="4419"/>
        <w:tab w:val="right" w:pos="8838"/>
      </w:tabs>
    </w:pPr>
  </w:style>
  <w:style w:type="paragraph" w:styleId="Rodap">
    <w:name w:val="footer"/>
    <w:basedOn w:val="Normal"/>
    <w:link w:val="RodapChar"/>
    <w:uiPriority w:val="99"/>
    <w:rsid w:val="00AA0967"/>
    <w:pPr>
      <w:tabs>
        <w:tab w:val="center" w:pos="4419"/>
        <w:tab w:val="right" w:pos="8838"/>
      </w:tabs>
    </w:pPr>
  </w:style>
  <w:style w:type="paragraph" w:styleId="Recuodecorpodetexto">
    <w:name w:val="Body Text Indent"/>
    <w:basedOn w:val="Normal"/>
    <w:semiHidden/>
    <w:rsid w:val="00AA0967"/>
    <w:pPr>
      <w:spacing w:after="120"/>
      <w:ind w:firstLine="1701"/>
    </w:pPr>
  </w:style>
  <w:style w:type="paragraph" w:customStyle="1" w:styleId="Normalnumerado">
    <w:name w:val="Normal numerado"/>
    <w:basedOn w:val="Normal"/>
    <w:rsid w:val="00AA0967"/>
    <w:pPr>
      <w:numPr>
        <w:numId w:val="5"/>
      </w:numPr>
      <w:tabs>
        <w:tab w:val="clear" w:pos="705"/>
      </w:tabs>
      <w:spacing w:after="120"/>
      <w:ind w:left="0" w:firstLine="0"/>
      <w:jc w:val="both"/>
    </w:pPr>
    <w:rPr>
      <w:rFonts w:ascii="Times New Roman" w:hAnsi="Times New Roman"/>
      <w:snapToGrid w:val="0"/>
      <w:sz w:val="20"/>
    </w:rPr>
  </w:style>
  <w:style w:type="paragraph" w:styleId="Corpodetexto">
    <w:name w:val="Body Text"/>
    <w:basedOn w:val="Normal"/>
    <w:semiHidden/>
    <w:rsid w:val="00AA0967"/>
    <w:pPr>
      <w:spacing w:after="80"/>
      <w:jc w:val="both"/>
    </w:pPr>
  </w:style>
  <w:style w:type="character" w:customStyle="1" w:styleId="Ttulo1Char">
    <w:name w:val="Título 1 Char"/>
    <w:basedOn w:val="Fontepargpadro"/>
    <w:link w:val="Ttulo1"/>
    <w:rsid w:val="00455831"/>
    <w:rPr>
      <w:rFonts w:ascii="Arial" w:hAnsi="Arial"/>
      <w:b/>
      <w:sz w:val="24"/>
    </w:rPr>
  </w:style>
  <w:style w:type="character" w:styleId="Hyperlink">
    <w:name w:val="Hyperlink"/>
    <w:basedOn w:val="Fontepargpadro"/>
    <w:uiPriority w:val="99"/>
    <w:unhideWhenUsed/>
    <w:rsid w:val="00A671F0"/>
    <w:rPr>
      <w:color w:val="0000FF"/>
      <w:u w:val="single"/>
    </w:rPr>
  </w:style>
  <w:style w:type="paragraph" w:styleId="Textodebalo">
    <w:name w:val="Balloon Text"/>
    <w:basedOn w:val="Normal"/>
    <w:link w:val="TextodebaloChar"/>
    <w:uiPriority w:val="99"/>
    <w:semiHidden/>
    <w:unhideWhenUsed/>
    <w:rsid w:val="008659A1"/>
    <w:rPr>
      <w:rFonts w:ascii="Tahoma" w:hAnsi="Tahoma" w:cs="Tahoma"/>
      <w:sz w:val="16"/>
      <w:szCs w:val="16"/>
    </w:rPr>
  </w:style>
  <w:style w:type="character" w:customStyle="1" w:styleId="TextodebaloChar">
    <w:name w:val="Texto de balão Char"/>
    <w:basedOn w:val="Fontepargpadro"/>
    <w:link w:val="Textodebalo"/>
    <w:uiPriority w:val="99"/>
    <w:semiHidden/>
    <w:rsid w:val="008659A1"/>
    <w:rPr>
      <w:rFonts w:ascii="Tahoma" w:hAnsi="Tahoma" w:cs="Tahoma"/>
      <w:sz w:val="16"/>
      <w:szCs w:val="16"/>
    </w:rPr>
  </w:style>
  <w:style w:type="paragraph" w:styleId="PargrafodaLista">
    <w:name w:val="List Paragraph"/>
    <w:basedOn w:val="Normal"/>
    <w:uiPriority w:val="34"/>
    <w:qFormat/>
    <w:rsid w:val="00F85E84"/>
    <w:pPr>
      <w:ind w:left="720"/>
      <w:contextualSpacing/>
    </w:pPr>
  </w:style>
  <w:style w:type="paragraph" w:customStyle="1" w:styleId="Texto">
    <w:name w:val="Texto"/>
    <w:basedOn w:val="Normal"/>
    <w:autoRedefine/>
    <w:rsid w:val="0076674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76" w:lineRule="auto"/>
      <w:ind w:firstLine="567"/>
      <w:jc w:val="both"/>
    </w:pPr>
    <w:rPr>
      <w:color w:val="000080"/>
      <w:sz w:val="20"/>
    </w:rPr>
  </w:style>
  <w:style w:type="paragraph" w:styleId="Corpodetexto2">
    <w:name w:val="Body Text 2"/>
    <w:basedOn w:val="Normal"/>
    <w:link w:val="Corpodetexto2Char"/>
    <w:rsid w:val="005F6E68"/>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rsid w:val="005F6E68"/>
  </w:style>
  <w:style w:type="character" w:customStyle="1" w:styleId="RodapChar">
    <w:name w:val="Rodapé Char"/>
    <w:basedOn w:val="Fontepargpadro"/>
    <w:link w:val="Rodap"/>
    <w:uiPriority w:val="99"/>
    <w:rsid w:val="0089205A"/>
    <w:rPr>
      <w:rFonts w:ascii="Arial" w:hAnsi="Arial"/>
      <w:sz w:val="24"/>
    </w:rPr>
  </w:style>
  <w:style w:type="paragraph" w:styleId="Textodenotaderodap">
    <w:name w:val="footnote text"/>
    <w:basedOn w:val="Normal"/>
    <w:link w:val="TextodenotaderodapChar"/>
    <w:uiPriority w:val="99"/>
    <w:semiHidden/>
    <w:unhideWhenUsed/>
    <w:rsid w:val="004A0C21"/>
    <w:rPr>
      <w:sz w:val="20"/>
    </w:rPr>
  </w:style>
  <w:style w:type="character" w:customStyle="1" w:styleId="TextodenotaderodapChar">
    <w:name w:val="Texto de nota de rodapé Char"/>
    <w:basedOn w:val="Fontepargpadro"/>
    <w:link w:val="Textodenotaderodap"/>
    <w:uiPriority w:val="99"/>
    <w:semiHidden/>
    <w:rsid w:val="004A0C21"/>
    <w:rPr>
      <w:rFonts w:ascii="Arial" w:hAnsi="Arial"/>
    </w:rPr>
  </w:style>
  <w:style w:type="character" w:styleId="Refdenotaderodap">
    <w:name w:val="footnote reference"/>
    <w:basedOn w:val="Fontepargpadro"/>
    <w:uiPriority w:val="99"/>
    <w:semiHidden/>
    <w:unhideWhenUsed/>
    <w:rsid w:val="004A0C21"/>
    <w:rPr>
      <w:vertAlign w:val="superscript"/>
    </w:rPr>
  </w:style>
  <w:style w:type="character" w:customStyle="1" w:styleId="CabealhoChar">
    <w:name w:val="Cabeçalho Char"/>
    <w:basedOn w:val="Fontepargpadro"/>
    <w:link w:val="Cabealho"/>
    <w:rsid w:val="00015EA9"/>
    <w:rPr>
      <w:rFonts w:ascii="Arial" w:hAnsi="Arial"/>
      <w:sz w:val="24"/>
    </w:rPr>
  </w:style>
  <w:style w:type="paragraph" w:styleId="NormalWeb">
    <w:name w:val="Normal (Web)"/>
    <w:basedOn w:val="Normal"/>
    <w:uiPriority w:val="99"/>
    <w:unhideWhenUsed/>
    <w:rsid w:val="004A475F"/>
    <w:pPr>
      <w:spacing w:before="100" w:beforeAutospacing="1" w:after="100" w:afterAutospacing="1"/>
    </w:pPr>
    <w:rPr>
      <w:rFonts w:ascii="Times New Roman" w:hAnsi="Times New Roman"/>
      <w:szCs w:val="24"/>
    </w:rPr>
  </w:style>
  <w:style w:type="character" w:styleId="Refdecomentrio">
    <w:name w:val="annotation reference"/>
    <w:basedOn w:val="Fontepargpadro"/>
    <w:uiPriority w:val="99"/>
    <w:semiHidden/>
    <w:unhideWhenUsed/>
    <w:rsid w:val="00B90221"/>
    <w:rPr>
      <w:sz w:val="16"/>
      <w:szCs w:val="16"/>
    </w:rPr>
  </w:style>
  <w:style w:type="paragraph" w:styleId="Textodecomentrio">
    <w:name w:val="annotation text"/>
    <w:basedOn w:val="Normal"/>
    <w:link w:val="TextodecomentrioChar"/>
    <w:uiPriority w:val="99"/>
    <w:semiHidden/>
    <w:unhideWhenUsed/>
    <w:rsid w:val="00B90221"/>
    <w:rPr>
      <w:sz w:val="20"/>
    </w:rPr>
  </w:style>
  <w:style w:type="character" w:customStyle="1" w:styleId="TextodecomentrioChar">
    <w:name w:val="Texto de comentário Char"/>
    <w:basedOn w:val="Fontepargpadro"/>
    <w:link w:val="Textodecomentrio"/>
    <w:uiPriority w:val="99"/>
    <w:semiHidden/>
    <w:rsid w:val="00B90221"/>
    <w:rPr>
      <w:rFonts w:ascii="Arial" w:hAnsi="Arial"/>
    </w:rPr>
  </w:style>
  <w:style w:type="paragraph" w:styleId="Assuntodocomentrio">
    <w:name w:val="annotation subject"/>
    <w:basedOn w:val="Textodecomentrio"/>
    <w:next w:val="Textodecomentrio"/>
    <w:link w:val="AssuntodocomentrioChar"/>
    <w:uiPriority w:val="99"/>
    <w:semiHidden/>
    <w:unhideWhenUsed/>
    <w:rsid w:val="00B90221"/>
    <w:rPr>
      <w:b/>
      <w:bCs/>
    </w:rPr>
  </w:style>
  <w:style w:type="character" w:customStyle="1" w:styleId="AssuntodocomentrioChar">
    <w:name w:val="Assunto do comentário Char"/>
    <w:basedOn w:val="TextodecomentrioChar"/>
    <w:link w:val="Assuntodocomentrio"/>
    <w:uiPriority w:val="99"/>
    <w:semiHidden/>
    <w:rsid w:val="00B90221"/>
    <w:rPr>
      <w:b/>
      <w:bCs/>
    </w:rPr>
  </w:style>
  <w:style w:type="paragraph" w:customStyle="1" w:styleId="texto0">
    <w:name w:val="texto"/>
    <w:basedOn w:val="Normal"/>
    <w:rsid w:val="00C15A07"/>
    <w:pPr>
      <w:spacing w:before="100" w:beforeAutospacing="1" w:after="100" w:afterAutospacing="1"/>
    </w:pPr>
    <w:rPr>
      <w:rFonts w:ascii="Times New Roman" w:hAnsi="Times New Roman"/>
      <w:szCs w:val="24"/>
    </w:rPr>
  </w:style>
  <w:style w:type="character" w:styleId="TextodoEspaoReservado">
    <w:name w:val="Placeholder Text"/>
    <w:basedOn w:val="Fontepargpadro"/>
    <w:uiPriority w:val="99"/>
    <w:semiHidden/>
    <w:rsid w:val="00AC56ED"/>
    <w:rPr>
      <w:color w:val="808080"/>
    </w:rPr>
  </w:style>
  <w:style w:type="paragraph" w:customStyle="1" w:styleId="Default">
    <w:name w:val="Default"/>
    <w:rsid w:val="00AD668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58351084">
      <w:bodyDiv w:val="1"/>
      <w:marLeft w:val="0"/>
      <w:marRight w:val="0"/>
      <w:marTop w:val="0"/>
      <w:marBottom w:val="0"/>
      <w:divBdr>
        <w:top w:val="none" w:sz="0" w:space="0" w:color="auto"/>
        <w:left w:val="none" w:sz="0" w:space="0" w:color="auto"/>
        <w:bottom w:val="none" w:sz="0" w:space="0" w:color="auto"/>
        <w:right w:val="none" w:sz="0" w:space="0" w:color="auto"/>
      </w:divBdr>
    </w:div>
    <w:div w:id="281696178">
      <w:bodyDiv w:val="1"/>
      <w:marLeft w:val="0"/>
      <w:marRight w:val="0"/>
      <w:marTop w:val="0"/>
      <w:marBottom w:val="0"/>
      <w:divBdr>
        <w:top w:val="none" w:sz="0" w:space="0" w:color="auto"/>
        <w:left w:val="none" w:sz="0" w:space="0" w:color="auto"/>
        <w:bottom w:val="none" w:sz="0" w:space="0" w:color="auto"/>
        <w:right w:val="none" w:sz="0" w:space="0" w:color="auto"/>
      </w:divBdr>
    </w:div>
    <w:div w:id="628901027">
      <w:bodyDiv w:val="1"/>
      <w:marLeft w:val="0"/>
      <w:marRight w:val="0"/>
      <w:marTop w:val="0"/>
      <w:marBottom w:val="0"/>
      <w:divBdr>
        <w:top w:val="none" w:sz="0" w:space="0" w:color="auto"/>
        <w:left w:val="none" w:sz="0" w:space="0" w:color="auto"/>
        <w:bottom w:val="none" w:sz="0" w:space="0" w:color="auto"/>
        <w:right w:val="none" w:sz="0" w:space="0" w:color="auto"/>
      </w:divBdr>
    </w:div>
    <w:div w:id="714085531">
      <w:bodyDiv w:val="1"/>
      <w:marLeft w:val="0"/>
      <w:marRight w:val="0"/>
      <w:marTop w:val="0"/>
      <w:marBottom w:val="0"/>
      <w:divBdr>
        <w:top w:val="none" w:sz="0" w:space="0" w:color="auto"/>
        <w:left w:val="none" w:sz="0" w:space="0" w:color="auto"/>
        <w:bottom w:val="none" w:sz="0" w:space="0" w:color="auto"/>
        <w:right w:val="none" w:sz="0" w:space="0" w:color="auto"/>
      </w:divBdr>
      <w:divsChild>
        <w:div w:id="2068457973">
          <w:marLeft w:val="0"/>
          <w:marRight w:val="0"/>
          <w:marTop w:val="0"/>
          <w:marBottom w:val="0"/>
          <w:divBdr>
            <w:top w:val="none" w:sz="0" w:space="0" w:color="auto"/>
            <w:left w:val="none" w:sz="0" w:space="0" w:color="auto"/>
            <w:bottom w:val="none" w:sz="0" w:space="0" w:color="auto"/>
            <w:right w:val="none" w:sz="0" w:space="0" w:color="auto"/>
          </w:divBdr>
          <w:divsChild>
            <w:div w:id="1100372991">
              <w:marLeft w:val="0"/>
              <w:marRight w:val="0"/>
              <w:marTop w:val="0"/>
              <w:marBottom w:val="0"/>
              <w:divBdr>
                <w:top w:val="none" w:sz="0" w:space="0" w:color="auto"/>
                <w:left w:val="none" w:sz="0" w:space="0" w:color="auto"/>
                <w:bottom w:val="none" w:sz="0" w:space="0" w:color="auto"/>
                <w:right w:val="none" w:sz="0" w:space="0" w:color="auto"/>
              </w:divBdr>
              <w:divsChild>
                <w:div w:id="1594825578">
                  <w:marLeft w:val="0"/>
                  <w:marRight w:val="0"/>
                  <w:marTop w:val="0"/>
                  <w:marBottom w:val="0"/>
                  <w:divBdr>
                    <w:top w:val="none" w:sz="0" w:space="0" w:color="auto"/>
                    <w:left w:val="none" w:sz="0" w:space="0" w:color="auto"/>
                    <w:bottom w:val="none" w:sz="0" w:space="0" w:color="auto"/>
                    <w:right w:val="none" w:sz="0" w:space="0" w:color="auto"/>
                  </w:divBdr>
                  <w:divsChild>
                    <w:div w:id="1381200353">
                      <w:marLeft w:val="0"/>
                      <w:marRight w:val="0"/>
                      <w:marTop w:val="0"/>
                      <w:marBottom w:val="0"/>
                      <w:divBdr>
                        <w:top w:val="none" w:sz="0" w:space="0" w:color="auto"/>
                        <w:left w:val="none" w:sz="0" w:space="0" w:color="auto"/>
                        <w:bottom w:val="none" w:sz="0" w:space="0" w:color="auto"/>
                        <w:right w:val="none" w:sz="0" w:space="0" w:color="auto"/>
                      </w:divBdr>
                      <w:divsChild>
                        <w:div w:id="514660479">
                          <w:marLeft w:val="0"/>
                          <w:marRight w:val="0"/>
                          <w:marTop w:val="0"/>
                          <w:marBottom w:val="0"/>
                          <w:divBdr>
                            <w:top w:val="none" w:sz="0" w:space="0" w:color="auto"/>
                            <w:left w:val="none" w:sz="0" w:space="0" w:color="auto"/>
                            <w:bottom w:val="none" w:sz="0" w:space="0" w:color="auto"/>
                            <w:right w:val="none" w:sz="0" w:space="0" w:color="auto"/>
                          </w:divBdr>
                          <w:divsChild>
                            <w:div w:id="159777229">
                              <w:marLeft w:val="0"/>
                              <w:marRight w:val="0"/>
                              <w:marTop w:val="0"/>
                              <w:marBottom w:val="0"/>
                              <w:divBdr>
                                <w:top w:val="none" w:sz="0" w:space="0" w:color="auto"/>
                                <w:left w:val="none" w:sz="0" w:space="0" w:color="auto"/>
                                <w:bottom w:val="none" w:sz="0" w:space="0" w:color="auto"/>
                                <w:right w:val="none" w:sz="0" w:space="0" w:color="auto"/>
                              </w:divBdr>
                              <w:divsChild>
                                <w:div w:id="105585960">
                                  <w:marLeft w:val="0"/>
                                  <w:marRight w:val="0"/>
                                  <w:marTop w:val="0"/>
                                  <w:marBottom w:val="0"/>
                                  <w:divBdr>
                                    <w:top w:val="none" w:sz="0" w:space="0" w:color="auto"/>
                                    <w:left w:val="none" w:sz="0" w:space="0" w:color="auto"/>
                                    <w:bottom w:val="none" w:sz="0" w:space="0" w:color="auto"/>
                                    <w:right w:val="none" w:sz="0" w:space="0" w:color="auto"/>
                                  </w:divBdr>
                                  <w:divsChild>
                                    <w:div w:id="286475843">
                                      <w:marLeft w:val="0"/>
                                      <w:marRight w:val="0"/>
                                      <w:marTop w:val="0"/>
                                      <w:marBottom w:val="0"/>
                                      <w:divBdr>
                                        <w:top w:val="none" w:sz="0" w:space="0" w:color="auto"/>
                                        <w:left w:val="none" w:sz="0" w:space="0" w:color="auto"/>
                                        <w:bottom w:val="none" w:sz="0" w:space="0" w:color="auto"/>
                                        <w:right w:val="none" w:sz="0" w:space="0" w:color="auto"/>
                                      </w:divBdr>
                                      <w:divsChild>
                                        <w:div w:id="1088044393">
                                          <w:marLeft w:val="0"/>
                                          <w:marRight w:val="0"/>
                                          <w:marTop w:val="0"/>
                                          <w:marBottom w:val="0"/>
                                          <w:divBdr>
                                            <w:top w:val="none" w:sz="0" w:space="0" w:color="auto"/>
                                            <w:left w:val="none" w:sz="0" w:space="0" w:color="auto"/>
                                            <w:bottom w:val="none" w:sz="0" w:space="0" w:color="auto"/>
                                            <w:right w:val="none" w:sz="0" w:space="0" w:color="auto"/>
                                          </w:divBdr>
                                          <w:divsChild>
                                            <w:div w:id="20555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94314">
      <w:bodyDiv w:val="1"/>
      <w:marLeft w:val="0"/>
      <w:marRight w:val="0"/>
      <w:marTop w:val="0"/>
      <w:marBottom w:val="0"/>
      <w:divBdr>
        <w:top w:val="none" w:sz="0" w:space="0" w:color="auto"/>
        <w:left w:val="none" w:sz="0" w:space="0" w:color="auto"/>
        <w:bottom w:val="none" w:sz="0" w:space="0" w:color="auto"/>
        <w:right w:val="none" w:sz="0" w:space="0" w:color="auto"/>
      </w:divBdr>
    </w:div>
    <w:div w:id="1909729130">
      <w:bodyDiv w:val="1"/>
      <w:marLeft w:val="0"/>
      <w:marRight w:val="0"/>
      <w:marTop w:val="0"/>
      <w:marBottom w:val="0"/>
      <w:divBdr>
        <w:top w:val="none" w:sz="0" w:space="0" w:color="auto"/>
        <w:left w:val="none" w:sz="0" w:space="0" w:color="auto"/>
        <w:bottom w:val="none" w:sz="0" w:space="0" w:color="auto"/>
        <w:right w:val="none" w:sz="0" w:space="0" w:color="auto"/>
      </w:divBdr>
    </w:div>
    <w:div w:id="1950702727">
      <w:bodyDiv w:val="1"/>
      <w:marLeft w:val="0"/>
      <w:marRight w:val="0"/>
      <w:marTop w:val="0"/>
      <w:marBottom w:val="0"/>
      <w:divBdr>
        <w:top w:val="none" w:sz="0" w:space="0" w:color="auto"/>
        <w:left w:val="none" w:sz="0" w:space="0" w:color="auto"/>
        <w:bottom w:val="none" w:sz="0" w:space="0" w:color="auto"/>
        <w:right w:val="none" w:sz="0" w:space="0" w:color="auto"/>
      </w:divBdr>
    </w:div>
    <w:div w:id="20889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28F8-DF86-4899-A0F3-B5F8B4AD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2333</Words>
  <Characters>12147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Ofício nº  01/SGI</vt:lpstr>
    </vt:vector>
  </TitlesOfParts>
  <Company>Anp</Company>
  <LinksUpToDate>false</LinksUpToDate>
  <CharactersWithSpaces>14452</CharactersWithSpaces>
  <SharedDoc>false</SharedDoc>
  <HLinks>
    <vt:vector size="18" baseType="variant">
      <vt:variant>
        <vt:i4>6684707</vt:i4>
      </vt:variant>
      <vt:variant>
        <vt:i4>6</vt:i4>
      </vt:variant>
      <vt:variant>
        <vt:i4>0</vt:i4>
      </vt:variant>
      <vt:variant>
        <vt:i4>5</vt:i4>
      </vt:variant>
      <vt:variant>
        <vt:lpwstr>http://www.anp.gov.br/</vt:lpwstr>
      </vt:variant>
      <vt:variant>
        <vt:lpwstr/>
      </vt:variant>
      <vt:variant>
        <vt:i4>6684707</vt:i4>
      </vt:variant>
      <vt:variant>
        <vt:i4>3</vt:i4>
      </vt:variant>
      <vt:variant>
        <vt:i4>0</vt:i4>
      </vt:variant>
      <vt:variant>
        <vt:i4>5</vt:i4>
      </vt:variant>
      <vt:variant>
        <vt:lpwstr>http://www.anp.gov.br/</vt:lpwstr>
      </vt:variant>
      <vt:variant>
        <vt:lpwstr/>
      </vt:variant>
      <vt:variant>
        <vt:i4>6684707</vt:i4>
      </vt:variant>
      <vt:variant>
        <vt:i4>0</vt:i4>
      </vt:variant>
      <vt:variant>
        <vt:i4>0</vt:i4>
      </vt:variant>
      <vt:variant>
        <vt:i4>5</vt:i4>
      </vt:variant>
      <vt:variant>
        <vt:lpwstr>http://www.anp.gov.br/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01/SGI</dc:title>
  <dc:creator>Patricia Carvalho de Franca</dc:creator>
  <cp:lastModifiedBy>jsalbuquerque</cp:lastModifiedBy>
  <cp:revision>11</cp:revision>
  <cp:lastPrinted>2015-12-23T19:52:00Z</cp:lastPrinted>
  <dcterms:created xsi:type="dcterms:W3CDTF">2015-12-23T17:19:00Z</dcterms:created>
  <dcterms:modified xsi:type="dcterms:W3CDTF">2015-12-23T19:54:00Z</dcterms:modified>
</cp:coreProperties>
</file>