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33" w:rsidRDefault="001C3205" w:rsidP="00397DC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AGÊNCIA NACIONAL DO PETRÓLEO, GÁS NATURAL E BIOCOMBUSTÍVEIS</w:t>
      </w:r>
    </w:p>
    <w:p w:rsidR="001C3205" w:rsidRPr="001C3205" w:rsidRDefault="001C3205" w:rsidP="001C3205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RESOLUÇÃO ANP Nº </w:t>
      </w:r>
      <w:r w:rsidR="00791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XX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DE </w:t>
      </w:r>
      <w:r w:rsidR="00791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XX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791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XX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054F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2016</w:t>
      </w:r>
      <w:r w:rsidR="00054FB3"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- DOU </w:t>
      </w:r>
      <w:r w:rsidR="00791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ZZ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7910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ZZ</w:t>
      </w:r>
      <w:r w:rsidRPr="001C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054F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2016</w:t>
      </w:r>
    </w:p>
    <w:p w:rsidR="001C3205" w:rsidRPr="00AF5213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54FB3" w:rsidRDefault="00054FB3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4AE7">
        <w:rPr>
          <w:rFonts w:ascii="Times New Roman" w:hAnsi="Times New Roman"/>
          <w:sz w:val="24"/>
          <w:szCs w:val="24"/>
        </w:rPr>
        <w:t>A DIRETOR</w:t>
      </w:r>
      <w:r>
        <w:rPr>
          <w:rFonts w:ascii="Times New Roman" w:hAnsi="Times New Roman"/>
          <w:sz w:val="24"/>
          <w:szCs w:val="24"/>
        </w:rPr>
        <w:t>A</w:t>
      </w:r>
      <w:r w:rsidRPr="00894AE7">
        <w:rPr>
          <w:rFonts w:ascii="Times New Roman" w:hAnsi="Times New Roman"/>
          <w:sz w:val="24"/>
          <w:szCs w:val="24"/>
        </w:rPr>
        <w:t xml:space="preserve">-GERAL da AGÊNCIA NACIONAL DO PETRÓLEO, GÁS NATURAL E BIOCOMBUSTÍVEIS - ANP - no uso das atribuições conferidas pelo artigo </w:t>
      </w:r>
      <w:hyperlink r:id="rId10" w:history="1">
        <w:r w:rsidRPr="00894AE7">
          <w:rPr>
            <w:rFonts w:ascii="Times New Roman" w:hAnsi="Times New Roman"/>
            <w:sz w:val="24"/>
            <w:szCs w:val="24"/>
          </w:rPr>
          <w:t>11</w:t>
        </w:r>
      </w:hyperlink>
      <w:r w:rsidRPr="00894AE7">
        <w:rPr>
          <w:rFonts w:ascii="Times New Roman" w:hAnsi="Times New Roman"/>
          <w:sz w:val="24"/>
          <w:szCs w:val="24"/>
        </w:rPr>
        <w:t xml:space="preserve">, inciso III, da Portaria ANP nº 69, de 06 de abril de 2011, de acordo com as disposições da Lei nº </w:t>
      </w:r>
      <w:hyperlink r:id="rId11" w:history="1">
        <w:r w:rsidRPr="00894AE7">
          <w:rPr>
            <w:rFonts w:ascii="Times New Roman" w:hAnsi="Times New Roman"/>
            <w:sz w:val="24"/>
            <w:szCs w:val="24"/>
          </w:rPr>
          <w:t>9.478</w:t>
        </w:r>
      </w:hyperlink>
      <w:r w:rsidRPr="00894AE7">
        <w:rPr>
          <w:rFonts w:ascii="Times New Roman" w:hAnsi="Times New Roman"/>
          <w:sz w:val="24"/>
          <w:szCs w:val="24"/>
        </w:rPr>
        <w:t xml:space="preserve">, de 06 de agosto de 1997, e da Resolução de Diretoria nº </w:t>
      </w:r>
      <w:r>
        <w:rPr>
          <w:rFonts w:ascii="Times New Roman" w:hAnsi="Times New Roman"/>
          <w:sz w:val="24"/>
          <w:szCs w:val="24"/>
          <w:highlight w:val="lightGray"/>
        </w:rPr>
        <w:t>x</w:t>
      </w:r>
      <w:r w:rsidRPr="000A6C07">
        <w:rPr>
          <w:rFonts w:ascii="Times New Roman" w:hAnsi="Times New Roman"/>
          <w:sz w:val="24"/>
          <w:szCs w:val="24"/>
          <w:highlight w:val="lightGray"/>
        </w:rPr>
        <w:t>x</w:t>
      </w:r>
      <w:r w:rsidRPr="00894AE7">
        <w:rPr>
          <w:rFonts w:ascii="Times New Roman" w:hAnsi="Times New Roman"/>
          <w:sz w:val="24"/>
          <w:szCs w:val="24"/>
        </w:rPr>
        <w:t xml:space="preserve">, de </w:t>
      </w:r>
      <w:r w:rsidRPr="000A6C07">
        <w:rPr>
          <w:rFonts w:ascii="Times New Roman" w:hAnsi="Times New Roman"/>
          <w:sz w:val="24"/>
          <w:szCs w:val="24"/>
          <w:highlight w:val="lightGray"/>
        </w:rPr>
        <w:t>xx</w:t>
      </w:r>
      <w:r w:rsidRPr="00894A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A6C07">
        <w:rPr>
          <w:rFonts w:ascii="Times New Roman" w:hAnsi="Times New Roman"/>
          <w:sz w:val="24"/>
          <w:szCs w:val="24"/>
          <w:highlight w:val="lightGray"/>
        </w:rPr>
        <w:t>x</w:t>
      </w:r>
      <w:r>
        <w:rPr>
          <w:rFonts w:ascii="Times New Roman" w:hAnsi="Times New Roman"/>
          <w:sz w:val="24"/>
          <w:szCs w:val="24"/>
          <w:highlight w:val="lightGray"/>
        </w:rPr>
        <w:t>xxx</w:t>
      </w:r>
      <w:r w:rsidRPr="000A6C07">
        <w:rPr>
          <w:rFonts w:ascii="Times New Roman" w:hAnsi="Times New Roman"/>
          <w:sz w:val="24"/>
          <w:szCs w:val="24"/>
          <w:highlight w:val="lightGray"/>
        </w:rPr>
        <w:t>x</w:t>
      </w:r>
      <w:proofErr w:type="spellEnd"/>
      <w:r w:rsidRPr="00894AE7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</w:t>
      </w:r>
      <w:r w:rsidRPr="00894AE7">
        <w:rPr>
          <w:rFonts w:ascii="Times New Roman" w:hAnsi="Times New Roman"/>
          <w:sz w:val="24"/>
          <w:szCs w:val="24"/>
        </w:rPr>
        <w:t>,</w:t>
      </w:r>
    </w:p>
    <w:p w:rsidR="001C3205" w:rsidRPr="00454542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a importância de estimular e consolidar o uso dos biocombustíveis no território nacional;</w:t>
      </w:r>
    </w:p>
    <w:p w:rsidR="009111EF" w:rsidRPr="00454542" w:rsidRDefault="009111EF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Lei nº </w:t>
      </w:r>
      <w:hyperlink r:id="rId12" w:history="1">
        <w:r w:rsidRPr="0045454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11.097</w:t>
        </w:r>
      </w:hyperlink>
      <w:r w:rsidRPr="00454542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13 de janeiro de 2005, que define o biodiesel como um combustível para uso em motores à combustão interna com ignição por compressão, renovável e biodegradável, derivado de óleos vegetais ou de gorduras animais, que possa substituir parcial ou totalmente o óleo diesel de origem fóssil;</w:t>
      </w:r>
    </w:p>
    <w:p w:rsidR="001C3205" w:rsidRPr="00454542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a necessidade de estabelecer regras para os interessad</w:t>
      </w:r>
      <w:r w:rsidR="009111E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envolvidos no uso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biodiesel e de óleo diesel</w:t>
      </w:r>
      <w:r w:rsidR="00A06F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BX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em teores</w:t>
      </w:r>
      <w:r w:rsidR="00441906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aplicações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diversos do autorizado em legislação;</w:t>
      </w:r>
    </w:p>
    <w:p w:rsidR="00980A99" w:rsidRPr="00454542" w:rsidRDefault="00980A99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a Lei </w:t>
      </w:r>
      <w:r w:rsid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nº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13.033, de 24 de setembro de 2014, que dispõe sobre a adição obrigatória de biodiesel ao óleo diesel comercializado com consumidor final; </w:t>
      </w:r>
      <w:r w:rsidR="00DA6323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</w:p>
    <w:p w:rsidR="007F4979" w:rsidRDefault="00645165" w:rsidP="006C572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a Resolução </w:t>
      </w:r>
      <w:r w:rsidR="00C67F6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CNPE </w:t>
      </w:r>
      <w:r w:rsidR="0046285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nº 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3, de 21 de setembro de </w:t>
      </w:r>
      <w:r w:rsidR="00C67F6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2015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autoriza a comercialização e o uso voluntário de biodiesel, em quantidade superior ao percentual de adiç</w:t>
      </w:r>
      <w:r w:rsidR="00B1366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 obrigatória ao óleo diesel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6C572F" w:rsidRPr="00454542" w:rsidRDefault="006C572F" w:rsidP="006C572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C3205" w:rsidRPr="00454542" w:rsidRDefault="00DA6323" w:rsidP="00B136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Resolve</w:t>
      </w:r>
      <w:r w:rsidR="001C320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:rsidR="00F60A7C" w:rsidRPr="00454542" w:rsidRDefault="00F60A7C" w:rsidP="00B136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51C97" w:rsidRPr="00454542" w:rsidRDefault="000D4156" w:rsidP="00054F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I</w:t>
      </w:r>
    </w:p>
    <w:p w:rsidR="00F51C97" w:rsidRPr="00454542" w:rsidRDefault="000D4156" w:rsidP="00054F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Das Disposições </w:t>
      </w:r>
      <w:r w:rsidR="006E628D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Preliminares</w:t>
      </w:r>
    </w:p>
    <w:p w:rsidR="008B4D35" w:rsidRPr="00454542" w:rsidRDefault="001C3205" w:rsidP="00F6770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art1"/>
      <w:bookmarkEnd w:id="0"/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Art.1º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Fica sujeita </w:t>
      </w:r>
      <w:r w:rsidR="00B5320E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à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prévia anuência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ANP </w:t>
      </w:r>
      <w:r w:rsidR="008B4D3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F6770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</w:t>
      </w:r>
      <w:r w:rsidR="009111E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</w:t>
      </w:r>
      <w:r w:rsidR="0089745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experimental ou específico</w:t>
      </w:r>
      <w:r w:rsidR="009111E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6770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b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iodiesel</w:t>
      </w:r>
      <w:r w:rsidR="00E9215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6770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ou de sua mistura com óleo diesel A</w:t>
      </w:r>
      <w:r w:rsidR="005F1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(óleo diesel BX)</w:t>
      </w:r>
      <w:r w:rsidR="0089745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em quantidade superior ao percentual de adição de biodiesel obrigatória,</w:t>
      </w:r>
      <w:r w:rsidR="00F6770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9745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conforme 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autorizado </w:t>
      </w:r>
      <w:r w:rsidR="00250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pelo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art. 1º, inciso IV, da Resolução CNPE nº 3, de 21 de setembro de 2015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53E3D" w:rsidRPr="00454542" w:rsidRDefault="00953E3D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único. A prévia anuência de que trata o caput deste artigo será dada por meio de despacho administrativo publicado no Diário Oficial da União, cujos efeitos passam a vigorar na data de sua publicação.</w:t>
      </w:r>
    </w:p>
    <w:p w:rsidR="009D65DF" w:rsidRPr="00454542" w:rsidRDefault="008870B0" w:rsidP="00054F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II</w:t>
      </w:r>
    </w:p>
    <w:p w:rsidR="009D65DF" w:rsidRPr="00454542" w:rsidRDefault="008870B0" w:rsidP="00054FB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Da </w:t>
      </w:r>
      <w:r w:rsidR="0058254A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Prévia Anuência para o Uso Experimental</w:t>
      </w:r>
    </w:p>
    <w:p w:rsidR="001129CA" w:rsidRPr="00454542" w:rsidRDefault="001129CA" w:rsidP="001129C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1" w:name="art3"/>
      <w:bookmarkEnd w:id="1"/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</w:t>
      </w:r>
      <w:r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2638"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solicitação de prévia anuência de uso experimental poderá ser realizada por qualquer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pessoa jurídica constituída sob as leis brasileiras, com sede e administração no país.</w:t>
      </w:r>
    </w:p>
    <w:p w:rsidR="0058254A" w:rsidRPr="00454542" w:rsidRDefault="001C3205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1129CA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º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solicitação de prévia anuência 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u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 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xperimental deverá ser encaminhada à ANP contendo as seguintes informações e documentos individualizados por usuário:</w:t>
      </w:r>
    </w:p>
    <w:p w:rsidR="0058254A" w:rsidRPr="00454542" w:rsidRDefault="0058254A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– requerimento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84141" w:rsidRP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anuência do uso de biodiesel ou de óleo diesel 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BX</w:t>
      </w:r>
      <w:r w:rsidR="00384141" w:rsidRP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destinados ao uso experimental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:rsidR="0058254A" w:rsidRPr="00454542" w:rsidRDefault="0058254A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documento comprobatório dos </w:t>
      </w:r>
      <w:r w:rsidR="006E628D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poderes do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subscritores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requerimento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58254A" w:rsidRPr="00454542" w:rsidRDefault="0058254A" w:rsidP="003B1CA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III - declaração de responsabilidade pelo uso do produto, firmada pelo solicitante e pelo usuário do(s) equipamento(s) ou da(s) frota(s) cativa(s) que utilizará(</w:t>
      </w:r>
      <w:proofErr w:type="spellStart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o produto, quando for o caso;</w:t>
      </w:r>
    </w:p>
    <w:p w:rsidR="0058254A" w:rsidRPr="00454542" w:rsidRDefault="0058254A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IV - ficha cadastral </w:t>
      </w:r>
      <w:r w:rsidR="009C4D5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solicitante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do usuário e da(s) empresa(s) ou instituição(</w:t>
      </w:r>
      <w:proofErr w:type="spellStart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ões</w:t>
      </w:r>
      <w:proofErr w:type="spellEnd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responsável(is) pela análise do produto;</w:t>
      </w:r>
    </w:p>
    <w:p w:rsidR="00DE4D8B" w:rsidRPr="00454542" w:rsidRDefault="0058254A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 - </w:t>
      </w:r>
      <w:r w:rsidR="00DE4D8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plano de trabalho </w:t>
      </w:r>
      <w:r w:rsidR="00062C8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contendo o cronograma de realização </w:t>
      </w:r>
      <w:r w:rsidR="00DE4D8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dos testes de emissões, desempenho e durabilidade dos motores em testes de bancada e em frota cativa ou equipamento de uso industrial, conforme o caso, com as respectivas normas utilizadas para as medições;</w:t>
      </w:r>
    </w:p>
    <w:p w:rsidR="00DE4D8B" w:rsidRDefault="00C758C2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</w:t>
      </w:r>
      <w:r w:rsidR="0058254A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DE4D8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licença ou parecer favorável do órgão ambiental.</w:t>
      </w:r>
    </w:p>
    <w:p w:rsidR="00384141" w:rsidRPr="00454542" w:rsidRDefault="00384141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Parágrafo único.  Os modelos de documentos a que se referem os incisos I, II, III e IV deste artigo estarão disponíveis no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sítio eletrônico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ANP.</w:t>
      </w:r>
    </w:p>
    <w:p w:rsidR="0058254A" w:rsidRPr="00454542" w:rsidRDefault="0058254A" w:rsidP="0058254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AC7D2B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2638"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prazo </w:t>
      </w:r>
      <w:r w:rsidR="00AC7D2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anuência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concedid</w:t>
      </w:r>
      <w:r w:rsidR="00AC7D2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C7D2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uso experimental será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definido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6E628D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acordo com </w:t>
      </w:r>
      <w:r w:rsidR="00DE4D8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plano de trabalho apresentado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 possibilidade de prorrogação</w:t>
      </w:r>
      <w:r w:rsidR="009B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iniciar-se-á a partir da data </w:t>
      </w:r>
      <w:r w:rsidR="00AC7D2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despacho publicado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Diário Oficial da União.</w:t>
      </w:r>
    </w:p>
    <w:p w:rsidR="00AC7D2B" w:rsidRPr="00454542" w:rsidRDefault="00AC7D2B" w:rsidP="00AC7D2B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§ 1º </w:t>
      </w:r>
      <w:r w:rsidR="001129CA"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A anuência poderá ser prorrogada, desde que </w:t>
      </w:r>
      <w:r w:rsidR="00E71623">
        <w:rPr>
          <w:rFonts w:ascii="Times New Roman" w:eastAsia="Times New Roman" w:hAnsi="Times New Roman"/>
          <w:sz w:val="24"/>
          <w:szCs w:val="24"/>
          <w:lang w:eastAsia="pt-BR"/>
        </w:rPr>
        <w:t xml:space="preserve">a solicitação seja apresentada </w:t>
      </w:r>
      <w:r w:rsidR="00C70BC1" w:rsidRPr="00454542">
        <w:rPr>
          <w:rFonts w:ascii="Times New Roman" w:eastAsia="Times New Roman" w:hAnsi="Times New Roman"/>
          <w:sz w:val="24"/>
          <w:szCs w:val="24"/>
          <w:lang w:eastAsia="pt-BR"/>
        </w:rPr>
        <w:t>com antecedência mínima de 30 (trinta) dias anteriores ao término</w:t>
      </w:r>
      <w:r w:rsidR="00E71623">
        <w:rPr>
          <w:rFonts w:ascii="Times New Roman" w:eastAsia="Times New Roman" w:hAnsi="Times New Roman"/>
          <w:sz w:val="24"/>
          <w:szCs w:val="24"/>
          <w:lang w:eastAsia="pt-BR"/>
        </w:rPr>
        <w:t xml:space="preserve"> do prazo original</w:t>
      </w:r>
      <w:r w:rsidR="009B4141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C70BC1"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justificativa fundamentada, </w:t>
      </w:r>
      <w:r w:rsidR="00C70BC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apresentação dos relatórios referentes ao uso experimental, bem como novo cronograma de execução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acordo com</w:t>
      </w:r>
      <w:r w:rsidR="00C70BC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extensão requerida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8254A" w:rsidRPr="00454542" w:rsidRDefault="00DE4D8B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70BC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</w:t>
      </w:r>
      <w:r w:rsidR="006F0EB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54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hipótese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54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licença</w:t>
      </w:r>
      <w:r w:rsidR="00C86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parecer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ambiental estipul</w:t>
      </w:r>
      <w:r w:rsidR="00054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prazo determinado, a </w:t>
      </w:r>
      <w:r w:rsidR="00C70BC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anuência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</w:t>
      </w:r>
      <w:r w:rsidR="006F0EB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uso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F0EB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xperimental</w:t>
      </w:r>
      <w:r w:rsidR="006F0EB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que trata </w:t>
      </w:r>
      <w:r w:rsidR="00054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caput deste artigo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terá sua vigência limitada ao prazo fixado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tal licença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salvo se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apresentada a prorrogação do órgão ambiental.</w:t>
      </w:r>
    </w:p>
    <w:p w:rsidR="00F51C97" w:rsidRPr="00454542" w:rsidRDefault="000D4156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Seção </w:t>
      </w:r>
      <w:r w:rsidR="009111EF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III</w:t>
      </w:r>
    </w:p>
    <w:p w:rsidR="0058254A" w:rsidRPr="00454542" w:rsidRDefault="0058254A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 Prévia Anuência de Uso Específico</w:t>
      </w:r>
      <w:r w:rsidR="001129CA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3B1CA5" w:rsidRPr="00454542" w:rsidRDefault="0058254A" w:rsidP="00AA5F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C70BC1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32638"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="00DB340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solicitação de 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prévia</w:t>
      </w:r>
      <w:r w:rsidR="00DB340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anuência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uso específico</w:t>
      </w:r>
      <w:r w:rsidR="00DB340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só poderá ser realizada</w:t>
      </w:r>
      <w:r w:rsidR="0019219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nos seguintes casos</w:t>
      </w:r>
      <w:r w:rsidR="003B1CA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</w:p>
    <w:p w:rsidR="00192199" w:rsidRPr="00932638" w:rsidRDefault="00192199" w:rsidP="0019219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3B1CA5"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após a conclusão de um uso experimental que obteve parecer favorável da ANP,</w:t>
      </w:r>
      <w:r w:rsidR="003B1CA5"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desde que o uso e</w:t>
      </w:r>
      <w:r w:rsidR="003B1CA5"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specífico</w:t>
      </w:r>
      <w:r w:rsidR="00007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requerido</w:t>
      </w:r>
      <w:r w:rsidR="003B1CA5"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seja referente ao mesmo </w:t>
      </w:r>
      <w:r w:rsidRPr="00932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produto e a mesma aplicação;</w:t>
      </w:r>
    </w:p>
    <w:p w:rsidR="00192199" w:rsidRPr="00454542" w:rsidRDefault="00192199" w:rsidP="0019219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</w:t>
      </w:r>
      <w:r w:rsidR="00007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apresentação de declaração de garantia do fabricante do motor, nos termos do requerimento do solicitante</w:t>
      </w:r>
      <w:r w:rsidR="009B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AA5F47" w:rsidRPr="00454542" w:rsidRDefault="00DE4D8B" w:rsidP="00AA5F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C70BC1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932638"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66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25E2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C70BC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solicitante 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deverá </w:t>
      </w:r>
      <w:r w:rsidR="00A25E2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encaminhar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à ANP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AA5F4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seguintes informações e documentos individualizados por usuário:</w:t>
      </w:r>
    </w:p>
    <w:p w:rsidR="00AA5F47" w:rsidRPr="00454542" w:rsidRDefault="00AA5F47" w:rsidP="00AA5F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– </w:t>
      </w:r>
      <w:r w:rsidR="0038414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requerimento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84141" w:rsidRP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anuência do uso de biodiesel ou de óleo diesel 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BX</w:t>
      </w:r>
      <w:r w:rsidR="00384141" w:rsidRP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destinados ao uso específico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</w:p>
    <w:p w:rsidR="00AA5F47" w:rsidRPr="00454542" w:rsidRDefault="00AA5F47" w:rsidP="00AA5F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documento comprobatório d</w:t>
      </w:r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poderes do(s) subscritor(</w:t>
      </w:r>
      <w:proofErr w:type="spellStart"/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</w:t>
      </w:r>
      <w:proofErr w:type="spellEnd"/>
      <w:r w:rsidR="003841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do requerimento</w:t>
      </w:r>
      <w:r w:rsidR="00BB6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A234D5" w:rsidRPr="00454542" w:rsidRDefault="00062C8F" w:rsidP="00A234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</w:t>
      </w:r>
      <w:r w:rsidR="00A234D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declaração de responsabilidade pelo uso do produto, firmada pelo solicitante e pelo usuário do(s) equipamento(s) ou da(s) frota(s) cativa(s) que utilizará(</w:t>
      </w:r>
      <w:proofErr w:type="spellStart"/>
      <w:r w:rsidR="00A234D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A234D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o produto, quando for o caso;</w:t>
      </w:r>
    </w:p>
    <w:p w:rsidR="00A234D5" w:rsidRPr="00454542" w:rsidRDefault="00A234D5" w:rsidP="00A234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062C8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ficha cadastral do solicitante, do usuário e da(s) empresa(s) ou instituição(</w:t>
      </w:r>
      <w:proofErr w:type="spellStart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ões</w:t>
      </w:r>
      <w:proofErr w:type="spellEnd"/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responsável(is) pela análise do produto;</w:t>
      </w:r>
    </w:p>
    <w:p w:rsidR="00062C8F" w:rsidRDefault="00062C8F" w:rsidP="0038414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 - licença</w:t>
      </w:r>
      <w:r w:rsidR="00C86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parecer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86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emitido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pel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órgão ambiental.</w:t>
      </w:r>
    </w:p>
    <w:p w:rsidR="003B1CA5" w:rsidRDefault="00384141" w:rsidP="0038414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§1°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="009C4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="009C4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solicitação de prévia anuência de uso específico, no caso do inciso II do artigo 5º, fica dispensada a apresentação da declaração de responsabilidade que se trata o inciso III do artigo 6º. </w:t>
      </w:r>
    </w:p>
    <w:p w:rsidR="00384141" w:rsidRDefault="00384141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§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Os modelos de documentos a que se referem os incisos I, II, III e IV deste artigo estarão disponíveis no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sítio eletrônico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ANP.</w:t>
      </w:r>
    </w:p>
    <w:p w:rsidR="00273424" w:rsidRPr="00454542" w:rsidRDefault="00273424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IV</w:t>
      </w:r>
    </w:p>
    <w:p w:rsidR="00273424" w:rsidRPr="00454542" w:rsidRDefault="00273424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Do Uso em Eventos</w:t>
      </w:r>
    </w:p>
    <w:p w:rsidR="00362EB7" w:rsidRPr="00454542" w:rsidRDefault="00273424" w:rsidP="00BC110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F7220B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7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F7220B" w:rsidRPr="00C9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134B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Fica dispensada 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prévia anuência para </w:t>
      </w:r>
      <w:r w:rsidR="00D134B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</w:t>
      </w:r>
      <w:r w:rsidR="00D134B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eventos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sendo exigida a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prévia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comunicação à ANP</w:t>
      </w:r>
      <w:r w:rsidR="0006351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período do evento, combustível a ser utilizado, volume e local do uso</w:t>
      </w:r>
      <w:r w:rsidR="006559E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com pelo menos </w:t>
      </w:r>
      <w:r w:rsidR="00FD38B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</w:t>
      </w:r>
      <w:r w:rsidR="006559E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 (</w:t>
      </w:r>
      <w:r w:rsidR="00FD38B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noventa</w:t>
      </w:r>
      <w:r w:rsidR="006559E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dias antes do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seu </w:t>
      </w:r>
      <w:r w:rsidR="006559E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início</w:t>
      </w:r>
      <w:r w:rsidR="0006351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063514" w:rsidRPr="00454542" w:rsidRDefault="00063514" w:rsidP="00BC110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§1° A ANP poderá solicitar documentos e informações complementares que considerar necessários para </w:t>
      </w:r>
      <w:r w:rsidR="0041193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uso em eventos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273424" w:rsidRPr="00454542" w:rsidRDefault="00BC1100" w:rsidP="0006351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06351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°</w:t>
      </w:r>
      <w:r w:rsidR="0027342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</w:t>
      </w:r>
      <w:r w:rsidR="0006351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uso do combustível não poderá exceder </w:t>
      </w:r>
      <w:r w:rsidR="0027342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período de realização do evento.</w:t>
      </w:r>
    </w:p>
    <w:p w:rsidR="006559E8" w:rsidRPr="00454542" w:rsidRDefault="006559E8" w:rsidP="0027342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§3° Fica vedado o uso de biodiesel ou de óleo diesel </w:t>
      </w:r>
      <w:r w:rsidR="005F1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BX</w:t>
      </w:r>
      <w:r w:rsidR="00C92AE8" w:rsidRPr="00C92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92AE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eventos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nos termos </w:t>
      </w:r>
      <w:r w:rsidR="006A657E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presente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Resolução, caso não seja</w:t>
      </w:r>
      <w:r w:rsidR="006A657E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atendido</w:t>
      </w:r>
      <w:r w:rsidR="006A657E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disposto no </w:t>
      </w:r>
      <w:r w:rsidR="00F7220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caput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no parágrafo anterior.</w:t>
      </w:r>
    </w:p>
    <w:p w:rsidR="00273424" w:rsidRPr="00454542" w:rsidRDefault="00273424" w:rsidP="0027342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B340B" w:rsidRPr="00454542" w:rsidRDefault="00007821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Seção </w:t>
      </w:r>
      <w:r w:rsidR="00DB340B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V</w:t>
      </w:r>
    </w:p>
    <w:p w:rsidR="00F51C97" w:rsidRPr="00454542" w:rsidRDefault="000D4156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 Aquisição do Produto</w:t>
      </w:r>
    </w:p>
    <w:p w:rsidR="007B11F2" w:rsidRPr="007B11F2" w:rsidRDefault="000C4EF0" w:rsidP="007B11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F7220B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8</w:t>
      </w:r>
      <w:r w:rsidR="00BC1100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BC1100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="007B11F2" w:rsidRPr="007B1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aquisição de biodiesel para uso voluntário experimental, específico ou em demais aplicações, conforme especificado no inciso IV do art. 1º da Resolução CNPE nº 03/2015 e no inciso IV, do art. 1º, da Portaria MME nº 516/2015, não deverá ser realizada por meio dos leilões de biodiesel promovidos pela ANP, devendo ser feita por compra direta 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ser efetuada </w:t>
      </w:r>
      <w:r w:rsidR="007B11F2" w:rsidRPr="007B1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obrigatoriamente de:</w:t>
      </w:r>
    </w:p>
    <w:p w:rsidR="007B11F2" w:rsidRPr="007B11F2" w:rsidRDefault="007B11F2" w:rsidP="007B11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B1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Produtor ou Distribuidor de Combustíveis Líquidos, quando se tratar de B100;</w:t>
      </w:r>
      <w:r w:rsidR="00E71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</w:t>
      </w:r>
    </w:p>
    <w:p w:rsidR="00912CDC" w:rsidRDefault="007B11F2" w:rsidP="007B11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B1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– Distribuidor de Combustíveis Líquidos, quando se tratar de mistura de biodiesel com óleo diesel.</w:t>
      </w:r>
    </w:p>
    <w:p w:rsidR="00384141" w:rsidRPr="00454542" w:rsidRDefault="00384141" w:rsidP="007B11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51C97" w:rsidRPr="00454542" w:rsidRDefault="00DB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Seção </w:t>
      </w:r>
      <w:r w:rsidR="00290A8D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V</w:t>
      </w:r>
      <w:r w:rsidR="000078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</w:t>
      </w:r>
    </w:p>
    <w:p w:rsidR="00F51C97" w:rsidRPr="00454542" w:rsidRDefault="000D4156" w:rsidP="0000782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Das obrigações </w:t>
      </w:r>
    </w:p>
    <w:p w:rsidR="00CD29AC" w:rsidRPr="00454542" w:rsidRDefault="00CD29AC" w:rsidP="00CD29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2" w:name="art4"/>
      <w:bookmarkEnd w:id="2"/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9</w:t>
      </w:r>
      <w:r w:rsidR="00C92AE8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27342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E58B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25CF1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9E58B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Distribuidor de Combustíveis Líquidos</w:t>
      </w:r>
      <w:r w:rsidR="005D299C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fica obrigado</w:t>
      </w:r>
      <w:r w:rsidR="005D299C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</w:t>
      </w:r>
      <w:r w:rsidR="0056262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guardar, por um prazo mínimo de 1 (um) ano, a contar da data d</w:t>
      </w:r>
      <w:r w:rsidR="00A66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56262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comercialização do produto, as notas fiscais e os certificados d</w:t>
      </w:r>
      <w:r w:rsidR="00A66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56262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qualidade do óleo diesel A e do biodiesel, utilizado para formulação do produto</w:t>
      </w:r>
      <w:r w:rsidR="005D299C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7D7B38" w:rsidRPr="00454542" w:rsidRDefault="0035021B" w:rsidP="007D7B3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</w:t>
      </w:r>
      <w:r w:rsidR="009F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7D7B3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óleo diesel A e o biodiesel utilizados para formulação do produto devem atender a</w:t>
      </w:r>
      <w:r w:rsidR="009F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7D7B3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especificaç</w:t>
      </w:r>
      <w:r w:rsidR="009F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ões</w:t>
      </w:r>
      <w:r w:rsidR="007D7B3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estabelecida</w:t>
      </w:r>
      <w:r w:rsidR="009F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7D7B3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pela ANP.</w:t>
      </w:r>
    </w:p>
    <w:p w:rsidR="009F7C0F" w:rsidRDefault="009E58BF" w:rsidP="00034BE8">
      <w:pPr>
        <w:pStyle w:val="Texto"/>
        <w:rPr>
          <w:rFonts w:ascii="Times New Roman" w:hAnsi="Times New Roman"/>
          <w:color w:val="000000" w:themeColor="text1"/>
          <w:sz w:val="24"/>
          <w:szCs w:val="24"/>
        </w:rPr>
      </w:pPr>
      <w:r w:rsidRPr="00454542">
        <w:rPr>
          <w:rFonts w:ascii="Times New Roman" w:hAnsi="Times New Roman"/>
          <w:b/>
          <w:color w:val="000000" w:themeColor="text1"/>
          <w:sz w:val="24"/>
          <w:szCs w:val="24"/>
        </w:rPr>
        <w:t>Art. 1</w:t>
      </w:r>
      <w:r w:rsidR="00454542" w:rsidRPr="00454542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45454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57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>O D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>istribuidor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de Combustíveis Líquidos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deverá </w:t>
      </w:r>
      <w:r w:rsidR="00C37FB9" w:rsidRPr="00454542">
        <w:rPr>
          <w:rFonts w:ascii="Times New Roman" w:hAnsi="Times New Roman"/>
          <w:color w:val="000000" w:themeColor="text1"/>
          <w:sz w:val="24"/>
          <w:szCs w:val="24"/>
        </w:rPr>
        <w:t>analisar</w:t>
      </w:r>
      <w:r w:rsidR="009F7C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14AE">
        <w:rPr>
          <w:rFonts w:ascii="Times New Roman" w:hAnsi="Times New Roman"/>
          <w:color w:val="000000" w:themeColor="text1"/>
          <w:sz w:val="24"/>
          <w:szCs w:val="24"/>
        </w:rPr>
        <w:t xml:space="preserve"> pelo menos uma vez por mês</w:t>
      </w:r>
      <w:r w:rsidR="009F7C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F72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14AE">
        <w:rPr>
          <w:rFonts w:ascii="Times New Roman" w:hAnsi="Times New Roman"/>
          <w:color w:val="000000" w:themeColor="text1"/>
          <w:sz w:val="24"/>
          <w:szCs w:val="24"/>
        </w:rPr>
        <w:t xml:space="preserve">uma amostra representativa de </w:t>
      </w:r>
      <w:r w:rsidR="005F1043">
        <w:rPr>
          <w:rFonts w:ascii="Times New Roman" w:hAnsi="Times New Roman"/>
          <w:color w:val="000000" w:themeColor="text1"/>
          <w:sz w:val="24"/>
          <w:szCs w:val="24"/>
        </w:rPr>
        <w:t>óleo diesel BX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a ser </w:t>
      </w:r>
      <w:r w:rsidR="008514AE">
        <w:rPr>
          <w:rFonts w:ascii="Times New Roman" w:hAnsi="Times New Roman"/>
          <w:color w:val="000000" w:themeColor="text1"/>
          <w:sz w:val="24"/>
          <w:szCs w:val="24"/>
        </w:rPr>
        <w:t>comercializada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>, considerando</w:t>
      </w:r>
      <w:r w:rsidR="00A6689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no mínimo</w:t>
      </w:r>
      <w:r w:rsidR="009F7C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as características exigidas na Resolução ANP nº </w:t>
      </w:r>
      <w:proofErr w:type="spellStart"/>
      <w:r w:rsidR="00034BE8" w:rsidRPr="009F7C0F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xx</w:t>
      </w:r>
      <w:proofErr w:type="spellEnd"/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514AE" w:rsidRPr="0045454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514A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514AE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e enviar </w:t>
      </w:r>
      <w:r w:rsidR="009F7C0F"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os resultados dessas análises </w:t>
      </w:r>
      <w:r w:rsidR="00034BE8" w:rsidRPr="00454542">
        <w:rPr>
          <w:rFonts w:ascii="Times New Roman" w:hAnsi="Times New Roman"/>
          <w:color w:val="000000" w:themeColor="text1"/>
          <w:sz w:val="24"/>
          <w:szCs w:val="24"/>
        </w:rPr>
        <w:t>mensalmente à ANP.</w:t>
      </w:r>
    </w:p>
    <w:p w:rsidR="00CF7274" w:rsidRDefault="00CF7274" w:rsidP="00034BE8">
      <w:pPr>
        <w:pStyle w:val="Texto"/>
        <w:rPr>
          <w:rFonts w:ascii="Times New Roman" w:hAnsi="Times New Roman"/>
          <w:color w:val="000000" w:themeColor="text1"/>
          <w:sz w:val="24"/>
          <w:szCs w:val="24"/>
        </w:rPr>
      </w:pPr>
      <w:r w:rsidRPr="00454542">
        <w:rPr>
          <w:rFonts w:ascii="Times New Roman" w:hAnsi="Times New Roman"/>
          <w:color w:val="000000" w:themeColor="text1"/>
          <w:sz w:val="24"/>
          <w:szCs w:val="24"/>
        </w:rPr>
        <w:t>§1°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caso d</w:t>
      </w:r>
      <w:r w:rsidR="00A66891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>Distribuidor de Combustíveis Líquidos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comercializar </w:t>
      </w:r>
      <w:r w:rsidR="005C7E88">
        <w:rPr>
          <w:rFonts w:ascii="Times New Roman" w:hAnsi="Times New Roman"/>
          <w:color w:val="000000" w:themeColor="text1"/>
          <w:sz w:val="24"/>
          <w:szCs w:val="24"/>
        </w:rPr>
        <w:t xml:space="preserve">óleo diesel BX com </w:t>
      </w:r>
      <w:r w:rsidR="009B01AA">
        <w:rPr>
          <w:rFonts w:ascii="Times New Roman" w:hAnsi="Times New Roman"/>
          <w:color w:val="000000" w:themeColor="text1"/>
          <w:sz w:val="24"/>
          <w:szCs w:val="24"/>
        </w:rPr>
        <w:t>mais de um teor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biodiesel, a análise da amostra</w:t>
      </w:r>
      <w:r w:rsidR="00A66891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que se refere o caput</w:t>
      </w:r>
      <w:r w:rsidR="009F7C0F">
        <w:rPr>
          <w:rFonts w:ascii="Times New Roman" w:hAnsi="Times New Roman"/>
          <w:color w:val="000000" w:themeColor="text1"/>
          <w:sz w:val="24"/>
          <w:szCs w:val="24"/>
        </w:rPr>
        <w:t xml:space="preserve"> deste artigo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deverá </w:t>
      </w:r>
      <w:r w:rsidR="005F1043">
        <w:rPr>
          <w:rFonts w:ascii="Times New Roman" w:hAnsi="Times New Roman"/>
          <w:color w:val="000000" w:themeColor="text1"/>
          <w:sz w:val="24"/>
          <w:szCs w:val="24"/>
        </w:rPr>
        <w:t xml:space="preserve">ser realizada </w:t>
      </w:r>
      <w:r w:rsidR="009B01AA">
        <w:rPr>
          <w:rFonts w:ascii="Times New Roman" w:hAnsi="Times New Roman"/>
          <w:color w:val="000000" w:themeColor="text1"/>
          <w:sz w:val="24"/>
          <w:szCs w:val="24"/>
        </w:rPr>
        <w:t>para cada</w:t>
      </w:r>
      <w:r w:rsidR="005C7E88">
        <w:rPr>
          <w:rFonts w:ascii="Times New Roman" w:hAnsi="Times New Roman"/>
          <w:color w:val="000000" w:themeColor="text1"/>
          <w:sz w:val="24"/>
          <w:szCs w:val="24"/>
        </w:rPr>
        <w:t xml:space="preserve"> diferente </w:t>
      </w:r>
      <w:r w:rsidR="009B01AA">
        <w:rPr>
          <w:rFonts w:ascii="Times New Roman" w:hAnsi="Times New Roman"/>
          <w:color w:val="000000" w:themeColor="text1"/>
          <w:sz w:val="24"/>
          <w:szCs w:val="24"/>
        </w:rPr>
        <w:t xml:space="preserve">teor </w:t>
      </w:r>
      <w:r w:rsidR="005C7E88">
        <w:rPr>
          <w:rFonts w:ascii="Times New Roman" w:hAnsi="Times New Roman"/>
          <w:color w:val="000000" w:themeColor="text1"/>
          <w:sz w:val="24"/>
          <w:szCs w:val="24"/>
        </w:rPr>
        <w:t>de biodiesel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021B" w:rsidRPr="00454542" w:rsidRDefault="0035021B" w:rsidP="0035021B">
      <w:pPr>
        <w:pStyle w:val="Texto"/>
        <w:rPr>
          <w:rFonts w:ascii="Times New Roman" w:hAnsi="Times New Roman"/>
          <w:color w:val="000000" w:themeColor="text1"/>
          <w:sz w:val="24"/>
          <w:szCs w:val="24"/>
        </w:rPr>
      </w:pPr>
      <w:r w:rsidRPr="00454542">
        <w:rPr>
          <w:rFonts w:ascii="Times New Roman" w:hAnsi="Times New Roman"/>
          <w:color w:val="000000" w:themeColor="text1"/>
          <w:sz w:val="24"/>
          <w:szCs w:val="24"/>
        </w:rPr>
        <w:t>§</w:t>
      </w:r>
      <w:r w:rsidR="00CF727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° 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O óleo diesel </w:t>
      </w:r>
      <w:r w:rsidR="005F1043">
        <w:rPr>
          <w:rFonts w:ascii="Times New Roman" w:hAnsi="Times New Roman"/>
          <w:color w:val="000000"/>
          <w:sz w:val="24"/>
          <w:szCs w:val="24"/>
        </w:rPr>
        <w:t xml:space="preserve">BX 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com teor superior a B20 </w:t>
      </w:r>
      <w:r w:rsidR="008514AE">
        <w:rPr>
          <w:rFonts w:ascii="Times New Roman" w:hAnsi="Times New Roman"/>
          <w:color w:val="000000"/>
          <w:sz w:val="24"/>
          <w:szCs w:val="24"/>
        </w:rPr>
        <w:t>e inferior ou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 igual a B30 para</w:t>
      </w:r>
      <w:r w:rsidR="009F7C0F">
        <w:rPr>
          <w:rFonts w:ascii="Times New Roman" w:hAnsi="Times New Roman"/>
          <w:color w:val="000000"/>
          <w:sz w:val="24"/>
          <w:szCs w:val="24"/>
        </w:rPr>
        <w:t xml:space="preserve"> ser utilizado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7C0F" w:rsidRPr="00454542">
        <w:rPr>
          <w:rFonts w:ascii="Times New Roman" w:hAnsi="Times New Roman"/>
          <w:color w:val="000000"/>
          <w:sz w:val="24"/>
          <w:szCs w:val="24"/>
        </w:rPr>
        <w:t>em frotas cativas ou consumidores rodoviários atendidos por ponto de abastecimento</w:t>
      </w:r>
      <w:r w:rsidR="009F7C0F">
        <w:rPr>
          <w:rFonts w:ascii="Times New Roman" w:hAnsi="Times New Roman"/>
          <w:color w:val="000000"/>
          <w:sz w:val="24"/>
          <w:szCs w:val="24"/>
        </w:rPr>
        <w:t>,</w:t>
      </w:r>
      <w:r w:rsidR="009F7C0F" w:rsidRPr="004545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7C0F">
        <w:rPr>
          <w:rFonts w:ascii="Times New Roman" w:hAnsi="Times New Roman"/>
          <w:color w:val="000000"/>
          <w:sz w:val="24"/>
          <w:szCs w:val="24"/>
        </w:rPr>
        <w:t xml:space="preserve">no caso de 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uso experimental, específico ou </w:t>
      </w:r>
      <w:r w:rsidR="008514AE">
        <w:rPr>
          <w:rFonts w:ascii="Times New Roman" w:hAnsi="Times New Roman"/>
          <w:color w:val="000000"/>
          <w:sz w:val="24"/>
          <w:szCs w:val="24"/>
        </w:rPr>
        <w:t>de</w:t>
      </w:r>
      <w:r w:rsidR="008514AE" w:rsidRPr="004545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>eventos</w:t>
      </w:r>
      <w:r w:rsidR="009F7C0F">
        <w:rPr>
          <w:rFonts w:ascii="Times New Roman" w:hAnsi="Times New Roman"/>
          <w:color w:val="000000"/>
          <w:sz w:val="24"/>
          <w:szCs w:val="24"/>
        </w:rPr>
        <w:t>,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 deverá atender a especificação contida no Regulamento Técnico ANP</w:t>
      </w:r>
      <w:r w:rsidR="00C5560A">
        <w:rPr>
          <w:rFonts w:ascii="Times New Roman" w:hAnsi="Times New Roman"/>
          <w:color w:val="000000"/>
          <w:sz w:val="24"/>
          <w:szCs w:val="24"/>
        </w:rPr>
        <w:t xml:space="preserve"> nº </w:t>
      </w:r>
      <w:proofErr w:type="spellStart"/>
      <w:r w:rsidR="00C5560A" w:rsidRPr="00C5560A">
        <w:rPr>
          <w:rFonts w:ascii="Times New Roman" w:hAnsi="Times New Roman"/>
          <w:color w:val="000000"/>
          <w:sz w:val="24"/>
          <w:szCs w:val="24"/>
          <w:highlight w:val="lightGray"/>
        </w:rPr>
        <w:t>yy</w:t>
      </w:r>
      <w:proofErr w:type="spellEnd"/>
      <w:r w:rsidR="00C5560A">
        <w:rPr>
          <w:rFonts w:ascii="Times New Roman" w:hAnsi="Times New Roman"/>
          <w:color w:val="000000"/>
          <w:sz w:val="24"/>
          <w:szCs w:val="24"/>
        </w:rPr>
        <w:t>/2016</w:t>
      </w:r>
      <w:r w:rsidR="00454542" w:rsidRPr="00454542">
        <w:rPr>
          <w:rFonts w:ascii="Times New Roman" w:hAnsi="Times New Roman"/>
          <w:color w:val="000000"/>
          <w:sz w:val="24"/>
          <w:szCs w:val="24"/>
        </w:rPr>
        <w:t xml:space="preserve">, parte integrante da Resolução ANP </w:t>
      </w:r>
      <w:proofErr w:type="spellStart"/>
      <w:r w:rsidR="00C5560A" w:rsidRPr="00C5560A">
        <w:rPr>
          <w:rFonts w:ascii="Times New Roman" w:hAnsi="Times New Roman"/>
          <w:color w:val="000000"/>
          <w:sz w:val="24"/>
          <w:szCs w:val="24"/>
          <w:highlight w:val="lightGray"/>
        </w:rPr>
        <w:t>xx</w:t>
      </w:r>
      <w:proofErr w:type="spellEnd"/>
      <w:r w:rsidR="00454542" w:rsidRPr="00454542">
        <w:rPr>
          <w:rFonts w:ascii="Times New Roman" w:hAnsi="Times New Roman"/>
          <w:color w:val="000000"/>
          <w:sz w:val="24"/>
          <w:szCs w:val="24"/>
        </w:rPr>
        <w:t>/2016.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5021B" w:rsidRPr="00454542" w:rsidRDefault="0035021B" w:rsidP="0035021B">
      <w:pPr>
        <w:pStyle w:val="Texto"/>
        <w:rPr>
          <w:rFonts w:ascii="Times New Roman" w:hAnsi="Times New Roman"/>
          <w:color w:val="000000" w:themeColor="text1"/>
          <w:sz w:val="24"/>
          <w:szCs w:val="24"/>
        </w:rPr>
      </w:pPr>
      <w:r w:rsidRPr="00454542">
        <w:rPr>
          <w:rFonts w:ascii="Times New Roman" w:hAnsi="Times New Roman"/>
          <w:color w:val="000000" w:themeColor="text1"/>
          <w:sz w:val="24"/>
          <w:szCs w:val="24"/>
        </w:rPr>
        <w:lastRenderedPageBreak/>
        <w:t>§</w:t>
      </w:r>
      <w:r w:rsidR="00CF727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° Os resultados descritos no caput deste artigo </w:t>
      </w:r>
      <w:r w:rsidR="008514AE">
        <w:rPr>
          <w:rFonts w:ascii="Times New Roman" w:hAnsi="Times New Roman"/>
          <w:color w:val="000000" w:themeColor="text1"/>
          <w:sz w:val="24"/>
          <w:szCs w:val="24"/>
        </w:rPr>
        <w:t xml:space="preserve">devem ser 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>enviados de acordo com as instruções constantes no sítio</w:t>
      </w:r>
      <w:r w:rsidR="00A66891">
        <w:rPr>
          <w:rFonts w:ascii="Times New Roman" w:hAnsi="Times New Roman"/>
          <w:color w:val="000000" w:themeColor="text1"/>
          <w:sz w:val="24"/>
          <w:szCs w:val="24"/>
        </w:rPr>
        <w:t xml:space="preserve"> eletrônico</w:t>
      </w:r>
      <w:r w:rsidRPr="00454542">
        <w:rPr>
          <w:rFonts w:ascii="Times New Roman" w:hAnsi="Times New Roman"/>
          <w:color w:val="000000" w:themeColor="text1"/>
          <w:sz w:val="24"/>
          <w:szCs w:val="24"/>
        </w:rPr>
        <w:t xml:space="preserve"> da ANP (</w:t>
      </w:r>
      <w:hyperlink r:id="rId13" w:history="1">
        <w:r w:rsidRPr="00454542">
          <w:rPr>
            <w:rFonts w:ascii="Times New Roman" w:hAnsi="Times New Roman"/>
            <w:i/>
            <w:iCs/>
            <w:color w:val="000000" w:themeColor="text1"/>
            <w:sz w:val="24"/>
            <w:szCs w:val="24"/>
          </w:rPr>
          <w:t>http://www.anp.gov.br</w:t>
        </w:r>
      </w:hyperlink>
      <w:r w:rsidRPr="00454542">
        <w:rPr>
          <w:rFonts w:ascii="Times New Roman" w:hAnsi="Times New Roman"/>
          <w:color w:val="000000" w:themeColor="text1"/>
          <w:sz w:val="24"/>
          <w:szCs w:val="24"/>
        </w:rPr>
        <w:t>), até o 15º (décimo quinto) dia do mês subsequente àquele a que se referirem os dados enviados.</w:t>
      </w:r>
    </w:p>
    <w:p w:rsidR="00A25E20" w:rsidRPr="00454542" w:rsidRDefault="00C63E1F" w:rsidP="00C63E1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C1100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273424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562627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362EB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667EF4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agente detentor da prévia anuência </w:t>
      </w:r>
      <w:r w:rsidR="00362EB7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deverá enviar </w:t>
      </w:r>
      <w:r w:rsidR="006F04FB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relatório final</w:t>
      </w:r>
      <w:r w:rsidR="001815A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E75B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contendo no mínimo os resultados dos testes constantes no plano de trabalho </w:t>
      </w:r>
      <w:r w:rsidR="001815A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até </w:t>
      </w:r>
      <w:r w:rsidR="009557C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60 </w:t>
      </w:r>
      <w:r w:rsidR="001815A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9557C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</w:t>
      </w:r>
      <w:r w:rsidR="001815A9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dias após a finalização do uso experimental. </w:t>
      </w:r>
      <w:r w:rsidR="00A25E20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C758C2" w:rsidRPr="00454542" w:rsidRDefault="00BF0666" w:rsidP="00C63E1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Parágrafo único.</w:t>
      </w:r>
      <w:r w:rsidR="00C758C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ANP emitirá </w:t>
      </w:r>
      <w:r w:rsidR="00A66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avaliação</w:t>
      </w:r>
      <w:r w:rsidR="00C758C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sobre o relatório </w:t>
      </w:r>
      <w:r w:rsidR="00083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final</w:t>
      </w:r>
      <w:r w:rsidR="00C758C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uso experimental.</w:t>
      </w:r>
    </w:p>
    <w:p w:rsidR="00BB046C" w:rsidRPr="00454542" w:rsidRDefault="001C3205" w:rsidP="00C5560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3" w:name="art5"/>
      <w:bookmarkEnd w:id="3"/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C1100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A059FD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6D50C8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27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96C1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 vedada qualquer alteração nas condições de uso</w:t>
      </w:r>
      <w:r w:rsidR="00083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experimental ou específico</w:t>
      </w:r>
      <w:r w:rsidR="00796C1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sem a </w:t>
      </w:r>
      <w:r w:rsidR="00A66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prévia e expressa autorização </w:t>
      </w:r>
      <w:r w:rsidR="00796C1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ANP</w:t>
      </w:r>
      <w:r w:rsidR="00EE6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devendo obrigatoriamente ser previamente comunicada para avaliação</w:t>
      </w:r>
      <w:r w:rsidR="00796C1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BB046C" w:rsidRPr="00454542" w:rsidRDefault="00BB046C" w:rsidP="00BB046C">
      <w:pPr>
        <w:keepNext/>
        <w:spacing w:before="10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Seção </w:t>
      </w:r>
      <w:r w:rsidR="00454542" w:rsidRPr="00454542">
        <w:rPr>
          <w:rFonts w:ascii="Times New Roman" w:eastAsia="Times New Roman" w:hAnsi="Times New Roman"/>
          <w:b/>
          <w:sz w:val="24"/>
          <w:szCs w:val="24"/>
          <w:lang w:eastAsia="pt-BR"/>
        </w:rPr>
        <w:t>VI</w:t>
      </w:r>
      <w:r w:rsidR="00007821">
        <w:rPr>
          <w:rFonts w:ascii="Times New Roman" w:eastAsia="Times New Roman" w:hAnsi="Times New Roman"/>
          <w:b/>
          <w:sz w:val="24"/>
          <w:szCs w:val="24"/>
          <w:lang w:eastAsia="pt-BR"/>
        </w:rPr>
        <w:t>I</w:t>
      </w:r>
    </w:p>
    <w:p w:rsidR="00BB046C" w:rsidRPr="00454542" w:rsidRDefault="00BB046C" w:rsidP="009F7C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/>
          <w:b/>
          <w:sz w:val="24"/>
          <w:szCs w:val="24"/>
          <w:lang w:eastAsia="pt-BR"/>
        </w:rPr>
        <w:t>Das Disposições Transitórias</w:t>
      </w:r>
    </w:p>
    <w:p w:rsidR="00BB046C" w:rsidRPr="00454542" w:rsidRDefault="00BB046C" w:rsidP="00C5560A">
      <w:pPr>
        <w:spacing w:after="3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1B5B78" w:rsidRPr="0045454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45454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A2744C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="00A66891">
        <w:rPr>
          <w:rFonts w:ascii="Times New Roman" w:eastAsia="Times New Roman" w:hAnsi="Times New Roman"/>
          <w:sz w:val="24"/>
          <w:szCs w:val="24"/>
          <w:lang w:eastAsia="pt-BR"/>
        </w:rPr>
        <w:t>Permanecem em vigor a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s autorizações vigentes de uso específico de biodiesel e de </w:t>
      </w:r>
      <w:r w:rsidR="00AF315D">
        <w:rPr>
          <w:rFonts w:ascii="Times New Roman" w:eastAsia="Times New Roman" w:hAnsi="Times New Roman"/>
          <w:sz w:val="24"/>
          <w:szCs w:val="24"/>
          <w:lang w:eastAsia="pt-BR"/>
        </w:rPr>
        <w:t>óleo diesel BX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, em teores diversos do autorizado pela legislação </w:t>
      </w:r>
      <w:r w:rsidR="0057081A">
        <w:rPr>
          <w:rFonts w:ascii="Times New Roman" w:eastAsia="Times New Roman" w:hAnsi="Times New Roman"/>
          <w:sz w:val="24"/>
          <w:szCs w:val="24"/>
          <w:lang w:eastAsia="pt-BR"/>
        </w:rPr>
        <w:t>em vigor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, outorgadas com base na Resolução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ANP n° 2, de 29 de janeiro 2008</w:t>
      </w:r>
      <w:r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A1E81" w:rsidRPr="00454542">
        <w:rPr>
          <w:rFonts w:ascii="Times New Roman" w:eastAsia="Times New Roman" w:hAnsi="Times New Roman"/>
          <w:sz w:val="24"/>
          <w:szCs w:val="24"/>
          <w:lang w:eastAsia="pt-BR"/>
        </w:rPr>
        <w:t>com os mesmos efeitos da prévia anuência estabelecida nesta Resolução</w:t>
      </w:r>
      <w:r w:rsidR="00FD38B7"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, inclusive no que se refere </w:t>
      </w:r>
      <w:r w:rsidR="00454542" w:rsidRPr="00454542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="00FD38B7" w:rsidRPr="00454542">
        <w:rPr>
          <w:rFonts w:ascii="Times New Roman" w:eastAsia="Times New Roman" w:hAnsi="Times New Roman"/>
          <w:sz w:val="24"/>
          <w:szCs w:val="24"/>
          <w:lang w:eastAsia="pt-BR"/>
        </w:rPr>
        <w:t xml:space="preserve"> aquisição do biodiesel.</w:t>
      </w:r>
    </w:p>
    <w:p w:rsidR="00F51C97" w:rsidRPr="00454542" w:rsidRDefault="000D4156" w:rsidP="009F7C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bookmarkStart w:id="4" w:name="art6"/>
      <w:bookmarkStart w:id="5" w:name="art7"/>
      <w:bookmarkEnd w:id="4"/>
      <w:bookmarkEnd w:id="5"/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Seção V</w:t>
      </w:r>
      <w:r w:rsidR="00DB340B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</w:t>
      </w:r>
      <w:r w:rsidR="000078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</w:t>
      </w:r>
    </w:p>
    <w:p w:rsidR="00F51C97" w:rsidRPr="00454542" w:rsidRDefault="000D4156" w:rsidP="009F7C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Das Disposições Finais</w:t>
      </w:r>
    </w:p>
    <w:p w:rsidR="00A059FD" w:rsidRPr="00454542" w:rsidRDefault="00A059FD" w:rsidP="00A059F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1B5B78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454542" w:rsidRPr="00A27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ANP poderá solicitar </w:t>
      </w:r>
      <w:r w:rsidR="00570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documentos e informações complementares que considerar necessários para </w:t>
      </w:r>
      <w:r w:rsidR="00570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análise da solicitação </w:t>
      </w:r>
      <w:r w:rsidR="00A0535F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prévia anuência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1C3205" w:rsidRPr="00454542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</w:t>
      </w:r>
      <w:r w:rsidR="00A059FD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B5B78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5</w:t>
      </w:r>
      <w:r w:rsidR="00A059FD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54542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não atendimento ao estabelecido na presente Resolução sujeita os infratores às sanções administrativas previstas na Lei nº </w:t>
      </w:r>
      <w:hyperlink r:id="rId14" w:history="1">
        <w:r w:rsidRPr="00454542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  <w:lang w:eastAsia="pt-BR"/>
          </w:rPr>
          <w:t>9.847</w:t>
        </w:r>
      </w:hyperlink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26 de outubro de 1999, alterada pela Lei nº </w:t>
      </w:r>
      <w:hyperlink r:id="rId15" w:history="1">
        <w:r w:rsidRPr="00454542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u w:val="single"/>
            <w:lang w:eastAsia="pt-BR"/>
          </w:rPr>
          <w:t>11.097</w:t>
        </w:r>
      </w:hyperlink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13 de janeiro de 2005, sem prejuízo das penalidades de natureza civil e penal.</w:t>
      </w:r>
    </w:p>
    <w:p w:rsidR="001C3205" w:rsidRPr="00454542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</w:t>
      </w:r>
      <w:r w:rsidR="00AD4806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BC1100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6</w:t>
      </w:r>
      <w:r w:rsidR="00A059FD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="00454542" w:rsidRPr="00A274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A27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casos não contemplados nesta Resolução serão analisados pela Diretoria da ANP.</w:t>
      </w:r>
    </w:p>
    <w:p w:rsidR="00290A8D" w:rsidRPr="00454542" w:rsidRDefault="001C3205" w:rsidP="001C320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BC1100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</w:t>
      </w:r>
      <w:r w:rsidR="00454542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7</w:t>
      </w:r>
      <w:r w:rsidR="00A059FD" w:rsidRPr="00454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  <w:r w:rsidR="00454542" w:rsidRPr="00A274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A059FD" w:rsidRPr="00A274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290A8D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Ficam revogadas as Resoluções ANP </w:t>
      </w:r>
      <w:r w:rsidR="0073342D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nº 18, de 22 de junho de 2007, e</w:t>
      </w:r>
      <w:r w:rsidR="00290A8D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n° 2, de 29 de janeiro 2008.</w:t>
      </w:r>
    </w:p>
    <w:p w:rsidR="00AD4806" w:rsidRPr="00454542" w:rsidRDefault="000D4156" w:rsidP="00AD480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7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454542"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18</w:t>
      </w:r>
      <w:r w:rsidRPr="00454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454542" w:rsidRPr="00A27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90A8D" w:rsidRPr="00A27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C3205" w:rsidRPr="00454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 Resolução entra em vigor na data de sua publicação.</w:t>
      </w:r>
    </w:p>
    <w:p w:rsidR="001C3205" w:rsidRPr="00454542" w:rsidRDefault="002B7930" w:rsidP="009F7C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72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454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MAGDA MARIA DE REGINA CHAMBRIARD</w:t>
      </w:r>
    </w:p>
    <w:p w:rsidR="001C3205" w:rsidRPr="00AF5213" w:rsidRDefault="001C3205" w:rsidP="003841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3205" w:rsidRPr="00AF5213" w:rsidSect="0038414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91" w:rsidRDefault="00A66891" w:rsidP="00936E61">
      <w:pPr>
        <w:spacing w:after="0" w:line="240" w:lineRule="auto"/>
      </w:pPr>
      <w:r>
        <w:separator/>
      </w:r>
    </w:p>
  </w:endnote>
  <w:endnote w:type="continuationSeparator" w:id="0">
    <w:p w:rsidR="00A66891" w:rsidRDefault="00A66891" w:rsidP="0093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91" w:rsidRDefault="00A66891" w:rsidP="00936E61">
      <w:pPr>
        <w:spacing w:after="0" w:line="240" w:lineRule="auto"/>
      </w:pPr>
      <w:r>
        <w:separator/>
      </w:r>
    </w:p>
  </w:footnote>
  <w:footnote w:type="continuationSeparator" w:id="0">
    <w:p w:rsidR="00A66891" w:rsidRDefault="00A66891" w:rsidP="0093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D07"/>
    <w:multiLevelType w:val="hybridMultilevel"/>
    <w:tmpl w:val="83F021E0"/>
    <w:lvl w:ilvl="0" w:tplc="385221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650DA"/>
    <w:multiLevelType w:val="hybridMultilevel"/>
    <w:tmpl w:val="C0669D52"/>
    <w:lvl w:ilvl="0" w:tplc="9604B7D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205"/>
    <w:rsid w:val="0000096C"/>
    <w:rsid w:val="00007821"/>
    <w:rsid w:val="00014F3A"/>
    <w:rsid w:val="000247E8"/>
    <w:rsid w:val="000300B4"/>
    <w:rsid w:val="00030C8C"/>
    <w:rsid w:val="00032EA0"/>
    <w:rsid w:val="00034BE8"/>
    <w:rsid w:val="00035F68"/>
    <w:rsid w:val="000427D7"/>
    <w:rsid w:val="000445A9"/>
    <w:rsid w:val="00050239"/>
    <w:rsid w:val="0005155A"/>
    <w:rsid w:val="00054FB3"/>
    <w:rsid w:val="00062C8F"/>
    <w:rsid w:val="00063514"/>
    <w:rsid w:val="00071FA8"/>
    <w:rsid w:val="00072361"/>
    <w:rsid w:val="000818CE"/>
    <w:rsid w:val="00082A02"/>
    <w:rsid w:val="00083758"/>
    <w:rsid w:val="00090FEA"/>
    <w:rsid w:val="000910EA"/>
    <w:rsid w:val="000B7FBC"/>
    <w:rsid w:val="000C4EF0"/>
    <w:rsid w:val="000D4156"/>
    <w:rsid w:val="000E42E9"/>
    <w:rsid w:val="000F0756"/>
    <w:rsid w:val="001129CA"/>
    <w:rsid w:val="001131B6"/>
    <w:rsid w:val="00125BB5"/>
    <w:rsid w:val="00134215"/>
    <w:rsid w:val="0013430A"/>
    <w:rsid w:val="00150CB3"/>
    <w:rsid w:val="0015135B"/>
    <w:rsid w:val="00162951"/>
    <w:rsid w:val="001815A9"/>
    <w:rsid w:val="00181951"/>
    <w:rsid w:val="00184015"/>
    <w:rsid w:val="0018409D"/>
    <w:rsid w:val="00192199"/>
    <w:rsid w:val="00194DDB"/>
    <w:rsid w:val="001A1E81"/>
    <w:rsid w:val="001A7738"/>
    <w:rsid w:val="001B5B78"/>
    <w:rsid w:val="001B6E6F"/>
    <w:rsid w:val="001C166A"/>
    <w:rsid w:val="001C3205"/>
    <w:rsid w:val="001C3908"/>
    <w:rsid w:val="001C43C0"/>
    <w:rsid w:val="001D054A"/>
    <w:rsid w:val="001D143C"/>
    <w:rsid w:val="001D1AEE"/>
    <w:rsid w:val="001E377F"/>
    <w:rsid w:val="001F6F3C"/>
    <w:rsid w:val="00202CEA"/>
    <w:rsid w:val="00204673"/>
    <w:rsid w:val="00211E8F"/>
    <w:rsid w:val="0021416D"/>
    <w:rsid w:val="00217DAD"/>
    <w:rsid w:val="002262B9"/>
    <w:rsid w:val="0024601F"/>
    <w:rsid w:val="00247510"/>
    <w:rsid w:val="0025028F"/>
    <w:rsid w:val="00253ED8"/>
    <w:rsid w:val="00256BA7"/>
    <w:rsid w:val="002575A3"/>
    <w:rsid w:val="0027129B"/>
    <w:rsid w:val="00273424"/>
    <w:rsid w:val="002774F7"/>
    <w:rsid w:val="00290A8D"/>
    <w:rsid w:val="0029631E"/>
    <w:rsid w:val="0029725C"/>
    <w:rsid w:val="002B6383"/>
    <w:rsid w:val="002B7930"/>
    <w:rsid w:val="002E2D82"/>
    <w:rsid w:val="002F504B"/>
    <w:rsid w:val="003134C6"/>
    <w:rsid w:val="00333CD4"/>
    <w:rsid w:val="0035021B"/>
    <w:rsid w:val="003560CF"/>
    <w:rsid w:val="00362EB7"/>
    <w:rsid w:val="00371F4D"/>
    <w:rsid w:val="003744C8"/>
    <w:rsid w:val="00376E3B"/>
    <w:rsid w:val="00384141"/>
    <w:rsid w:val="003847B6"/>
    <w:rsid w:val="003903CA"/>
    <w:rsid w:val="0039060A"/>
    <w:rsid w:val="0039253F"/>
    <w:rsid w:val="00397DCB"/>
    <w:rsid w:val="003A7C32"/>
    <w:rsid w:val="003B1CA5"/>
    <w:rsid w:val="003E2CA4"/>
    <w:rsid w:val="003F24EF"/>
    <w:rsid w:val="003F5CD1"/>
    <w:rsid w:val="004113D6"/>
    <w:rsid w:val="00411937"/>
    <w:rsid w:val="00417D7C"/>
    <w:rsid w:val="00430BA3"/>
    <w:rsid w:val="00441906"/>
    <w:rsid w:val="00443CA0"/>
    <w:rsid w:val="0045133A"/>
    <w:rsid w:val="00454542"/>
    <w:rsid w:val="0046285B"/>
    <w:rsid w:val="00462AF9"/>
    <w:rsid w:val="00471F37"/>
    <w:rsid w:val="00472755"/>
    <w:rsid w:val="00480FA6"/>
    <w:rsid w:val="0048457F"/>
    <w:rsid w:val="004A0C93"/>
    <w:rsid w:val="004A4266"/>
    <w:rsid w:val="004A5604"/>
    <w:rsid w:val="004A7001"/>
    <w:rsid w:val="004A726B"/>
    <w:rsid w:val="004C33A9"/>
    <w:rsid w:val="004C46D4"/>
    <w:rsid w:val="004C7FF7"/>
    <w:rsid w:val="004D5B46"/>
    <w:rsid w:val="004F26DF"/>
    <w:rsid w:val="00531EDA"/>
    <w:rsid w:val="00535C88"/>
    <w:rsid w:val="00550C3C"/>
    <w:rsid w:val="00550FF9"/>
    <w:rsid w:val="0055599E"/>
    <w:rsid w:val="005559AD"/>
    <w:rsid w:val="00562627"/>
    <w:rsid w:val="0056531F"/>
    <w:rsid w:val="00570193"/>
    <w:rsid w:val="0057081A"/>
    <w:rsid w:val="00575949"/>
    <w:rsid w:val="005768FD"/>
    <w:rsid w:val="0058046C"/>
    <w:rsid w:val="005823CC"/>
    <w:rsid w:val="0058254A"/>
    <w:rsid w:val="00586F05"/>
    <w:rsid w:val="0059104D"/>
    <w:rsid w:val="00595F22"/>
    <w:rsid w:val="005A580F"/>
    <w:rsid w:val="005C3929"/>
    <w:rsid w:val="005C54DF"/>
    <w:rsid w:val="005C7A87"/>
    <w:rsid w:val="005C7E88"/>
    <w:rsid w:val="005D299C"/>
    <w:rsid w:val="005D3002"/>
    <w:rsid w:val="005E3206"/>
    <w:rsid w:val="005E382B"/>
    <w:rsid w:val="005F1043"/>
    <w:rsid w:val="00611555"/>
    <w:rsid w:val="00611EF8"/>
    <w:rsid w:val="0061372B"/>
    <w:rsid w:val="00617D70"/>
    <w:rsid w:val="00624C56"/>
    <w:rsid w:val="00632D7A"/>
    <w:rsid w:val="00632DE7"/>
    <w:rsid w:val="00645165"/>
    <w:rsid w:val="006559E8"/>
    <w:rsid w:val="006631C0"/>
    <w:rsid w:val="00667EF4"/>
    <w:rsid w:val="006746A4"/>
    <w:rsid w:val="00680377"/>
    <w:rsid w:val="006950A8"/>
    <w:rsid w:val="006A15E5"/>
    <w:rsid w:val="006A657E"/>
    <w:rsid w:val="006B1E0C"/>
    <w:rsid w:val="006C43D4"/>
    <w:rsid w:val="006C572F"/>
    <w:rsid w:val="006C6B60"/>
    <w:rsid w:val="006D3561"/>
    <w:rsid w:val="006D50C8"/>
    <w:rsid w:val="006D554F"/>
    <w:rsid w:val="006D6CC3"/>
    <w:rsid w:val="006E628D"/>
    <w:rsid w:val="006F04FB"/>
    <w:rsid w:val="006F0EB0"/>
    <w:rsid w:val="00701AF9"/>
    <w:rsid w:val="0071780A"/>
    <w:rsid w:val="007245AA"/>
    <w:rsid w:val="0073101B"/>
    <w:rsid w:val="0073342D"/>
    <w:rsid w:val="00735BA6"/>
    <w:rsid w:val="00742538"/>
    <w:rsid w:val="0075359F"/>
    <w:rsid w:val="00754EB7"/>
    <w:rsid w:val="00757CF9"/>
    <w:rsid w:val="00763DE0"/>
    <w:rsid w:val="0076523C"/>
    <w:rsid w:val="00767644"/>
    <w:rsid w:val="007721B7"/>
    <w:rsid w:val="007910B1"/>
    <w:rsid w:val="00796C15"/>
    <w:rsid w:val="007A325D"/>
    <w:rsid w:val="007A69CB"/>
    <w:rsid w:val="007A7E7D"/>
    <w:rsid w:val="007B11F2"/>
    <w:rsid w:val="007B2751"/>
    <w:rsid w:val="007B480E"/>
    <w:rsid w:val="007C067B"/>
    <w:rsid w:val="007C35C2"/>
    <w:rsid w:val="007C4E9D"/>
    <w:rsid w:val="007D5B7B"/>
    <w:rsid w:val="007D7B38"/>
    <w:rsid w:val="007D7E3F"/>
    <w:rsid w:val="007E0AC6"/>
    <w:rsid w:val="007E1570"/>
    <w:rsid w:val="007E75F6"/>
    <w:rsid w:val="007F03B4"/>
    <w:rsid w:val="007F1D80"/>
    <w:rsid w:val="007F4979"/>
    <w:rsid w:val="007F6EFC"/>
    <w:rsid w:val="00806293"/>
    <w:rsid w:val="008125A4"/>
    <w:rsid w:val="00813DAD"/>
    <w:rsid w:val="008225C8"/>
    <w:rsid w:val="008248B7"/>
    <w:rsid w:val="00824A22"/>
    <w:rsid w:val="0082523C"/>
    <w:rsid w:val="00832E90"/>
    <w:rsid w:val="00833A18"/>
    <w:rsid w:val="0083464E"/>
    <w:rsid w:val="00842023"/>
    <w:rsid w:val="0084374E"/>
    <w:rsid w:val="008514AE"/>
    <w:rsid w:val="00872CD4"/>
    <w:rsid w:val="008747C8"/>
    <w:rsid w:val="00885E3B"/>
    <w:rsid w:val="008870B0"/>
    <w:rsid w:val="00893A24"/>
    <w:rsid w:val="00897452"/>
    <w:rsid w:val="008A317A"/>
    <w:rsid w:val="008B4D35"/>
    <w:rsid w:val="008B57EF"/>
    <w:rsid w:val="008B6C9A"/>
    <w:rsid w:val="008C1E63"/>
    <w:rsid w:val="008E7915"/>
    <w:rsid w:val="008F273D"/>
    <w:rsid w:val="008F33A5"/>
    <w:rsid w:val="009066F7"/>
    <w:rsid w:val="009111EF"/>
    <w:rsid w:val="00912CDC"/>
    <w:rsid w:val="00922150"/>
    <w:rsid w:val="0092323D"/>
    <w:rsid w:val="009300C5"/>
    <w:rsid w:val="00932638"/>
    <w:rsid w:val="00936E61"/>
    <w:rsid w:val="009505EE"/>
    <w:rsid w:val="00953E3D"/>
    <w:rsid w:val="009557C8"/>
    <w:rsid w:val="009633C0"/>
    <w:rsid w:val="00966EB7"/>
    <w:rsid w:val="0097412A"/>
    <w:rsid w:val="00980A99"/>
    <w:rsid w:val="00981750"/>
    <w:rsid w:val="00996DD1"/>
    <w:rsid w:val="009B01AA"/>
    <w:rsid w:val="009B2406"/>
    <w:rsid w:val="009B2EB8"/>
    <w:rsid w:val="009B2F8D"/>
    <w:rsid w:val="009B4141"/>
    <w:rsid w:val="009B71E9"/>
    <w:rsid w:val="009B7E43"/>
    <w:rsid w:val="009C4A2B"/>
    <w:rsid w:val="009C4D57"/>
    <w:rsid w:val="009C6FE0"/>
    <w:rsid w:val="009D1CFE"/>
    <w:rsid w:val="009D5FB4"/>
    <w:rsid w:val="009D65DF"/>
    <w:rsid w:val="009E0333"/>
    <w:rsid w:val="009E58BF"/>
    <w:rsid w:val="009F6200"/>
    <w:rsid w:val="009F7C0F"/>
    <w:rsid w:val="00A019FA"/>
    <w:rsid w:val="00A0535F"/>
    <w:rsid w:val="00A059FD"/>
    <w:rsid w:val="00A06F77"/>
    <w:rsid w:val="00A17B07"/>
    <w:rsid w:val="00A234D5"/>
    <w:rsid w:val="00A25CF1"/>
    <w:rsid w:val="00A25E20"/>
    <w:rsid w:val="00A2625A"/>
    <w:rsid w:val="00A2744C"/>
    <w:rsid w:val="00A30C33"/>
    <w:rsid w:val="00A3314F"/>
    <w:rsid w:val="00A36CB6"/>
    <w:rsid w:val="00A66891"/>
    <w:rsid w:val="00A833CB"/>
    <w:rsid w:val="00A946A1"/>
    <w:rsid w:val="00AA5F47"/>
    <w:rsid w:val="00AB3F10"/>
    <w:rsid w:val="00AB515E"/>
    <w:rsid w:val="00AC11FC"/>
    <w:rsid w:val="00AC5B78"/>
    <w:rsid w:val="00AC7D2B"/>
    <w:rsid w:val="00AD4806"/>
    <w:rsid w:val="00AE7B15"/>
    <w:rsid w:val="00AF315D"/>
    <w:rsid w:val="00AF5213"/>
    <w:rsid w:val="00AF6567"/>
    <w:rsid w:val="00B03792"/>
    <w:rsid w:val="00B13323"/>
    <w:rsid w:val="00B13664"/>
    <w:rsid w:val="00B317F1"/>
    <w:rsid w:val="00B33012"/>
    <w:rsid w:val="00B5320E"/>
    <w:rsid w:val="00B80466"/>
    <w:rsid w:val="00B81F94"/>
    <w:rsid w:val="00B8254A"/>
    <w:rsid w:val="00B82713"/>
    <w:rsid w:val="00BB046C"/>
    <w:rsid w:val="00BB4CCC"/>
    <w:rsid w:val="00BB634C"/>
    <w:rsid w:val="00BB6499"/>
    <w:rsid w:val="00BC1100"/>
    <w:rsid w:val="00BC23C5"/>
    <w:rsid w:val="00BC659D"/>
    <w:rsid w:val="00BF0666"/>
    <w:rsid w:val="00BF4BE0"/>
    <w:rsid w:val="00BF7A08"/>
    <w:rsid w:val="00C018D7"/>
    <w:rsid w:val="00C054BB"/>
    <w:rsid w:val="00C11A21"/>
    <w:rsid w:val="00C13101"/>
    <w:rsid w:val="00C36C0C"/>
    <w:rsid w:val="00C37FB9"/>
    <w:rsid w:val="00C43E87"/>
    <w:rsid w:val="00C5560A"/>
    <w:rsid w:val="00C57747"/>
    <w:rsid w:val="00C63E1F"/>
    <w:rsid w:val="00C64420"/>
    <w:rsid w:val="00C67F60"/>
    <w:rsid w:val="00C70BC1"/>
    <w:rsid w:val="00C758C2"/>
    <w:rsid w:val="00C77BB5"/>
    <w:rsid w:val="00C86A7C"/>
    <w:rsid w:val="00C92AE8"/>
    <w:rsid w:val="00C92B1F"/>
    <w:rsid w:val="00CA7C05"/>
    <w:rsid w:val="00CB67D5"/>
    <w:rsid w:val="00CB6FA7"/>
    <w:rsid w:val="00CC14DD"/>
    <w:rsid w:val="00CC3F1B"/>
    <w:rsid w:val="00CC416B"/>
    <w:rsid w:val="00CC5EF2"/>
    <w:rsid w:val="00CC7734"/>
    <w:rsid w:val="00CD29AC"/>
    <w:rsid w:val="00CE615A"/>
    <w:rsid w:val="00CE75B9"/>
    <w:rsid w:val="00CF400C"/>
    <w:rsid w:val="00CF7274"/>
    <w:rsid w:val="00D03267"/>
    <w:rsid w:val="00D05ACC"/>
    <w:rsid w:val="00D134BF"/>
    <w:rsid w:val="00D13504"/>
    <w:rsid w:val="00D16ECB"/>
    <w:rsid w:val="00D253CE"/>
    <w:rsid w:val="00D2568B"/>
    <w:rsid w:val="00D31427"/>
    <w:rsid w:val="00D535C5"/>
    <w:rsid w:val="00D6048E"/>
    <w:rsid w:val="00D8278F"/>
    <w:rsid w:val="00D95B1A"/>
    <w:rsid w:val="00DA6323"/>
    <w:rsid w:val="00DB2704"/>
    <w:rsid w:val="00DB340B"/>
    <w:rsid w:val="00DC07CC"/>
    <w:rsid w:val="00DE355A"/>
    <w:rsid w:val="00DE4D8B"/>
    <w:rsid w:val="00DF16E0"/>
    <w:rsid w:val="00DF7C4A"/>
    <w:rsid w:val="00E008DD"/>
    <w:rsid w:val="00E10B13"/>
    <w:rsid w:val="00E15D11"/>
    <w:rsid w:val="00E21959"/>
    <w:rsid w:val="00E22F07"/>
    <w:rsid w:val="00E26378"/>
    <w:rsid w:val="00E33A10"/>
    <w:rsid w:val="00E354A5"/>
    <w:rsid w:val="00E42747"/>
    <w:rsid w:val="00E43D07"/>
    <w:rsid w:val="00E518FD"/>
    <w:rsid w:val="00E71623"/>
    <w:rsid w:val="00E73124"/>
    <w:rsid w:val="00E775B3"/>
    <w:rsid w:val="00E81385"/>
    <w:rsid w:val="00E87A5C"/>
    <w:rsid w:val="00E91756"/>
    <w:rsid w:val="00E92158"/>
    <w:rsid w:val="00EB09E6"/>
    <w:rsid w:val="00EB10EB"/>
    <w:rsid w:val="00EB282C"/>
    <w:rsid w:val="00EB2C38"/>
    <w:rsid w:val="00EB542A"/>
    <w:rsid w:val="00ED063C"/>
    <w:rsid w:val="00EE1186"/>
    <w:rsid w:val="00EE410E"/>
    <w:rsid w:val="00EE6D50"/>
    <w:rsid w:val="00EE72D7"/>
    <w:rsid w:val="00F275AC"/>
    <w:rsid w:val="00F317CA"/>
    <w:rsid w:val="00F32162"/>
    <w:rsid w:val="00F3259E"/>
    <w:rsid w:val="00F33A8D"/>
    <w:rsid w:val="00F37801"/>
    <w:rsid w:val="00F44440"/>
    <w:rsid w:val="00F46F91"/>
    <w:rsid w:val="00F51C97"/>
    <w:rsid w:val="00F57141"/>
    <w:rsid w:val="00F60A7C"/>
    <w:rsid w:val="00F67708"/>
    <w:rsid w:val="00F7220B"/>
    <w:rsid w:val="00F84BC9"/>
    <w:rsid w:val="00FD14E0"/>
    <w:rsid w:val="00FD38B7"/>
    <w:rsid w:val="00FD508E"/>
    <w:rsid w:val="00FD6D60"/>
    <w:rsid w:val="00FE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56"/>
  </w:style>
  <w:style w:type="paragraph" w:styleId="Ttulo1">
    <w:name w:val="heading 1"/>
    <w:basedOn w:val="Normal"/>
    <w:next w:val="Normal"/>
    <w:link w:val="Ttulo1Char"/>
    <w:uiPriority w:val="9"/>
    <w:qFormat/>
    <w:rsid w:val="001C3205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205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3205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1C3205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Norma">
    <w:name w:val="Norma"/>
    <w:rsid w:val="001C3205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1C320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FB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95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5B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5B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5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5B1A"/>
    <w:rPr>
      <w:b/>
      <w:bCs/>
    </w:rPr>
  </w:style>
  <w:style w:type="paragraph" w:styleId="PargrafodaLista">
    <w:name w:val="List Paragraph"/>
    <w:basedOn w:val="Normal"/>
    <w:uiPriority w:val="34"/>
    <w:qFormat/>
    <w:rsid w:val="0013430A"/>
    <w:pPr>
      <w:ind w:left="720"/>
      <w:contextualSpacing/>
    </w:pPr>
  </w:style>
  <w:style w:type="table" w:styleId="Tabelacomgrade">
    <w:name w:val="Table Grid"/>
    <w:basedOn w:val="Tabelanormal"/>
    <w:uiPriority w:val="59"/>
    <w:rsid w:val="00F5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F33A8D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36E6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36E6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36E6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E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E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6E61"/>
    <w:rPr>
      <w:vertAlign w:val="superscript"/>
    </w:rPr>
  </w:style>
  <w:style w:type="paragraph" w:customStyle="1" w:styleId="Default">
    <w:name w:val="Default"/>
    <w:rsid w:val="00F72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np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xt.anp.gov.br/nxt/gateway.dll?f=id$id=Lei%2011.097%20-%2020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xt.anp.gov.br/nxt/gateway.dll/leg/leis/nxt/gateway.dll?f=id$id=Lei%209.478%20-%201997" TargetMode="External"/><Relationship Id="rId5" Type="http://schemas.openxmlformats.org/officeDocument/2006/relationships/styles" Target="styles.xml"/><Relationship Id="rId15" Type="http://schemas.openxmlformats.org/officeDocument/2006/relationships/hyperlink" Target="http://nxt.anp.gov.br/NXT/gateway.dll?f=id$id=Lei%2011.097%20-%202005" TargetMode="External"/><Relationship Id="rId10" Type="http://schemas.openxmlformats.org/officeDocument/2006/relationships/hyperlink" Target="http://nxt.anp.gov.br/nxt/gateway.dll/leg/portarias_anp/nxt/gateway.dll?f=id$id=PANP%2069%20-%202011$an=art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nxt.anp.gov.br/NXT/gateway.dll?f=id$id=Lei%209.847%20-%2019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10DB-A9BE-432E-8122-3FB87C805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F6652-317F-49F3-9CF6-62F3E92CA2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8B582-0527-4B6E-8043-7E8D9B6E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1662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pmendes</cp:lastModifiedBy>
  <cp:revision>4</cp:revision>
  <cp:lastPrinted>2015-12-21T18:23:00Z</cp:lastPrinted>
  <dcterms:created xsi:type="dcterms:W3CDTF">2016-04-25T13:52:00Z</dcterms:created>
  <dcterms:modified xsi:type="dcterms:W3CDTF">2016-04-25T14:26:00Z</dcterms:modified>
</cp:coreProperties>
</file>