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FB" w:rsidRPr="00176FA7" w:rsidRDefault="006348FB" w:rsidP="006348FB">
      <w:pPr>
        <w:jc w:val="center"/>
        <w:rPr>
          <w:rFonts w:ascii="Times New Roman" w:hAnsi="Times New Roman" w:cs="Times New Roman"/>
          <w:b/>
        </w:rPr>
      </w:pPr>
      <w:r w:rsidRPr="00176FA7">
        <w:rPr>
          <w:rFonts w:ascii="Times New Roman" w:hAnsi="Times New Roman" w:cs="Times New Roman"/>
          <w:b/>
        </w:rPr>
        <w:t>D E S P A C H O</w:t>
      </w:r>
    </w:p>
    <w:p w:rsidR="00176FA7" w:rsidRPr="00176FA7" w:rsidRDefault="00176FA7" w:rsidP="008846B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176FA7" w:rsidRDefault="004B60D5" w:rsidP="00176FA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Minuta de Resolução que consta às fls</w:t>
      </w:r>
      <w:r w:rsidR="00ED00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1155 a 1173 deste Processo foi submetida à análise da Procuradoria Geral junto à ANP como parte da tramitação na Proposta de Ação Nº 893/2015. </w:t>
      </w:r>
      <w:r w:rsidR="001B045E">
        <w:rPr>
          <w:rFonts w:ascii="Times New Roman" w:hAnsi="Times New Roman" w:cs="Times New Roman"/>
        </w:rPr>
        <w:t>Es</w:t>
      </w:r>
      <w:r w:rsidR="00831C5A">
        <w:rPr>
          <w:rFonts w:ascii="Times New Roman" w:hAnsi="Times New Roman" w:cs="Times New Roman"/>
        </w:rPr>
        <w:t>te</w:t>
      </w:r>
      <w:r w:rsidR="001B045E">
        <w:rPr>
          <w:rFonts w:ascii="Times New Roman" w:hAnsi="Times New Roman" w:cs="Times New Roman"/>
        </w:rPr>
        <w:t xml:space="preserve"> despacho visa documentar e dar transparência </w:t>
      </w:r>
      <w:r>
        <w:rPr>
          <w:rFonts w:ascii="Times New Roman" w:hAnsi="Times New Roman" w:cs="Times New Roman"/>
        </w:rPr>
        <w:t>às alterações realizadas na Minuta de R</w:t>
      </w:r>
      <w:r w:rsidR="00501FA9">
        <w:rPr>
          <w:rFonts w:ascii="Times New Roman" w:hAnsi="Times New Roman" w:cs="Times New Roman"/>
        </w:rPr>
        <w:t xml:space="preserve">esolução após </w:t>
      </w:r>
      <w:r w:rsidR="00D4136A">
        <w:rPr>
          <w:rFonts w:ascii="Times New Roman" w:hAnsi="Times New Roman" w:cs="Times New Roman"/>
        </w:rPr>
        <w:t>a emissão d</w:t>
      </w:r>
      <w:r w:rsidR="00501FA9">
        <w:rPr>
          <w:rFonts w:ascii="Times New Roman" w:hAnsi="Times New Roman" w:cs="Times New Roman"/>
        </w:rPr>
        <w:t>o Parecer da Procuradoria, sendo estas:</w:t>
      </w:r>
      <w:r>
        <w:rPr>
          <w:rFonts w:ascii="Times New Roman" w:hAnsi="Times New Roman" w:cs="Times New Roman"/>
        </w:rPr>
        <w:t xml:space="preserve"> </w:t>
      </w:r>
    </w:p>
    <w:p w:rsidR="00D4136A" w:rsidRPr="00D4136A" w:rsidRDefault="00D4136A" w:rsidP="00501FA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sz w:val="22"/>
          <w:szCs w:val="22"/>
        </w:rPr>
      </w:pPr>
      <w:r w:rsidRPr="00D4136A">
        <w:rPr>
          <w:sz w:val="22"/>
          <w:szCs w:val="22"/>
        </w:rPr>
        <w:t>De forma a atender à orientação recebida pela CCL no Parecer Nº 491/2015/PF-ANP/PGF/AGU,</w:t>
      </w:r>
      <w:r>
        <w:rPr>
          <w:sz w:val="22"/>
          <w:szCs w:val="22"/>
        </w:rPr>
        <w:t xml:space="preserve"> </w:t>
      </w:r>
      <w:r w:rsidR="00CB1D9C">
        <w:rPr>
          <w:sz w:val="22"/>
          <w:szCs w:val="22"/>
        </w:rPr>
        <w:t>al</w:t>
      </w:r>
      <w:r w:rsidR="00831C5A" w:rsidRPr="00D4136A">
        <w:rPr>
          <w:sz w:val="22"/>
          <w:szCs w:val="22"/>
        </w:rPr>
        <w:t xml:space="preserve">terar a redação do § 2º do Art. 29 </w:t>
      </w:r>
      <w:r w:rsidRPr="00D4136A">
        <w:rPr>
          <w:sz w:val="22"/>
          <w:szCs w:val="22"/>
        </w:rPr>
        <w:t>para o seguinte texto:</w:t>
      </w:r>
    </w:p>
    <w:p w:rsidR="0029096E" w:rsidRPr="0029096E" w:rsidRDefault="0029096E" w:rsidP="00CB1D9C">
      <w:pPr>
        <w:pStyle w:val="PargrafodaLista"/>
        <w:spacing w:before="240" w:after="240" w:line="360" w:lineRule="auto"/>
        <w:jc w:val="both"/>
        <w:rPr>
          <w:sz w:val="10"/>
          <w:szCs w:val="10"/>
        </w:rPr>
      </w:pPr>
    </w:p>
    <w:p w:rsidR="00D4136A" w:rsidRPr="00CB1D9C" w:rsidRDefault="00CB1D9C" w:rsidP="00CB1D9C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Pr="00CB1D9C">
        <w:rPr>
          <w:sz w:val="22"/>
          <w:szCs w:val="22"/>
        </w:rPr>
        <w:t>§ 2º O valor da multa sofrerá as atualizações e acréscimos previstos na legislação em vigor para créditos da fazenda pública”.</w:t>
      </w:r>
    </w:p>
    <w:p w:rsidR="00CB1D9C" w:rsidRDefault="00CB1D9C" w:rsidP="00CB1D9C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</w:p>
    <w:p w:rsidR="00831C5A" w:rsidRDefault="00831C5A" w:rsidP="00501FA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sz w:val="22"/>
          <w:szCs w:val="22"/>
        </w:rPr>
      </w:pPr>
      <w:r w:rsidRPr="004B60D5">
        <w:rPr>
          <w:sz w:val="22"/>
          <w:szCs w:val="22"/>
        </w:rPr>
        <w:t>Limitar a excepcionalidade prevista do Parágrafo único do Art. 16 aos dispêndios com o Sistema de Coleta da Produção e com Unidades Estacionárias de Produção, que são exclusivos da tabela de compromissos de conteúdo local da Etapa de Desenvolvimento.</w:t>
      </w:r>
      <w:r w:rsidR="00D4136A">
        <w:rPr>
          <w:sz w:val="22"/>
          <w:szCs w:val="22"/>
        </w:rPr>
        <w:t xml:space="preserve"> Dessa forma, a nova redação passa a ser a seguinte:</w:t>
      </w:r>
    </w:p>
    <w:p w:rsidR="0029096E" w:rsidRPr="0029096E" w:rsidRDefault="0029096E" w:rsidP="00CB1D9C">
      <w:pPr>
        <w:pStyle w:val="PargrafodaLista"/>
        <w:spacing w:before="240" w:after="240" w:line="360" w:lineRule="auto"/>
        <w:jc w:val="both"/>
        <w:rPr>
          <w:sz w:val="10"/>
          <w:szCs w:val="10"/>
        </w:rPr>
      </w:pPr>
    </w:p>
    <w:p w:rsidR="00CB1D9C" w:rsidRPr="00CB1D9C" w:rsidRDefault="00CB1D9C" w:rsidP="00CB1D9C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Pr="00CB1D9C">
        <w:rPr>
          <w:sz w:val="22"/>
          <w:szCs w:val="22"/>
        </w:rPr>
        <w:t>Parágrafo único. Excepcionalmente, caso existam dispêndios relativos ao Sistema de Coleta da Produção ou a Unidades Estacionárias de Produção realizados para o Desenvolvimento de um campo, e que tenham sido realizados em período anterior à Declaração de Comercialidade deste campo, estes dispêndios deverão ser declarados apenas após o início da Etapa de Desenvolvimento, em Relatório de Conteúdo Local que corresponda ao ano e trimestre no qual o dispêndio foi realizado.</w:t>
      </w:r>
      <w:r>
        <w:rPr>
          <w:sz w:val="22"/>
          <w:szCs w:val="22"/>
        </w:rPr>
        <w:t>”</w:t>
      </w:r>
    </w:p>
    <w:p w:rsidR="00CB1D9C" w:rsidRDefault="00CB1D9C" w:rsidP="00CB1D9C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</w:p>
    <w:p w:rsidR="00D4136A" w:rsidRPr="004B60D5" w:rsidRDefault="00831C5A" w:rsidP="00D4136A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sz w:val="22"/>
          <w:szCs w:val="22"/>
        </w:rPr>
      </w:pPr>
      <w:r w:rsidRPr="00D4136A">
        <w:rPr>
          <w:sz w:val="22"/>
          <w:szCs w:val="22"/>
        </w:rPr>
        <w:t>Incluir, nos ANEXOS I, II e III, o texto com a definição da linha “Total da Fase de Exploração”, para maior clareza de como a linha será composta nos Relatórios de Conteúdo Local na Fase de Exploração.</w:t>
      </w:r>
      <w:r w:rsidR="00D4136A" w:rsidRPr="00D4136A">
        <w:rPr>
          <w:sz w:val="22"/>
          <w:szCs w:val="22"/>
        </w:rPr>
        <w:t xml:space="preserve"> </w:t>
      </w:r>
      <w:r w:rsidR="00D4136A">
        <w:rPr>
          <w:sz w:val="22"/>
          <w:szCs w:val="22"/>
        </w:rPr>
        <w:t>A redação na Resolução será assim prevista:</w:t>
      </w:r>
    </w:p>
    <w:p w:rsidR="0029096E" w:rsidRPr="0029096E" w:rsidRDefault="0029096E" w:rsidP="0029096E">
      <w:pPr>
        <w:pStyle w:val="PargrafodaLista"/>
        <w:spacing w:before="240" w:after="240" w:line="360" w:lineRule="auto"/>
        <w:jc w:val="both"/>
        <w:rPr>
          <w:sz w:val="10"/>
          <w:szCs w:val="10"/>
        </w:rPr>
      </w:pPr>
    </w:p>
    <w:p w:rsidR="00D4136A" w:rsidRDefault="0029096E" w:rsidP="0029096E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  <w:r w:rsidRPr="00D4136A">
        <w:rPr>
          <w:sz w:val="22"/>
          <w:szCs w:val="22"/>
        </w:rPr>
        <w:t>ANEXOS I</w:t>
      </w:r>
      <w:r>
        <w:rPr>
          <w:sz w:val="22"/>
          <w:szCs w:val="22"/>
        </w:rPr>
        <w:t xml:space="preserve"> e </w:t>
      </w:r>
      <w:r w:rsidRPr="00D4136A">
        <w:rPr>
          <w:sz w:val="22"/>
          <w:szCs w:val="22"/>
        </w:rPr>
        <w:t>II</w:t>
      </w:r>
      <w:r>
        <w:rPr>
          <w:sz w:val="22"/>
          <w:szCs w:val="22"/>
        </w:rPr>
        <w:t>I:</w:t>
      </w:r>
      <w:r w:rsidRPr="00D4136A">
        <w:rPr>
          <w:sz w:val="22"/>
          <w:szCs w:val="22"/>
        </w:rPr>
        <w:t xml:space="preserve"> </w:t>
      </w:r>
      <w:r w:rsidR="00CB1D9C" w:rsidRPr="0029096E">
        <w:rPr>
          <w:sz w:val="22"/>
          <w:szCs w:val="22"/>
        </w:rPr>
        <w:t>“</w:t>
      </w:r>
      <w:r w:rsidRPr="0029096E">
        <w:rPr>
          <w:sz w:val="22"/>
          <w:szCs w:val="22"/>
        </w:rPr>
        <w:t xml:space="preserve">Total da Fase de Exploração: Acumula os valores dos dispêndios relativos a Itens Abrangidos pelo Escopo de Certificação alocados nos itens </w:t>
      </w:r>
      <w:r>
        <w:rPr>
          <w:sz w:val="22"/>
          <w:szCs w:val="22"/>
        </w:rPr>
        <w:t>1</w:t>
      </w:r>
      <w:r w:rsidRPr="0029096E">
        <w:rPr>
          <w:sz w:val="22"/>
          <w:szCs w:val="22"/>
        </w:rPr>
        <w:t xml:space="preserve"> a </w:t>
      </w:r>
      <w:r>
        <w:rPr>
          <w:sz w:val="22"/>
          <w:szCs w:val="22"/>
        </w:rPr>
        <w:t>3</w:t>
      </w:r>
      <w:r w:rsidRPr="0029096E">
        <w:rPr>
          <w:sz w:val="22"/>
          <w:szCs w:val="22"/>
        </w:rPr>
        <w:t xml:space="preserve"> do Relatório de Conteúdo Local, incluindo todos os seus subitens.</w:t>
      </w:r>
      <w:r>
        <w:rPr>
          <w:sz w:val="22"/>
          <w:szCs w:val="22"/>
        </w:rPr>
        <w:t>”</w:t>
      </w:r>
    </w:p>
    <w:p w:rsidR="0029096E" w:rsidRPr="0029096E" w:rsidRDefault="0029096E" w:rsidP="0029096E">
      <w:pPr>
        <w:pStyle w:val="PargrafodaLista"/>
        <w:spacing w:before="240" w:after="240" w:line="360" w:lineRule="auto"/>
        <w:jc w:val="both"/>
        <w:rPr>
          <w:sz w:val="10"/>
          <w:szCs w:val="10"/>
        </w:rPr>
      </w:pPr>
    </w:p>
    <w:p w:rsidR="0029096E" w:rsidRDefault="0029096E" w:rsidP="0029096E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  <w:r w:rsidRPr="00D4136A">
        <w:rPr>
          <w:sz w:val="22"/>
          <w:szCs w:val="22"/>
        </w:rPr>
        <w:t>ANEXO</w:t>
      </w:r>
      <w:r>
        <w:rPr>
          <w:sz w:val="22"/>
          <w:szCs w:val="22"/>
        </w:rPr>
        <w:t xml:space="preserve"> </w:t>
      </w:r>
      <w:r w:rsidRPr="00D4136A">
        <w:rPr>
          <w:sz w:val="22"/>
          <w:szCs w:val="22"/>
        </w:rPr>
        <w:t>II</w:t>
      </w:r>
      <w:r>
        <w:rPr>
          <w:sz w:val="22"/>
          <w:szCs w:val="22"/>
        </w:rPr>
        <w:t>:</w:t>
      </w:r>
      <w:r w:rsidRPr="00D4136A">
        <w:rPr>
          <w:sz w:val="22"/>
          <w:szCs w:val="22"/>
        </w:rPr>
        <w:t xml:space="preserve"> </w:t>
      </w:r>
      <w:r w:rsidRPr="0029096E">
        <w:rPr>
          <w:sz w:val="22"/>
          <w:szCs w:val="22"/>
        </w:rPr>
        <w:t xml:space="preserve">“Total da Fase de Exploração: Acumula os valores dos dispêndios relativos a Itens Abrangidos pelo Escopo de Certificação alocados nos itens </w:t>
      </w:r>
      <w:r>
        <w:rPr>
          <w:sz w:val="22"/>
          <w:szCs w:val="22"/>
        </w:rPr>
        <w:t>1</w:t>
      </w:r>
      <w:r w:rsidRPr="0029096E">
        <w:rPr>
          <w:sz w:val="22"/>
          <w:szCs w:val="22"/>
        </w:rPr>
        <w:t xml:space="preserve"> a </w:t>
      </w:r>
      <w:r>
        <w:rPr>
          <w:sz w:val="22"/>
          <w:szCs w:val="22"/>
        </w:rPr>
        <w:t>4</w:t>
      </w:r>
      <w:r w:rsidRPr="0029096E">
        <w:rPr>
          <w:sz w:val="22"/>
          <w:szCs w:val="22"/>
        </w:rPr>
        <w:t xml:space="preserve"> do Relatório de Conteúdo Local, incluindo todos os seus subitens.</w:t>
      </w:r>
      <w:r>
        <w:rPr>
          <w:sz w:val="22"/>
          <w:szCs w:val="22"/>
        </w:rPr>
        <w:t>”</w:t>
      </w:r>
    </w:p>
    <w:p w:rsidR="0029096E" w:rsidRDefault="0029096E" w:rsidP="0029096E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</w:p>
    <w:p w:rsidR="00C8091A" w:rsidRDefault="00C8091A" w:rsidP="0029096E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</w:p>
    <w:p w:rsidR="00831C5A" w:rsidRPr="004B60D5" w:rsidRDefault="00831C5A" w:rsidP="00E1571A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sz w:val="22"/>
          <w:szCs w:val="22"/>
        </w:rPr>
      </w:pPr>
      <w:r w:rsidRPr="004B60D5">
        <w:rPr>
          <w:sz w:val="22"/>
          <w:szCs w:val="22"/>
        </w:rPr>
        <w:t>Incluir, nos ANEXOS IV e V, o texto com a definição da linha “Total da Etapa de Desenvolvimento”, para maior clareza de como a linha será composta nos Relatórios de Conteúdo Local na Etapa de Desenvolvimento.</w:t>
      </w:r>
      <w:r w:rsidR="00D4136A">
        <w:rPr>
          <w:sz w:val="22"/>
          <w:szCs w:val="22"/>
        </w:rPr>
        <w:t xml:space="preserve"> A redação na Resolução será assim prevista:</w:t>
      </w:r>
    </w:p>
    <w:p w:rsidR="0029096E" w:rsidRPr="0029096E" w:rsidRDefault="0029096E" w:rsidP="0029096E">
      <w:pPr>
        <w:pStyle w:val="PargrafodaLista"/>
        <w:spacing w:before="240" w:after="240" w:line="360" w:lineRule="auto"/>
        <w:jc w:val="both"/>
        <w:rPr>
          <w:sz w:val="10"/>
          <w:szCs w:val="10"/>
        </w:rPr>
      </w:pPr>
    </w:p>
    <w:p w:rsidR="0029096E" w:rsidRPr="0029096E" w:rsidRDefault="0029096E" w:rsidP="0029096E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  <w:r w:rsidRPr="004B60D5">
        <w:rPr>
          <w:sz w:val="22"/>
          <w:szCs w:val="22"/>
        </w:rPr>
        <w:t>ANEXOS IV e V</w:t>
      </w:r>
      <w:r>
        <w:rPr>
          <w:sz w:val="22"/>
          <w:szCs w:val="22"/>
        </w:rPr>
        <w:t>:</w:t>
      </w:r>
      <w:r w:rsidRPr="0029096E">
        <w:rPr>
          <w:sz w:val="22"/>
          <w:szCs w:val="22"/>
        </w:rPr>
        <w:t xml:space="preserve"> “Total da Etapa de Desenvolvimento: Acumula os valores dos dispêndios relativos a Itens Abrangidos pelo Escopo de Certificação alocados nos itens 1 a 3 do Relatório de Conteúdo Local, incluindo todos os seus subitens.”</w:t>
      </w:r>
    </w:p>
    <w:p w:rsidR="0029096E" w:rsidRPr="0029096E" w:rsidRDefault="0029096E" w:rsidP="0029096E">
      <w:pPr>
        <w:pStyle w:val="PargrafodaLista"/>
        <w:spacing w:before="240" w:after="240" w:line="360" w:lineRule="auto"/>
        <w:jc w:val="both"/>
        <w:rPr>
          <w:sz w:val="22"/>
          <w:szCs w:val="22"/>
        </w:rPr>
      </w:pPr>
    </w:p>
    <w:p w:rsidR="008846BD" w:rsidRPr="00176FA7" w:rsidRDefault="00501FA9" w:rsidP="00501FA9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texto revisado da Minuta de Resolução consta às fls. </w:t>
      </w:r>
      <w:r w:rsidR="00C8091A">
        <w:rPr>
          <w:rFonts w:ascii="Times New Roman" w:hAnsi="Times New Roman" w:cs="Times New Roman"/>
        </w:rPr>
        <w:t xml:space="preserve">1178 </w:t>
      </w:r>
      <w:r>
        <w:rPr>
          <w:rFonts w:ascii="Times New Roman" w:hAnsi="Times New Roman" w:cs="Times New Roman"/>
        </w:rPr>
        <w:t xml:space="preserve">a </w:t>
      </w:r>
      <w:r w:rsidR="00C8091A">
        <w:rPr>
          <w:rFonts w:ascii="Times New Roman" w:hAnsi="Times New Roman" w:cs="Times New Roman"/>
        </w:rPr>
        <w:t>11</w:t>
      </w:r>
      <w:r w:rsidR="00C4690E">
        <w:rPr>
          <w:rFonts w:ascii="Times New Roman" w:hAnsi="Times New Roman" w:cs="Times New Roman"/>
        </w:rPr>
        <w:t>96</w:t>
      </w:r>
      <w:r w:rsidR="00C809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será encaminhado para a Diretoria da ANP na tramitação na Proposta de Ação Nº 893/2015</w:t>
      </w:r>
      <w:r w:rsidR="0092584E" w:rsidRPr="00176FA7">
        <w:rPr>
          <w:rFonts w:ascii="Times New Roman" w:hAnsi="Times New Roman" w:cs="Times New Roman"/>
        </w:rPr>
        <w:t>.</w:t>
      </w:r>
    </w:p>
    <w:p w:rsidR="00176FA7" w:rsidRPr="00176FA7" w:rsidRDefault="00176FA7" w:rsidP="00176FA7">
      <w:pPr>
        <w:pStyle w:val="PargrafodaLista"/>
        <w:tabs>
          <w:tab w:val="left" w:pos="1560"/>
        </w:tabs>
        <w:spacing w:line="360" w:lineRule="auto"/>
        <w:ind w:left="0" w:firstLine="709"/>
        <w:jc w:val="right"/>
        <w:rPr>
          <w:sz w:val="22"/>
          <w:szCs w:val="22"/>
        </w:rPr>
      </w:pPr>
    </w:p>
    <w:p w:rsidR="00176FA7" w:rsidRPr="00176FA7" w:rsidRDefault="00176FA7" w:rsidP="00176FA7">
      <w:pPr>
        <w:pStyle w:val="PargrafodaLista"/>
        <w:tabs>
          <w:tab w:val="left" w:pos="1560"/>
        </w:tabs>
        <w:spacing w:line="360" w:lineRule="auto"/>
        <w:ind w:left="0" w:firstLine="709"/>
        <w:jc w:val="right"/>
        <w:rPr>
          <w:sz w:val="22"/>
          <w:szCs w:val="22"/>
        </w:rPr>
      </w:pPr>
    </w:p>
    <w:p w:rsidR="00176FA7" w:rsidRPr="004B60D5" w:rsidRDefault="00176FA7" w:rsidP="00176FA7">
      <w:pPr>
        <w:pStyle w:val="PargrafodaLista"/>
        <w:tabs>
          <w:tab w:val="left" w:pos="1560"/>
        </w:tabs>
        <w:spacing w:line="360" w:lineRule="auto"/>
        <w:ind w:left="0" w:firstLine="709"/>
        <w:jc w:val="right"/>
        <w:rPr>
          <w:sz w:val="22"/>
          <w:szCs w:val="22"/>
        </w:rPr>
      </w:pPr>
      <w:r w:rsidRPr="004B60D5">
        <w:rPr>
          <w:sz w:val="22"/>
          <w:szCs w:val="22"/>
        </w:rPr>
        <w:t xml:space="preserve">Rio de Janeiro, </w:t>
      </w:r>
      <w:r w:rsidR="00501FA9">
        <w:rPr>
          <w:sz w:val="22"/>
          <w:szCs w:val="22"/>
        </w:rPr>
        <w:t>04</w:t>
      </w:r>
      <w:r w:rsidRPr="004B60D5">
        <w:rPr>
          <w:sz w:val="22"/>
          <w:szCs w:val="22"/>
        </w:rPr>
        <w:t xml:space="preserve"> de </w:t>
      </w:r>
      <w:r w:rsidR="00501FA9">
        <w:rPr>
          <w:sz w:val="22"/>
          <w:szCs w:val="22"/>
        </w:rPr>
        <w:t>novembro</w:t>
      </w:r>
      <w:r w:rsidRPr="004B60D5">
        <w:rPr>
          <w:sz w:val="22"/>
          <w:szCs w:val="22"/>
        </w:rPr>
        <w:t xml:space="preserve"> de 2015.</w:t>
      </w:r>
    </w:p>
    <w:p w:rsidR="00176FA7" w:rsidRPr="004B60D5" w:rsidRDefault="00176FA7" w:rsidP="00176FA7">
      <w:pPr>
        <w:spacing w:line="360" w:lineRule="auto"/>
        <w:jc w:val="both"/>
        <w:rPr>
          <w:rFonts w:ascii="Times New Roman" w:hAnsi="Times New Roman" w:cs="Times New Roman"/>
        </w:rPr>
      </w:pPr>
    </w:p>
    <w:p w:rsidR="00176FA7" w:rsidRPr="004B60D5" w:rsidRDefault="00176FA7" w:rsidP="001B045E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176FA7" w:rsidRPr="004B60D5" w:rsidRDefault="00176FA7" w:rsidP="00176FA7">
      <w:pPr>
        <w:pStyle w:val="PargrafodaLista"/>
        <w:tabs>
          <w:tab w:val="left" w:pos="1560"/>
        </w:tabs>
        <w:spacing w:line="360" w:lineRule="auto"/>
        <w:ind w:left="0" w:firstLine="709"/>
        <w:jc w:val="both"/>
        <w:rPr>
          <w:sz w:val="22"/>
          <w:szCs w:val="22"/>
        </w:rPr>
      </w:pPr>
    </w:p>
    <w:p w:rsidR="00176FA7" w:rsidRPr="004B60D5" w:rsidRDefault="00176FA7" w:rsidP="00176FA7">
      <w:pPr>
        <w:pStyle w:val="PargrafodaLista"/>
        <w:tabs>
          <w:tab w:val="left" w:pos="1560"/>
        </w:tabs>
        <w:spacing w:line="360" w:lineRule="auto"/>
        <w:ind w:left="0" w:firstLine="709"/>
        <w:jc w:val="both"/>
        <w:rPr>
          <w:sz w:val="22"/>
          <w:szCs w:val="22"/>
        </w:rPr>
      </w:pPr>
    </w:p>
    <w:p w:rsidR="00176FA7" w:rsidRPr="004B60D5" w:rsidRDefault="00176FA7" w:rsidP="00176FA7">
      <w:pPr>
        <w:pStyle w:val="PargrafodaLista"/>
        <w:tabs>
          <w:tab w:val="left" w:pos="1560"/>
        </w:tabs>
        <w:spacing w:line="360" w:lineRule="auto"/>
        <w:ind w:left="0" w:firstLine="709"/>
        <w:jc w:val="center"/>
        <w:rPr>
          <w:sz w:val="22"/>
          <w:szCs w:val="22"/>
        </w:rPr>
      </w:pPr>
      <w:r w:rsidRPr="004B60D5">
        <w:rPr>
          <w:sz w:val="22"/>
          <w:szCs w:val="22"/>
        </w:rPr>
        <w:t>Marco Túlio Rodrigues</w:t>
      </w:r>
    </w:p>
    <w:p w:rsidR="00176FA7" w:rsidRPr="004B60D5" w:rsidRDefault="00176FA7" w:rsidP="00176FA7">
      <w:pPr>
        <w:pStyle w:val="PargrafodaLista"/>
        <w:tabs>
          <w:tab w:val="left" w:pos="1560"/>
        </w:tabs>
        <w:spacing w:line="360" w:lineRule="auto"/>
        <w:ind w:left="0" w:firstLine="709"/>
        <w:jc w:val="center"/>
        <w:rPr>
          <w:sz w:val="22"/>
          <w:szCs w:val="22"/>
        </w:rPr>
      </w:pPr>
      <w:r w:rsidRPr="004B60D5">
        <w:rPr>
          <w:sz w:val="22"/>
          <w:szCs w:val="22"/>
        </w:rPr>
        <w:t>Chefe da Coordenadoria de Conteúdo Local</w:t>
      </w:r>
    </w:p>
    <w:p w:rsidR="00176FA7" w:rsidRPr="00176FA7" w:rsidRDefault="00176FA7" w:rsidP="00176FA7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176FA7" w:rsidRPr="00176FA7" w:rsidSect="008B30C9">
      <w:headerReference w:type="default" r:id="rId8"/>
      <w:footerReference w:type="default" r:id="rId9"/>
      <w:pgSz w:w="11906" w:h="16838" w:code="9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FB" w:rsidRDefault="00125DFB" w:rsidP="006348FB">
      <w:pPr>
        <w:spacing w:after="0" w:line="240" w:lineRule="auto"/>
      </w:pPr>
      <w:r>
        <w:separator/>
      </w:r>
    </w:p>
  </w:endnote>
  <w:endnote w:type="continuationSeparator" w:id="0">
    <w:p w:rsidR="00125DFB" w:rsidRDefault="00125DFB" w:rsidP="0063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439"/>
      <w:docPartObj>
        <w:docPartGallery w:val="Page Numbers (Bottom of Page)"/>
        <w:docPartUnique/>
      </w:docPartObj>
    </w:sdtPr>
    <w:sdtContent>
      <w:p w:rsidR="00831C5A" w:rsidRDefault="00831C5A">
        <w:pPr>
          <w:pStyle w:val="Rodap"/>
          <w:jc w:val="right"/>
        </w:pPr>
        <w:r w:rsidRPr="00B6596E">
          <w:rPr>
            <w:sz w:val="18"/>
            <w:szCs w:val="18"/>
          </w:rPr>
          <w:t xml:space="preserve">Página </w:t>
        </w:r>
        <w:r w:rsidR="00FD363E" w:rsidRPr="00B6596E">
          <w:rPr>
            <w:sz w:val="18"/>
            <w:szCs w:val="18"/>
          </w:rPr>
          <w:fldChar w:fldCharType="begin"/>
        </w:r>
        <w:r w:rsidRPr="00B6596E">
          <w:rPr>
            <w:sz w:val="18"/>
            <w:szCs w:val="18"/>
          </w:rPr>
          <w:instrText xml:space="preserve"> PAGE   \* MERGEFORMAT </w:instrText>
        </w:r>
        <w:r w:rsidR="00FD363E" w:rsidRPr="00B6596E">
          <w:rPr>
            <w:sz w:val="18"/>
            <w:szCs w:val="18"/>
          </w:rPr>
          <w:fldChar w:fldCharType="separate"/>
        </w:r>
        <w:r w:rsidR="00E1571A">
          <w:rPr>
            <w:noProof/>
            <w:sz w:val="18"/>
            <w:szCs w:val="18"/>
          </w:rPr>
          <w:t>1</w:t>
        </w:r>
        <w:r w:rsidR="00FD363E" w:rsidRPr="00B6596E">
          <w:rPr>
            <w:sz w:val="18"/>
            <w:szCs w:val="18"/>
          </w:rPr>
          <w:fldChar w:fldCharType="end"/>
        </w:r>
        <w:r w:rsidRPr="00B6596E">
          <w:rPr>
            <w:sz w:val="18"/>
            <w:szCs w:val="18"/>
          </w:rPr>
          <w:t xml:space="preserve"> de </w:t>
        </w:r>
        <w:proofErr w:type="gramStart"/>
        <w:r w:rsidR="00C8091A">
          <w:rPr>
            <w:sz w:val="18"/>
            <w:szCs w:val="18"/>
          </w:rPr>
          <w:t>2</w:t>
        </w:r>
        <w:proofErr w:type="gramEnd"/>
      </w:p>
    </w:sdtContent>
  </w:sdt>
  <w:p w:rsidR="00831C5A" w:rsidRDefault="00831C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FB" w:rsidRDefault="00125DFB" w:rsidP="006348FB">
      <w:pPr>
        <w:spacing w:after="0" w:line="240" w:lineRule="auto"/>
      </w:pPr>
      <w:r>
        <w:separator/>
      </w:r>
    </w:p>
  </w:footnote>
  <w:footnote w:type="continuationSeparator" w:id="0">
    <w:p w:rsidR="00125DFB" w:rsidRDefault="00125DFB" w:rsidP="0063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5A" w:rsidRDefault="00831C5A">
    <w:pPr>
      <w:pStyle w:val="Cabealho"/>
    </w:pPr>
    <w:r w:rsidRPr="006348FB">
      <w:rPr>
        <w:noProof/>
        <w:lang w:eastAsia="pt-BR"/>
      </w:rPr>
      <w:drawing>
        <wp:inline distT="0" distB="0" distL="0" distR="0">
          <wp:extent cx="542925" cy="971550"/>
          <wp:effectExtent l="19050" t="0" r="9525" b="0"/>
          <wp:docPr id="3" name="Imagem 1" descr="G:de visit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de visit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5099"/>
    <w:multiLevelType w:val="hybridMultilevel"/>
    <w:tmpl w:val="59C44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F0C22"/>
    <w:multiLevelType w:val="hybridMultilevel"/>
    <w:tmpl w:val="A154A91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348FB"/>
    <w:rsid w:val="00020BF8"/>
    <w:rsid w:val="00032516"/>
    <w:rsid w:val="000846D0"/>
    <w:rsid w:val="000E6A97"/>
    <w:rsid w:val="00125DFB"/>
    <w:rsid w:val="00176FA7"/>
    <w:rsid w:val="001B045E"/>
    <w:rsid w:val="00207525"/>
    <w:rsid w:val="0029096E"/>
    <w:rsid w:val="00297856"/>
    <w:rsid w:val="003578E1"/>
    <w:rsid w:val="003A48DB"/>
    <w:rsid w:val="003C69C5"/>
    <w:rsid w:val="003E1CA0"/>
    <w:rsid w:val="00434C66"/>
    <w:rsid w:val="00467DA8"/>
    <w:rsid w:val="00487575"/>
    <w:rsid w:val="004B60D5"/>
    <w:rsid w:val="00501FA9"/>
    <w:rsid w:val="00571F1D"/>
    <w:rsid w:val="006348FB"/>
    <w:rsid w:val="00672735"/>
    <w:rsid w:val="00765727"/>
    <w:rsid w:val="007F4F60"/>
    <w:rsid w:val="00807A99"/>
    <w:rsid w:val="00831C5A"/>
    <w:rsid w:val="008334B7"/>
    <w:rsid w:val="008846BD"/>
    <w:rsid w:val="008875FB"/>
    <w:rsid w:val="008B30C9"/>
    <w:rsid w:val="008F2F55"/>
    <w:rsid w:val="0092584E"/>
    <w:rsid w:val="00A26552"/>
    <w:rsid w:val="00AE1744"/>
    <w:rsid w:val="00AF63C1"/>
    <w:rsid w:val="00B6596E"/>
    <w:rsid w:val="00BC5E09"/>
    <w:rsid w:val="00BF6F34"/>
    <w:rsid w:val="00C4690E"/>
    <w:rsid w:val="00C8091A"/>
    <w:rsid w:val="00CB1D9C"/>
    <w:rsid w:val="00D4136A"/>
    <w:rsid w:val="00D762DA"/>
    <w:rsid w:val="00DA5BBE"/>
    <w:rsid w:val="00DF5564"/>
    <w:rsid w:val="00E1571A"/>
    <w:rsid w:val="00E74D98"/>
    <w:rsid w:val="00EA3AE3"/>
    <w:rsid w:val="00ED0062"/>
    <w:rsid w:val="00F347C3"/>
    <w:rsid w:val="00F56D85"/>
    <w:rsid w:val="00F64F9D"/>
    <w:rsid w:val="00F96B38"/>
    <w:rsid w:val="00FD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FB"/>
  </w:style>
  <w:style w:type="paragraph" w:styleId="Ttulo1">
    <w:name w:val="heading 1"/>
    <w:basedOn w:val="Normal"/>
    <w:next w:val="Normal"/>
    <w:link w:val="Ttulo1Char"/>
    <w:qFormat/>
    <w:rsid w:val="00020BF8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outlineLvl w:val="0"/>
    </w:pPr>
    <w:rPr>
      <w:rFonts w:ascii="Arial" w:eastAsia="Arial Unicode MS" w:hAnsi="Arial" w:cs="Arial" w:hint="eastAsia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8F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34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48FB"/>
  </w:style>
  <w:style w:type="paragraph" w:styleId="Rodap">
    <w:name w:val="footer"/>
    <w:basedOn w:val="Normal"/>
    <w:link w:val="RodapChar"/>
    <w:uiPriority w:val="99"/>
    <w:unhideWhenUsed/>
    <w:rsid w:val="00634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8FB"/>
  </w:style>
  <w:style w:type="paragraph" w:styleId="PargrafodaLista">
    <w:name w:val="List Paragraph"/>
    <w:basedOn w:val="Normal"/>
    <w:uiPriority w:val="34"/>
    <w:qFormat/>
    <w:rsid w:val="00884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020BF8"/>
    <w:rPr>
      <w:rFonts w:ascii="Arial" w:eastAsia="Arial Unicode MS" w:hAnsi="Arial" w:cs="Arial"/>
      <w:b/>
      <w:bCs/>
      <w:sz w:val="18"/>
      <w:szCs w:val="24"/>
      <w:lang w:eastAsia="pt-BR"/>
    </w:rPr>
  </w:style>
  <w:style w:type="paragraph" w:customStyle="1" w:styleId="Texto">
    <w:name w:val="Texto"/>
    <w:basedOn w:val="Normal"/>
    <w:autoRedefine/>
    <w:rsid w:val="00CB1D9C"/>
    <w:pPr>
      <w:keepNext/>
      <w:keepLines/>
      <w:tabs>
        <w:tab w:val="left" w:pos="1418"/>
      </w:tabs>
      <w:suppressAutoHyphens/>
      <w:spacing w:before="240" w:after="40" w:line="240" w:lineRule="auto"/>
      <w:ind w:firstLine="567"/>
      <w:jc w:val="both"/>
      <w:outlineLvl w:val="0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1BA5-AF3E-4730-9707-5F5FE8D5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2015-01-16T11:52:00Z</cp:lastPrinted>
  <dcterms:created xsi:type="dcterms:W3CDTF">2015-11-04T19:56:00Z</dcterms:created>
  <dcterms:modified xsi:type="dcterms:W3CDTF">2015-11-04T19:57:00Z</dcterms:modified>
</cp:coreProperties>
</file>