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8C" w:rsidRDefault="0023598C" w:rsidP="0060738B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0738B" w:rsidRPr="00E41BEC" w:rsidRDefault="00E41BEC" w:rsidP="0060738B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E41BEC">
        <w:rPr>
          <w:rFonts w:ascii="Times New Roman" w:hAnsi="Times New Roman"/>
          <w:b/>
          <w:szCs w:val="24"/>
        </w:rPr>
        <w:t xml:space="preserve">ERRATA - </w:t>
      </w:r>
      <w:r w:rsidR="0060738B" w:rsidRPr="00E41BEC">
        <w:rPr>
          <w:rFonts w:ascii="Times New Roman" w:hAnsi="Times New Roman"/>
          <w:b/>
          <w:szCs w:val="24"/>
        </w:rPr>
        <w:t>Nota Técnica nº 144/2015/SBQ/RJ</w:t>
      </w:r>
    </w:p>
    <w:p w:rsidR="0060738B" w:rsidRPr="00E41BEC" w:rsidRDefault="0060738B" w:rsidP="0060738B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0738B" w:rsidRPr="00E41BEC" w:rsidRDefault="0060738B" w:rsidP="0023598C">
      <w:pPr>
        <w:jc w:val="both"/>
        <w:rPr>
          <w:rFonts w:ascii="Times New Roman" w:hAnsi="Times New Roman"/>
          <w:b/>
          <w:szCs w:val="24"/>
        </w:rPr>
      </w:pPr>
      <w:r w:rsidRPr="00E41BEC">
        <w:rPr>
          <w:rFonts w:ascii="Times New Roman" w:hAnsi="Times New Roman"/>
          <w:b/>
          <w:szCs w:val="24"/>
        </w:rPr>
        <w:t>Assunto: Revisão da Portaria ANP nº 80, de 30 de abril de 1999, que estabelece as especificações e as regras referentes ao controle da qualidade dos óleos combustíveis.</w:t>
      </w:r>
    </w:p>
    <w:p w:rsidR="0023598C" w:rsidRPr="00E41BEC" w:rsidRDefault="0023598C" w:rsidP="0023598C">
      <w:pPr>
        <w:jc w:val="both"/>
        <w:rPr>
          <w:rFonts w:ascii="Times New Roman" w:hAnsi="Times New Roman"/>
          <w:b/>
          <w:szCs w:val="24"/>
        </w:rPr>
      </w:pPr>
    </w:p>
    <w:p w:rsidR="0060738B" w:rsidRDefault="0060738B" w:rsidP="0060738B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E41BEC">
        <w:rPr>
          <w:rFonts w:ascii="Times New Roman" w:hAnsi="Times New Roman"/>
          <w:b/>
          <w:szCs w:val="24"/>
        </w:rPr>
        <w:t xml:space="preserve">Referência: </w:t>
      </w:r>
      <w:r w:rsidRPr="00E41BEC">
        <w:rPr>
          <w:rFonts w:ascii="Times New Roman" w:hAnsi="Times New Roman"/>
          <w:szCs w:val="24"/>
        </w:rPr>
        <w:t>Processo nº 48610.002316/1999-33.</w:t>
      </w:r>
    </w:p>
    <w:p w:rsidR="00E41BEC" w:rsidRDefault="00E41BEC" w:rsidP="0060738B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41BEC" w:rsidRPr="00E41BEC" w:rsidRDefault="00E27302" w:rsidP="00E41BEC">
      <w:pPr>
        <w:spacing w:before="120" w:after="120" w:line="276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Rio de Janeiro, 10</w:t>
      </w:r>
      <w:r w:rsidR="00E41BEC" w:rsidRPr="00E41BEC">
        <w:rPr>
          <w:rFonts w:ascii="Times New Roman" w:hAnsi="Times New Roman"/>
          <w:szCs w:val="24"/>
        </w:rPr>
        <w:t xml:space="preserve"> de dezembro de 2015.</w:t>
      </w:r>
    </w:p>
    <w:p w:rsidR="00E41BEC" w:rsidRDefault="00E41BEC" w:rsidP="00E41BEC">
      <w:pPr>
        <w:tabs>
          <w:tab w:val="left" w:pos="1134"/>
        </w:tabs>
        <w:spacing w:before="120" w:after="120" w:line="360" w:lineRule="auto"/>
        <w:jc w:val="both"/>
        <w:rPr>
          <w:rFonts w:ascii="Times New Roman" w:hAnsi="Times New Roman"/>
          <w:b/>
          <w:szCs w:val="24"/>
        </w:rPr>
      </w:pPr>
    </w:p>
    <w:p w:rsidR="0023598C" w:rsidRPr="00E41BEC" w:rsidRDefault="0023598C" w:rsidP="00E41BEC">
      <w:pPr>
        <w:tabs>
          <w:tab w:val="left" w:pos="1134"/>
        </w:tabs>
        <w:spacing w:before="120" w:after="120" w:line="360" w:lineRule="auto"/>
        <w:jc w:val="both"/>
        <w:rPr>
          <w:rFonts w:ascii="Times New Roman" w:hAnsi="Times New Roman"/>
          <w:b/>
          <w:szCs w:val="24"/>
        </w:rPr>
      </w:pPr>
      <w:r w:rsidRPr="00E41BEC">
        <w:rPr>
          <w:rFonts w:ascii="Times New Roman" w:hAnsi="Times New Roman"/>
          <w:b/>
          <w:szCs w:val="24"/>
        </w:rPr>
        <w:t>Disposições Transitórias – Item 4.5.1</w:t>
      </w:r>
    </w:p>
    <w:p w:rsidR="00B84755" w:rsidRPr="00E41BEC" w:rsidRDefault="006331AF" w:rsidP="00B84755">
      <w:pPr>
        <w:tabs>
          <w:tab w:val="left" w:pos="1134"/>
        </w:tabs>
        <w:spacing w:before="120" w:after="12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Onde se lê: ...período</w:t>
      </w:r>
      <w:r w:rsidR="00B84755" w:rsidRPr="00E41BEC">
        <w:rPr>
          <w:rFonts w:ascii="Times New Roman" w:hAnsi="Times New Roman"/>
          <w:szCs w:val="24"/>
        </w:rPr>
        <w:t xml:space="preserve"> de </w:t>
      </w:r>
      <w:r w:rsidR="00B84755" w:rsidRPr="00E41BEC">
        <w:rPr>
          <w:rFonts w:ascii="Times New Roman" w:hAnsi="Times New Roman"/>
          <w:b/>
          <w:szCs w:val="24"/>
        </w:rPr>
        <w:t>12 mese</w:t>
      </w:r>
      <w:r w:rsidR="00B85B9C">
        <w:rPr>
          <w:rFonts w:ascii="Times New Roman" w:hAnsi="Times New Roman"/>
          <w:b/>
          <w:szCs w:val="24"/>
        </w:rPr>
        <w:t>s...</w:t>
      </w:r>
    </w:p>
    <w:p w:rsidR="00B84755" w:rsidRPr="00E41BEC" w:rsidRDefault="00A97664" w:rsidP="00B84755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Leia-se: ... </w:t>
      </w:r>
      <w:proofErr w:type="gramStart"/>
      <w:r>
        <w:rPr>
          <w:rFonts w:ascii="Times New Roman" w:hAnsi="Times New Roman"/>
          <w:szCs w:val="24"/>
        </w:rPr>
        <w:t>prazo</w:t>
      </w:r>
      <w:proofErr w:type="gramEnd"/>
      <w:r w:rsidR="00B84755" w:rsidRPr="00E41BEC">
        <w:rPr>
          <w:rFonts w:ascii="Times New Roman" w:hAnsi="Times New Roman"/>
          <w:szCs w:val="24"/>
        </w:rPr>
        <w:t xml:space="preserve"> de </w:t>
      </w:r>
      <w:r w:rsidR="00B84755" w:rsidRPr="00E41BEC">
        <w:rPr>
          <w:rFonts w:ascii="Times New Roman" w:hAnsi="Times New Roman"/>
          <w:b/>
          <w:szCs w:val="24"/>
        </w:rPr>
        <w:t>180 (cento e oitenta) dias</w:t>
      </w:r>
      <w:r w:rsidR="00B85B9C">
        <w:rPr>
          <w:rFonts w:ascii="Times New Roman" w:hAnsi="Times New Roman"/>
          <w:b/>
          <w:szCs w:val="24"/>
        </w:rPr>
        <w:t>...</w:t>
      </w:r>
    </w:p>
    <w:p w:rsidR="006343DF" w:rsidRPr="00E41BEC" w:rsidRDefault="006343DF" w:rsidP="00B84755">
      <w:pPr>
        <w:rPr>
          <w:rFonts w:ascii="Times New Roman" w:hAnsi="Times New Roman"/>
          <w:b/>
          <w:szCs w:val="24"/>
        </w:rPr>
      </w:pPr>
    </w:p>
    <w:p w:rsidR="006343DF" w:rsidRDefault="006343DF" w:rsidP="0023598C">
      <w:pPr>
        <w:rPr>
          <w:rFonts w:ascii="Times New Roman" w:hAnsi="Times New Roman"/>
          <w:b/>
          <w:szCs w:val="24"/>
        </w:rPr>
      </w:pPr>
    </w:p>
    <w:p w:rsidR="00E41BEC" w:rsidRPr="00E41BEC" w:rsidRDefault="00E41BEC" w:rsidP="0023598C">
      <w:pPr>
        <w:rPr>
          <w:rFonts w:ascii="Times New Roman" w:hAnsi="Times New Roman"/>
          <w:b/>
          <w:szCs w:val="24"/>
        </w:rPr>
      </w:pPr>
    </w:p>
    <w:p w:rsidR="006343DF" w:rsidRPr="00E41BEC" w:rsidRDefault="006343DF" w:rsidP="00B84755">
      <w:pPr>
        <w:rPr>
          <w:rFonts w:ascii="Times New Roman" w:hAnsi="Times New Roman"/>
          <w:b/>
          <w:szCs w:val="24"/>
        </w:rPr>
      </w:pPr>
    </w:p>
    <w:p w:rsidR="006343DF" w:rsidRPr="00E41BEC" w:rsidRDefault="006343DF" w:rsidP="006343DF">
      <w:pPr>
        <w:pStyle w:val="PargrafodaLista"/>
        <w:spacing w:after="480"/>
        <w:ind w:left="0"/>
        <w:contextualSpacing w:val="0"/>
        <w:jc w:val="both"/>
        <w:rPr>
          <w:rFonts w:ascii="Times New Roman" w:hAnsi="Times New Roman"/>
          <w:b/>
          <w:bCs/>
          <w:szCs w:val="24"/>
        </w:rPr>
      </w:pPr>
      <w:r w:rsidRPr="00E41BEC">
        <w:rPr>
          <w:rFonts w:ascii="Times New Roman" w:hAnsi="Times New Roman"/>
          <w:b/>
          <w:bCs/>
          <w:szCs w:val="24"/>
        </w:rPr>
        <w:t>Elaboração:</w:t>
      </w:r>
    </w:p>
    <w:p w:rsidR="006343DF" w:rsidRPr="00E41BEC" w:rsidRDefault="006343DF" w:rsidP="006343DF">
      <w:pPr>
        <w:pStyle w:val="PargrafodaLista"/>
        <w:spacing w:after="120"/>
        <w:ind w:left="0"/>
        <w:jc w:val="both"/>
        <w:rPr>
          <w:rFonts w:ascii="Times New Roman" w:hAnsi="Times New Roman"/>
          <w:bCs/>
          <w:szCs w:val="24"/>
        </w:rPr>
      </w:pPr>
      <w:r w:rsidRPr="00E41BEC">
        <w:rPr>
          <w:rFonts w:ascii="Times New Roman" w:hAnsi="Times New Roman"/>
          <w:bCs/>
          <w:szCs w:val="24"/>
        </w:rPr>
        <w:t>___________________________________</w:t>
      </w:r>
    </w:p>
    <w:p w:rsidR="006343DF" w:rsidRPr="00E41BEC" w:rsidRDefault="006343DF" w:rsidP="006343DF">
      <w:pPr>
        <w:pStyle w:val="PargrafodaLista"/>
        <w:spacing w:after="120"/>
        <w:ind w:left="0"/>
        <w:jc w:val="both"/>
        <w:rPr>
          <w:rFonts w:ascii="Times New Roman" w:hAnsi="Times New Roman"/>
          <w:bCs/>
          <w:szCs w:val="24"/>
        </w:rPr>
      </w:pPr>
      <w:r w:rsidRPr="00E41BEC">
        <w:rPr>
          <w:rFonts w:ascii="Times New Roman" w:hAnsi="Times New Roman"/>
          <w:bCs/>
          <w:szCs w:val="24"/>
        </w:rPr>
        <w:t xml:space="preserve">CLAUDIO DOS </w:t>
      </w:r>
      <w:proofErr w:type="gramStart"/>
      <w:r w:rsidRPr="00E41BEC">
        <w:rPr>
          <w:rFonts w:ascii="Times New Roman" w:hAnsi="Times New Roman"/>
          <w:bCs/>
          <w:szCs w:val="24"/>
        </w:rPr>
        <w:t>SANTOS DUTRA</w:t>
      </w:r>
      <w:proofErr w:type="gramEnd"/>
    </w:p>
    <w:p w:rsidR="006343DF" w:rsidRPr="00E41BEC" w:rsidRDefault="006343DF" w:rsidP="006343DF">
      <w:pPr>
        <w:pStyle w:val="PargrafodaLista"/>
        <w:spacing w:after="360"/>
        <w:ind w:left="0"/>
        <w:contextualSpacing w:val="0"/>
        <w:jc w:val="both"/>
        <w:rPr>
          <w:rFonts w:ascii="Times New Roman" w:hAnsi="Times New Roman"/>
          <w:bCs/>
          <w:szCs w:val="24"/>
        </w:rPr>
      </w:pPr>
      <w:r w:rsidRPr="00E41BEC">
        <w:rPr>
          <w:rFonts w:ascii="Times New Roman" w:hAnsi="Times New Roman"/>
          <w:bCs/>
          <w:szCs w:val="24"/>
        </w:rPr>
        <w:t>Especialista em Regulação</w:t>
      </w:r>
    </w:p>
    <w:p w:rsidR="006343DF" w:rsidRPr="00E41BEC" w:rsidRDefault="006343DF" w:rsidP="006343DF">
      <w:pPr>
        <w:pStyle w:val="PargrafodaLista"/>
        <w:spacing w:after="120"/>
        <w:ind w:left="0"/>
        <w:jc w:val="both"/>
        <w:rPr>
          <w:rFonts w:ascii="Times New Roman" w:hAnsi="Times New Roman"/>
          <w:bCs/>
          <w:szCs w:val="24"/>
        </w:rPr>
      </w:pPr>
    </w:p>
    <w:p w:rsidR="006343DF" w:rsidRPr="00E41BEC" w:rsidRDefault="006343DF" w:rsidP="006343DF">
      <w:pPr>
        <w:pStyle w:val="PargrafodaLista"/>
        <w:spacing w:after="480"/>
        <w:ind w:left="0"/>
        <w:contextualSpacing w:val="0"/>
        <w:jc w:val="both"/>
        <w:rPr>
          <w:rFonts w:ascii="Times New Roman" w:hAnsi="Times New Roman"/>
          <w:b/>
          <w:bCs/>
          <w:szCs w:val="24"/>
        </w:rPr>
      </w:pPr>
      <w:r w:rsidRPr="00E41BEC">
        <w:rPr>
          <w:rFonts w:ascii="Times New Roman" w:hAnsi="Times New Roman"/>
          <w:b/>
          <w:bCs/>
          <w:szCs w:val="24"/>
        </w:rPr>
        <w:t>Revisão:</w:t>
      </w:r>
    </w:p>
    <w:p w:rsidR="006343DF" w:rsidRPr="00E41BEC" w:rsidRDefault="006343DF" w:rsidP="006343DF">
      <w:pPr>
        <w:pStyle w:val="PargrafodaLista"/>
        <w:spacing w:after="120"/>
        <w:ind w:left="0"/>
        <w:jc w:val="both"/>
        <w:rPr>
          <w:rFonts w:ascii="Times New Roman" w:hAnsi="Times New Roman"/>
          <w:bCs/>
          <w:szCs w:val="24"/>
        </w:rPr>
      </w:pPr>
      <w:r w:rsidRPr="00E41BEC">
        <w:rPr>
          <w:rFonts w:ascii="Times New Roman" w:hAnsi="Times New Roman"/>
          <w:bCs/>
          <w:szCs w:val="24"/>
        </w:rPr>
        <w:t>___________________________________</w:t>
      </w:r>
    </w:p>
    <w:p w:rsidR="006343DF" w:rsidRPr="00E41BEC" w:rsidRDefault="006343DF" w:rsidP="006343DF">
      <w:pPr>
        <w:pStyle w:val="PargrafodaLista"/>
        <w:spacing w:after="120"/>
        <w:ind w:left="0"/>
        <w:jc w:val="both"/>
        <w:rPr>
          <w:rFonts w:ascii="Times New Roman" w:hAnsi="Times New Roman"/>
          <w:bCs/>
          <w:szCs w:val="24"/>
        </w:rPr>
      </w:pPr>
      <w:r w:rsidRPr="00E41BEC">
        <w:rPr>
          <w:rFonts w:ascii="Times New Roman" w:hAnsi="Times New Roman"/>
          <w:bCs/>
          <w:szCs w:val="24"/>
        </w:rPr>
        <w:t>JACKSON DA SILVA ALBUQUERQUE</w:t>
      </w:r>
    </w:p>
    <w:p w:rsidR="006343DF" w:rsidRPr="00E41BEC" w:rsidRDefault="006343DF" w:rsidP="006343DF">
      <w:pPr>
        <w:pStyle w:val="PargrafodaLista"/>
        <w:spacing w:after="360"/>
        <w:ind w:left="0"/>
        <w:contextualSpacing w:val="0"/>
        <w:jc w:val="both"/>
        <w:rPr>
          <w:rFonts w:ascii="Times New Roman" w:hAnsi="Times New Roman"/>
          <w:bCs/>
          <w:szCs w:val="24"/>
        </w:rPr>
      </w:pPr>
      <w:r w:rsidRPr="00E41BEC">
        <w:rPr>
          <w:rFonts w:ascii="Times New Roman" w:hAnsi="Times New Roman"/>
          <w:bCs/>
          <w:szCs w:val="24"/>
        </w:rPr>
        <w:t>Especialista em Regulação</w:t>
      </w:r>
    </w:p>
    <w:p w:rsidR="006343DF" w:rsidRPr="00E41BEC" w:rsidRDefault="006343DF" w:rsidP="006343DF">
      <w:pPr>
        <w:pStyle w:val="PargrafodaLista"/>
        <w:spacing w:after="120"/>
        <w:ind w:left="0"/>
        <w:jc w:val="both"/>
        <w:rPr>
          <w:rFonts w:ascii="Times New Roman" w:hAnsi="Times New Roman"/>
          <w:bCs/>
          <w:szCs w:val="24"/>
        </w:rPr>
      </w:pPr>
    </w:p>
    <w:p w:rsidR="006343DF" w:rsidRPr="00E41BEC" w:rsidRDefault="006343DF" w:rsidP="006343DF">
      <w:pPr>
        <w:pStyle w:val="PargrafodaLista"/>
        <w:spacing w:after="480"/>
        <w:ind w:left="0"/>
        <w:contextualSpacing w:val="0"/>
        <w:jc w:val="both"/>
        <w:rPr>
          <w:rFonts w:ascii="Times New Roman" w:hAnsi="Times New Roman"/>
          <w:b/>
          <w:bCs/>
          <w:szCs w:val="24"/>
        </w:rPr>
      </w:pPr>
      <w:r w:rsidRPr="00E41BEC">
        <w:rPr>
          <w:rFonts w:ascii="Times New Roman" w:hAnsi="Times New Roman"/>
          <w:b/>
          <w:bCs/>
          <w:szCs w:val="24"/>
        </w:rPr>
        <w:t>Aprovação:</w:t>
      </w:r>
    </w:p>
    <w:p w:rsidR="006343DF" w:rsidRPr="00E41BEC" w:rsidRDefault="006343DF" w:rsidP="006343DF">
      <w:pPr>
        <w:pStyle w:val="PargrafodaLista"/>
        <w:spacing w:after="120"/>
        <w:ind w:left="0"/>
        <w:jc w:val="both"/>
        <w:rPr>
          <w:rFonts w:ascii="Times New Roman" w:hAnsi="Times New Roman"/>
          <w:bCs/>
          <w:szCs w:val="24"/>
        </w:rPr>
      </w:pPr>
      <w:r w:rsidRPr="00E41BEC">
        <w:rPr>
          <w:rFonts w:ascii="Times New Roman" w:hAnsi="Times New Roman"/>
          <w:bCs/>
          <w:szCs w:val="24"/>
        </w:rPr>
        <w:t>___________________________________</w:t>
      </w:r>
    </w:p>
    <w:p w:rsidR="006343DF" w:rsidRPr="00E41BEC" w:rsidRDefault="006343DF" w:rsidP="006343DF">
      <w:pPr>
        <w:pStyle w:val="PargrafodaLista"/>
        <w:spacing w:after="120"/>
        <w:ind w:left="0"/>
        <w:jc w:val="both"/>
        <w:rPr>
          <w:rFonts w:ascii="Times New Roman" w:hAnsi="Times New Roman"/>
          <w:bCs/>
          <w:szCs w:val="24"/>
        </w:rPr>
      </w:pPr>
      <w:r w:rsidRPr="00E41BEC">
        <w:rPr>
          <w:rFonts w:ascii="Times New Roman" w:hAnsi="Times New Roman"/>
          <w:bCs/>
          <w:szCs w:val="24"/>
        </w:rPr>
        <w:t>ROSÂNGELA MOREIRA DE ARAÚJO</w:t>
      </w:r>
    </w:p>
    <w:p w:rsidR="006343DF" w:rsidRPr="00E41BEC" w:rsidRDefault="006343DF" w:rsidP="0023598C">
      <w:pPr>
        <w:pStyle w:val="PargrafodaLista"/>
        <w:spacing w:after="120"/>
        <w:ind w:left="0"/>
        <w:contextualSpacing w:val="0"/>
        <w:jc w:val="both"/>
        <w:rPr>
          <w:szCs w:val="24"/>
        </w:rPr>
      </w:pPr>
      <w:r w:rsidRPr="00E41BEC">
        <w:rPr>
          <w:rFonts w:ascii="Times New Roman" w:hAnsi="Times New Roman"/>
          <w:bCs/>
          <w:szCs w:val="24"/>
        </w:rPr>
        <w:t>Superintendente de Biocombustíveis e Qualidade de Produtos</w:t>
      </w:r>
    </w:p>
    <w:sectPr w:rsidR="006343DF" w:rsidRPr="00E41BEC" w:rsidSect="00902C9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165" w:rsidRDefault="00BD7165" w:rsidP="00B84755">
      <w:r>
        <w:separator/>
      </w:r>
    </w:p>
  </w:endnote>
  <w:endnote w:type="continuationSeparator" w:id="0">
    <w:p w:rsidR="00BD7165" w:rsidRDefault="00BD7165" w:rsidP="00B8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165" w:rsidRDefault="00BD7165" w:rsidP="00B84755">
      <w:r>
        <w:separator/>
      </w:r>
    </w:p>
  </w:footnote>
  <w:footnote w:type="continuationSeparator" w:id="0">
    <w:p w:rsidR="00BD7165" w:rsidRDefault="00BD7165" w:rsidP="00B847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65" w:rsidRDefault="006E519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4.15pt;margin-top:8.45pt;width:410.05pt;height:34.8pt;z-index:251658240;mso-height-percent:200;mso-height-percent:200;mso-width-relative:margin;mso-height-relative:margin" stroked="f">
          <v:textbox style="mso-next-textbox:#_x0000_s2049;mso-fit-shape-to-text:t">
            <w:txbxContent>
              <w:p w:rsidR="00BD7165" w:rsidRPr="005F6E68" w:rsidRDefault="00BD7165" w:rsidP="00B84755">
                <w:pPr>
                  <w:rPr>
                    <w:rFonts w:ascii="Times New Roman" w:hAnsi="Times New Roman"/>
                    <w:b/>
                    <w:szCs w:val="24"/>
                  </w:rPr>
                </w:pPr>
                <w:r w:rsidRPr="005F6E68">
                  <w:rPr>
                    <w:rFonts w:ascii="Times New Roman" w:hAnsi="Times New Roman"/>
                    <w:b/>
                    <w:szCs w:val="24"/>
                  </w:rPr>
                  <w:t>Agência Nacional do Petróleo, Gás Natural e Biocombustíveis</w:t>
                </w:r>
              </w:p>
              <w:p w:rsidR="00BD7165" w:rsidRPr="003927AE" w:rsidRDefault="00BD7165" w:rsidP="00B84755">
                <w:pPr>
                  <w:rPr>
                    <w:szCs w:val="24"/>
                  </w:rPr>
                </w:pPr>
                <w:r w:rsidRPr="005F6E68">
                  <w:rPr>
                    <w:rFonts w:ascii="Times New Roman" w:hAnsi="Times New Roman"/>
                    <w:b/>
                    <w:szCs w:val="24"/>
                  </w:rPr>
                  <w:t>Superintendência de Biocombustíveis e de Qualidade de Produtos</w:t>
                </w:r>
              </w:p>
            </w:txbxContent>
          </v:textbox>
        </v:shape>
      </w:pict>
    </w:r>
    <w:r w:rsidR="00BD7165" w:rsidRPr="00B84755">
      <w:rPr>
        <w:noProof/>
      </w:rPr>
      <w:drawing>
        <wp:inline distT="0" distB="0" distL="0" distR="0">
          <wp:extent cx="715645" cy="1304290"/>
          <wp:effectExtent l="19050" t="0" r="8255" b="0"/>
          <wp:docPr id="3" name="Imagem 1" descr="logo_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an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1304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4755"/>
    <w:rsid w:val="00096C6C"/>
    <w:rsid w:val="000C7B76"/>
    <w:rsid w:val="0023598C"/>
    <w:rsid w:val="003A1B43"/>
    <w:rsid w:val="0060738B"/>
    <w:rsid w:val="006331AF"/>
    <w:rsid w:val="006343DF"/>
    <w:rsid w:val="006E519C"/>
    <w:rsid w:val="007A6A43"/>
    <w:rsid w:val="00902C97"/>
    <w:rsid w:val="009D2A3F"/>
    <w:rsid w:val="00A97664"/>
    <w:rsid w:val="00B84755"/>
    <w:rsid w:val="00B85B9C"/>
    <w:rsid w:val="00BD7165"/>
    <w:rsid w:val="00E27302"/>
    <w:rsid w:val="00E4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5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847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4755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847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84755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7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75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343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15</cp:revision>
  <cp:lastPrinted>2015-12-10T13:13:00Z</cp:lastPrinted>
  <dcterms:created xsi:type="dcterms:W3CDTF">2015-12-08T16:53:00Z</dcterms:created>
  <dcterms:modified xsi:type="dcterms:W3CDTF">2015-12-10T13:17:00Z</dcterms:modified>
</cp:coreProperties>
</file>