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756" w:rsidRDefault="006E7756" w:rsidP="008A590E">
      <w:pPr>
        <w:rPr>
          <w:rFonts w:ascii="Arial" w:hAnsi="Arial" w:cs="Arial"/>
          <w:sz w:val="24"/>
          <w:szCs w:val="24"/>
        </w:rPr>
      </w:pPr>
    </w:p>
    <w:p w:rsidR="00FB378C" w:rsidRDefault="00FB378C" w:rsidP="008A590E">
      <w:pPr>
        <w:rPr>
          <w:rFonts w:ascii="Arial" w:hAnsi="Arial" w:cs="Arial"/>
          <w:b/>
          <w:sz w:val="24"/>
          <w:szCs w:val="24"/>
        </w:rPr>
      </w:pPr>
    </w:p>
    <w:p w:rsidR="0024354D" w:rsidRDefault="0024354D" w:rsidP="008A590E">
      <w:pPr>
        <w:rPr>
          <w:rFonts w:ascii="Arial" w:hAnsi="Arial" w:cs="Arial"/>
          <w:b/>
          <w:sz w:val="24"/>
          <w:szCs w:val="24"/>
        </w:rPr>
      </w:pPr>
    </w:p>
    <w:p w:rsidR="0024354D" w:rsidRDefault="0024354D" w:rsidP="008A590E">
      <w:pPr>
        <w:rPr>
          <w:rFonts w:ascii="Arial" w:hAnsi="Arial" w:cs="Arial"/>
          <w:b/>
          <w:sz w:val="24"/>
          <w:szCs w:val="24"/>
        </w:rPr>
      </w:pPr>
    </w:p>
    <w:p w:rsidR="006E3142" w:rsidRPr="00C855A3" w:rsidRDefault="006E3142" w:rsidP="00615A71">
      <w:pPr>
        <w:spacing w:before="120" w:after="120" w:line="360" w:lineRule="auto"/>
        <w:jc w:val="center"/>
        <w:rPr>
          <w:rFonts w:ascii="Arial" w:hAnsi="Arial" w:cs="Arial"/>
          <w:b/>
        </w:rPr>
      </w:pPr>
      <w:r w:rsidRPr="00C855A3">
        <w:rPr>
          <w:rFonts w:ascii="Arial" w:hAnsi="Arial" w:cs="Arial"/>
          <w:b/>
          <w:sz w:val="28"/>
        </w:rPr>
        <w:t xml:space="preserve">FORMULÁRIO DE </w:t>
      </w:r>
      <w:r>
        <w:rPr>
          <w:rFonts w:ascii="Arial" w:hAnsi="Arial" w:cs="Arial"/>
          <w:b/>
          <w:sz w:val="28"/>
        </w:rPr>
        <w:t>COMENTÁRIOS E SUGESTÕES</w:t>
      </w:r>
    </w:p>
    <w:p w:rsidR="006E3142" w:rsidRDefault="006E3142" w:rsidP="001779C8">
      <w:pPr>
        <w:pStyle w:val="Legenda"/>
        <w:spacing w:before="120" w:after="120" w:line="360" w:lineRule="auto"/>
        <w:jc w:val="center"/>
        <w:rPr>
          <w:rFonts w:cs="Arial"/>
        </w:rPr>
      </w:pPr>
      <w:r>
        <w:rPr>
          <w:rFonts w:cs="Arial"/>
        </w:rPr>
        <w:t>CONSULTA</w:t>
      </w:r>
      <w:r w:rsidRPr="0062557C">
        <w:rPr>
          <w:rFonts w:cs="Arial"/>
        </w:rPr>
        <w:t xml:space="preserve"> </w:t>
      </w:r>
      <w:proofErr w:type="gramStart"/>
      <w:r w:rsidRPr="0062557C">
        <w:rPr>
          <w:rFonts w:cs="Arial"/>
        </w:rPr>
        <w:t>PÚBLICA Nº</w:t>
      </w:r>
      <w:proofErr w:type="gramEnd"/>
      <w:r w:rsidRPr="0062557C">
        <w:rPr>
          <w:rFonts w:cs="Arial"/>
        </w:rPr>
        <w:t xml:space="preserve"> </w:t>
      </w:r>
      <w:r w:rsidR="00700EB7">
        <w:rPr>
          <w:rFonts w:cs="Arial"/>
        </w:rPr>
        <w:t>8</w:t>
      </w:r>
      <w:r w:rsidRPr="0062557C">
        <w:rPr>
          <w:rFonts w:cs="Arial"/>
        </w:rPr>
        <w:t>/</w:t>
      </w:r>
      <w:r>
        <w:rPr>
          <w:rFonts w:cs="Arial"/>
        </w:rPr>
        <w:t>201</w:t>
      </w:r>
      <w:r w:rsidR="004873F0">
        <w:rPr>
          <w:rFonts w:cs="Arial"/>
        </w:rPr>
        <w:t>4</w:t>
      </w:r>
      <w:r w:rsidRPr="0062557C">
        <w:rPr>
          <w:rFonts w:cs="Arial"/>
        </w:rPr>
        <w:t xml:space="preserve"> </w:t>
      </w:r>
      <w:r>
        <w:rPr>
          <w:rFonts w:cs="Arial"/>
        </w:rPr>
        <w:t>–</w:t>
      </w:r>
      <w:r w:rsidRPr="0062557C">
        <w:rPr>
          <w:rFonts w:cs="Arial"/>
        </w:rPr>
        <w:t xml:space="preserve"> </w:t>
      </w:r>
      <w:r w:rsidR="00B720A9">
        <w:rPr>
          <w:rFonts w:cs="Arial"/>
        </w:rPr>
        <w:t>0</w:t>
      </w:r>
      <w:r w:rsidR="001779C8">
        <w:rPr>
          <w:rFonts w:cs="Arial"/>
        </w:rPr>
        <w:t>6</w:t>
      </w:r>
      <w:r>
        <w:rPr>
          <w:rFonts w:cs="Arial"/>
        </w:rPr>
        <w:t>/0</w:t>
      </w:r>
      <w:r w:rsidR="00B720A9">
        <w:rPr>
          <w:rFonts w:cs="Arial"/>
        </w:rPr>
        <w:t>6</w:t>
      </w:r>
      <w:r w:rsidR="001779C8">
        <w:rPr>
          <w:rFonts w:cs="Arial"/>
        </w:rPr>
        <w:t>/2014</w:t>
      </w:r>
      <w:r>
        <w:rPr>
          <w:rFonts w:cs="Arial"/>
        </w:rPr>
        <w:t xml:space="preserve"> a </w:t>
      </w:r>
      <w:r w:rsidR="00B720A9">
        <w:rPr>
          <w:rFonts w:cs="Arial"/>
        </w:rPr>
        <w:t>26</w:t>
      </w:r>
      <w:r>
        <w:rPr>
          <w:rFonts w:cs="Arial"/>
        </w:rPr>
        <w:t>/0</w:t>
      </w:r>
      <w:r w:rsidR="001779C8">
        <w:rPr>
          <w:rFonts w:cs="Arial"/>
        </w:rPr>
        <w:t>6</w:t>
      </w:r>
      <w:r>
        <w:rPr>
          <w:rFonts w:cs="Arial"/>
        </w:rPr>
        <w:t>/201</w:t>
      </w:r>
      <w:r w:rsidR="001779C8">
        <w:rPr>
          <w:rFonts w:cs="Arial"/>
        </w:rPr>
        <w:t>4</w:t>
      </w:r>
    </w:p>
    <w:p w:rsidR="008C62CA" w:rsidRDefault="008C62CA" w:rsidP="008C62CA"/>
    <w:p w:rsidR="008C62CA" w:rsidRDefault="008C62CA" w:rsidP="008C62CA"/>
    <w:tbl>
      <w:tblPr>
        <w:tblStyle w:val="Tabelacomgrade"/>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tblPr>
      <w:tblGrid>
        <w:gridCol w:w="1710"/>
        <w:gridCol w:w="12466"/>
      </w:tblGrid>
      <w:tr w:rsidR="008C62CA" w:rsidRPr="00932C2C" w:rsidTr="00EF7DA8">
        <w:trPr>
          <w:trHeight w:val="850"/>
          <w:tblHeader/>
        </w:trPr>
        <w:tc>
          <w:tcPr>
            <w:tcW w:w="603" w:type="pct"/>
            <w:vAlign w:val="center"/>
          </w:tcPr>
          <w:p w:rsidR="008C62CA" w:rsidRPr="00932C2C" w:rsidRDefault="008C62CA" w:rsidP="008C62CA">
            <w:pPr>
              <w:pStyle w:val="Legenda"/>
              <w:jc w:val="center"/>
              <w:rPr>
                <w:rFonts w:cs="Arial"/>
                <w:b/>
                <w:color w:val="000000" w:themeColor="text1"/>
                <w:szCs w:val="24"/>
              </w:rPr>
            </w:pPr>
            <w:r>
              <w:rPr>
                <w:rFonts w:cs="Arial"/>
                <w:b/>
                <w:color w:val="000000" w:themeColor="text1"/>
                <w:szCs w:val="24"/>
              </w:rPr>
              <w:t xml:space="preserve">Nome </w:t>
            </w:r>
            <w:r w:rsidR="00BC0EEB">
              <w:rPr>
                <w:rFonts w:cs="Arial"/>
                <w:b/>
                <w:color w:val="000000" w:themeColor="text1"/>
                <w:szCs w:val="24"/>
              </w:rPr>
              <w:t xml:space="preserve">completo </w:t>
            </w:r>
            <w:r>
              <w:rPr>
                <w:rFonts w:cs="Arial"/>
                <w:b/>
                <w:color w:val="000000" w:themeColor="text1"/>
                <w:szCs w:val="24"/>
              </w:rPr>
              <w:t xml:space="preserve">ou </w:t>
            </w:r>
            <w:r w:rsidR="00242A12">
              <w:rPr>
                <w:rFonts w:cs="Arial"/>
                <w:b/>
                <w:color w:val="000000" w:themeColor="text1"/>
                <w:szCs w:val="24"/>
              </w:rPr>
              <w:t>I</w:t>
            </w:r>
            <w:r>
              <w:rPr>
                <w:rFonts w:cs="Arial"/>
                <w:b/>
                <w:color w:val="000000" w:themeColor="text1"/>
                <w:szCs w:val="24"/>
              </w:rPr>
              <w:t>nstituição</w:t>
            </w:r>
          </w:p>
        </w:tc>
        <w:tc>
          <w:tcPr>
            <w:tcW w:w="4397" w:type="pct"/>
            <w:vAlign w:val="center"/>
          </w:tcPr>
          <w:p w:rsidR="008C62CA" w:rsidRPr="00AF4936" w:rsidRDefault="00AE4DDE" w:rsidP="00AF4936">
            <w:pPr>
              <w:pStyle w:val="Legenda"/>
              <w:rPr>
                <w:rFonts w:cs="Arial"/>
                <w:color w:val="000000" w:themeColor="text1"/>
                <w:szCs w:val="24"/>
              </w:rPr>
            </w:pPr>
            <w:proofErr w:type="gramStart"/>
            <w:r>
              <w:rPr>
                <w:rFonts w:cs="Arial"/>
                <w:color w:val="000000" w:themeColor="text1"/>
                <w:szCs w:val="24"/>
              </w:rPr>
              <w:t>Transportadora Brasileira Gasoduto</w:t>
            </w:r>
            <w:proofErr w:type="gramEnd"/>
            <w:r>
              <w:rPr>
                <w:rFonts w:cs="Arial"/>
                <w:color w:val="000000" w:themeColor="text1"/>
                <w:szCs w:val="24"/>
              </w:rPr>
              <w:t xml:space="preserve"> Bolívia-Brasil S.A. – (TBG)</w:t>
            </w:r>
          </w:p>
        </w:tc>
      </w:tr>
    </w:tbl>
    <w:p w:rsidR="008C62CA" w:rsidRDefault="008C62CA" w:rsidP="008C62CA"/>
    <w:p w:rsidR="008C62CA" w:rsidRPr="008C62CA" w:rsidRDefault="008C62CA" w:rsidP="008C62CA"/>
    <w:p w:rsidR="006E3142" w:rsidRDefault="006E3142" w:rsidP="00842086">
      <w:pPr>
        <w:pStyle w:val="Legenda"/>
        <w:jc w:val="both"/>
        <w:rPr>
          <w:rFonts w:cs="Arial"/>
          <w:b/>
          <w:szCs w:val="24"/>
        </w:rPr>
      </w:pPr>
    </w:p>
    <w:tbl>
      <w:tblPr>
        <w:tblStyle w:val="Tabelacomgrade"/>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tblPr>
      <w:tblGrid>
        <w:gridCol w:w="1858"/>
        <w:gridCol w:w="1661"/>
        <w:gridCol w:w="5503"/>
        <w:gridCol w:w="5154"/>
      </w:tblGrid>
      <w:tr w:rsidR="004873F0" w:rsidRPr="00932C2C" w:rsidTr="00CC632B">
        <w:trPr>
          <w:trHeight w:val="850"/>
          <w:tblHeader/>
        </w:trPr>
        <w:tc>
          <w:tcPr>
            <w:tcW w:w="655" w:type="pct"/>
            <w:tcBorders>
              <w:bottom w:val="dashSmallGap" w:sz="4" w:space="0" w:color="BFBFBF" w:themeColor="background1" w:themeShade="BF"/>
            </w:tcBorders>
            <w:vAlign w:val="center"/>
          </w:tcPr>
          <w:p w:rsidR="004873F0" w:rsidRPr="00932C2C" w:rsidRDefault="004873F0" w:rsidP="000C0894">
            <w:pPr>
              <w:pStyle w:val="Legenda"/>
              <w:jc w:val="center"/>
              <w:rPr>
                <w:rFonts w:cs="Arial"/>
                <w:b/>
                <w:color w:val="000000" w:themeColor="text1"/>
                <w:szCs w:val="24"/>
              </w:rPr>
            </w:pPr>
            <w:r w:rsidRPr="00932C2C">
              <w:rPr>
                <w:rFonts w:cs="Arial"/>
                <w:b/>
                <w:color w:val="000000" w:themeColor="text1"/>
                <w:szCs w:val="24"/>
              </w:rPr>
              <w:t>Natureza da sugestão</w:t>
            </w:r>
          </w:p>
        </w:tc>
        <w:tc>
          <w:tcPr>
            <w:tcW w:w="586" w:type="pct"/>
            <w:tcBorders>
              <w:bottom w:val="dashSmallGap" w:sz="4" w:space="0" w:color="BFBFBF" w:themeColor="background1" w:themeShade="BF"/>
            </w:tcBorders>
            <w:vAlign w:val="center"/>
          </w:tcPr>
          <w:p w:rsidR="004873F0" w:rsidRPr="00932C2C" w:rsidRDefault="004873F0" w:rsidP="000C0894">
            <w:pPr>
              <w:pStyle w:val="Legenda"/>
              <w:jc w:val="center"/>
              <w:rPr>
                <w:rFonts w:cs="Arial"/>
                <w:b/>
                <w:color w:val="000000" w:themeColor="text1"/>
                <w:szCs w:val="24"/>
              </w:rPr>
            </w:pPr>
            <w:r w:rsidRPr="00932C2C">
              <w:rPr>
                <w:rFonts w:cs="Arial"/>
                <w:b/>
                <w:color w:val="000000" w:themeColor="text1"/>
                <w:szCs w:val="24"/>
              </w:rPr>
              <w:t>Item</w:t>
            </w:r>
          </w:p>
        </w:tc>
        <w:tc>
          <w:tcPr>
            <w:tcW w:w="1941" w:type="pct"/>
            <w:tcBorders>
              <w:bottom w:val="dashSmallGap" w:sz="4" w:space="0" w:color="BFBFBF" w:themeColor="background1" w:themeShade="BF"/>
            </w:tcBorders>
            <w:vAlign w:val="center"/>
          </w:tcPr>
          <w:p w:rsidR="004873F0" w:rsidRPr="00932C2C" w:rsidRDefault="004873F0" w:rsidP="000C0894">
            <w:pPr>
              <w:pStyle w:val="Legenda"/>
              <w:jc w:val="center"/>
              <w:rPr>
                <w:rFonts w:cs="Arial"/>
                <w:b/>
                <w:color w:val="000000" w:themeColor="text1"/>
                <w:szCs w:val="24"/>
              </w:rPr>
            </w:pPr>
            <w:r w:rsidRPr="00932C2C">
              <w:rPr>
                <w:rFonts w:cs="Arial"/>
                <w:b/>
                <w:color w:val="000000" w:themeColor="text1"/>
                <w:szCs w:val="24"/>
              </w:rPr>
              <w:t>Proposta de alteração</w:t>
            </w:r>
          </w:p>
        </w:tc>
        <w:tc>
          <w:tcPr>
            <w:tcW w:w="1818" w:type="pct"/>
            <w:tcBorders>
              <w:bottom w:val="dashSmallGap" w:sz="4" w:space="0" w:color="BFBFBF" w:themeColor="background1" w:themeShade="BF"/>
            </w:tcBorders>
            <w:vAlign w:val="center"/>
          </w:tcPr>
          <w:p w:rsidR="004873F0" w:rsidRPr="00932C2C" w:rsidRDefault="004873F0" w:rsidP="000C0894">
            <w:pPr>
              <w:pStyle w:val="Legenda"/>
              <w:jc w:val="center"/>
              <w:rPr>
                <w:rFonts w:cs="Arial"/>
                <w:b/>
                <w:color w:val="000000" w:themeColor="text1"/>
                <w:szCs w:val="24"/>
              </w:rPr>
            </w:pPr>
            <w:r w:rsidRPr="00932C2C">
              <w:rPr>
                <w:rFonts w:cs="Arial"/>
                <w:b/>
                <w:color w:val="000000" w:themeColor="text1"/>
                <w:szCs w:val="24"/>
              </w:rPr>
              <w:t>Justificativa</w:t>
            </w:r>
          </w:p>
        </w:tc>
      </w:tr>
      <w:tr w:rsidR="004873F0" w:rsidRPr="00932C2C" w:rsidTr="00CC632B">
        <w:trPr>
          <w:trHeight w:val="2268"/>
        </w:trPr>
        <w:tc>
          <w:tcPr>
            <w:tcW w:w="655" w:type="pct"/>
            <w:vAlign w:val="center"/>
          </w:tcPr>
          <w:p w:rsidR="004873F0" w:rsidRPr="000C0894" w:rsidRDefault="003126DD" w:rsidP="000C0894">
            <w:pPr>
              <w:pStyle w:val="Legenda"/>
              <w:jc w:val="center"/>
              <w:rPr>
                <w:rFonts w:cs="Arial"/>
                <w:color w:val="000000" w:themeColor="text1"/>
                <w:szCs w:val="24"/>
              </w:rPr>
            </w:pPr>
            <w:r>
              <w:rPr>
                <w:rFonts w:cs="Arial"/>
                <w:color w:val="000000" w:themeColor="text1"/>
                <w:szCs w:val="24"/>
              </w:rPr>
              <w:t>Alteração</w:t>
            </w:r>
          </w:p>
        </w:tc>
        <w:tc>
          <w:tcPr>
            <w:tcW w:w="586" w:type="pct"/>
            <w:vAlign w:val="center"/>
          </w:tcPr>
          <w:p w:rsidR="004873F0" w:rsidRPr="000C0894" w:rsidRDefault="00750574" w:rsidP="000C0894">
            <w:pPr>
              <w:pStyle w:val="Legenda"/>
              <w:jc w:val="center"/>
              <w:rPr>
                <w:rFonts w:cs="Arial"/>
                <w:color w:val="000000" w:themeColor="text1"/>
                <w:szCs w:val="24"/>
              </w:rPr>
            </w:pPr>
            <w:r>
              <w:rPr>
                <w:rFonts w:cs="Arial"/>
                <w:color w:val="000000" w:themeColor="text1"/>
                <w:szCs w:val="24"/>
              </w:rPr>
              <w:t xml:space="preserve">Cláusula </w:t>
            </w:r>
            <w:proofErr w:type="gramStart"/>
            <w:r>
              <w:rPr>
                <w:rFonts w:cs="Arial"/>
                <w:color w:val="000000" w:themeColor="text1"/>
                <w:szCs w:val="24"/>
              </w:rPr>
              <w:t>3</w:t>
            </w:r>
            <w:proofErr w:type="gramEnd"/>
            <w:r>
              <w:rPr>
                <w:rFonts w:cs="Arial"/>
                <w:color w:val="000000" w:themeColor="text1"/>
                <w:szCs w:val="24"/>
              </w:rPr>
              <w:t xml:space="preserve"> Item 3.1.3.b</w:t>
            </w:r>
          </w:p>
        </w:tc>
        <w:tc>
          <w:tcPr>
            <w:tcW w:w="1941" w:type="pct"/>
            <w:vAlign w:val="center"/>
          </w:tcPr>
          <w:p w:rsidR="00750574" w:rsidRPr="004743B7" w:rsidRDefault="004E2512" w:rsidP="00A45CED">
            <w:pPr>
              <w:pStyle w:val="Legenda"/>
              <w:jc w:val="both"/>
              <w:rPr>
                <w:rFonts w:cs="Arial"/>
                <w:color w:val="000000" w:themeColor="text1"/>
                <w:szCs w:val="24"/>
              </w:rPr>
            </w:pPr>
            <w:proofErr w:type="gramStart"/>
            <w:r w:rsidRPr="004743B7">
              <w:rPr>
                <w:rFonts w:cs="Arial"/>
                <w:color w:val="000000" w:themeColor="text1"/>
                <w:szCs w:val="24"/>
              </w:rPr>
              <w:t>possuir</w:t>
            </w:r>
            <w:proofErr w:type="gramEnd"/>
            <w:r w:rsidRPr="004743B7">
              <w:rPr>
                <w:rFonts w:cs="Arial"/>
                <w:color w:val="000000" w:themeColor="text1"/>
                <w:szCs w:val="24"/>
              </w:rPr>
              <w:t xml:space="preserve"> relação societária de controle ou coligação com o transportador do Gasoduto  de Transporte em questão ou com participante de consórcio constituído para atuar como transportador no gasoduto, na forma do art. 243 da Lei nº 6.404/76.</w:t>
            </w:r>
          </w:p>
          <w:p w:rsidR="004873F0" w:rsidRPr="00A45CED" w:rsidRDefault="004873F0" w:rsidP="000C0894">
            <w:pPr>
              <w:pStyle w:val="Legenda"/>
              <w:jc w:val="both"/>
              <w:rPr>
                <w:rFonts w:cs="Arial"/>
                <w:color w:val="000000" w:themeColor="text1"/>
                <w:szCs w:val="24"/>
                <w:highlight w:val="yellow"/>
              </w:rPr>
            </w:pPr>
          </w:p>
        </w:tc>
        <w:tc>
          <w:tcPr>
            <w:tcW w:w="1818" w:type="pct"/>
            <w:vAlign w:val="center"/>
          </w:tcPr>
          <w:p w:rsidR="004E2512" w:rsidRPr="0075625B" w:rsidRDefault="004E2512" w:rsidP="004E2512">
            <w:pPr>
              <w:pStyle w:val="Legenda"/>
              <w:jc w:val="both"/>
              <w:rPr>
                <w:rFonts w:cs="Arial"/>
                <w:color w:val="000000" w:themeColor="text1"/>
                <w:szCs w:val="24"/>
              </w:rPr>
            </w:pPr>
            <w:r w:rsidRPr="0075625B">
              <w:rPr>
                <w:rFonts w:cs="Arial"/>
                <w:color w:val="000000" w:themeColor="text1"/>
                <w:szCs w:val="24"/>
              </w:rPr>
              <w:t>A redação proposta possibilita que eventual empresa, que possua relação societária com a sociedade autorizada a exercer a atividade de Carregamento, possa atuar como transportador de gás, desde que não caracterizado o controle ou a coligação, na forma do art. 243 da Lei nº 6.404/76.</w:t>
            </w:r>
          </w:p>
          <w:p w:rsidR="004E2512" w:rsidRPr="0075625B" w:rsidRDefault="004E2512" w:rsidP="004E2512">
            <w:pPr>
              <w:pStyle w:val="Legenda"/>
              <w:jc w:val="both"/>
              <w:rPr>
                <w:rFonts w:cs="Arial"/>
                <w:color w:val="000000" w:themeColor="text1"/>
                <w:szCs w:val="24"/>
              </w:rPr>
            </w:pPr>
          </w:p>
          <w:p w:rsidR="004E2512" w:rsidRPr="0075625B" w:rsidRDefault="004E2512" w:rsidP="004E2512">
            <w:pPr>
              <w:pStyle w:val="Legenda"/>
              <w:jc w:val="both"/>
              <w:rPr>
                <w:rFonts w:cs="Arial"/>
                <w:color w:val="000000" w:themeColor="text1"/>
                <w:szCs w:val="24"/>
              </w:rPr>
            </w:pPr>
            <w:r w:rsidRPr="0075625B">
              <w:rPr>
                <w:rFonts w:cs="Arial"/>
                <w:color w:val="000000" w:themeColor="text1"/>
                <w:szCs w:val="24"/>
              </w:rPr>
              <w:t xml:space="preserve">Vale destacar que essa participação, nos </w:t>
            </w:r>
            <w:r w:rsidRPr="0075625B">
              <w:rPr>
                <w:rFonts w:cs="Arial"/>
                <w:color w:val="000000" w:themeColor="text1"/>
                <w:szCs w:val="24"/>
              </w:rPr>
              <w:lastRenderedPageBreak/>
              <w:t>moldes do art. 243 da Lei nº 6.404/76, é destituída de influência significativa,</w:t>
            </w:r>
            <w:proofErr w:type="gramStart"/>
            <w:r w:rsidRPr="0075625B">
              <w:rPr>
                <w:rFonts w:cs="Arial"/>
                <w:color w:val="000000" w:themeColor="text1"/>
                <w:szCs w:val="24"/>
              </w:rPr>
              <w:t xml:space="preserve">  </w:t>
            </w:r>
            <w:proofErr w:type="gramEnd"/>
            <w:r w:rsidRPr="0075625B">
              <w:rPr>
                <w:rFonts w:cs="Arial"/>
                <w:color w:val="000000" w:themeColor="text1"/>
                <w:szCs w:val="24"/>
              </w:rPr>
              <w:t>inexistindo quaisquer riscos de ingerência por parte do Carregador.</w:t>
            </w:r>
          </w:p>
          <w:p w:rsidR="004E2512" w:rsidRPr="0075625B" w:rsidRDefault="004E2512" w:rsidP="0075625B">
            <w:pPr>
              <w:pStyle w:val="Legenda"/>
              <w:jc w:val="both"/>
              <w:rPr>
                <w:rFonts w:cs="Arial"/>
                <w:color w:val="000000" w:themeColor="text1"/>
                <w:szCs w:val="24"/>
              </w:rPr>
            </w:pPr>
          </w:p>
          <w:p w:rsidR="004E2512" w:rsidRPr="0075625B" w:rsidRDefault="004E2512" w:rsidP="0075625B">
            <w:pPr>
              <w:pStyle w:val="Legenda"/>
              <w:jc w:val="both"/>
              <w:rPr>
                <w:rFonts w:cs="Arial"/>
                <w:color w:val="000000" w:themeColor="text1"/>
                <w:szCs w:val="24"/>
              </w:rPr>
            </w:pPr>
            <w:r w:rsidRPr="0075625B">
              <w:rPr>
                <w:rFonts w:cs="Arial"/>
                <w:color w:val="000000" w:themeColor="text1"/>
                <w:szCs w:val="24"/>
              </w:rPr>
              <w:t>Ressalte-se que este modelo de participação vai ao encontro do disposto na Resolução nº 51 da ANP, não infringindo quaisquer de suas disposições.</w:t>
            </w:r>
          </w:p>
          <w:p w:rsidR="004E2512" w:rsidRPr="0075625B" w:rsidRDefault="004E2512" w:rsidP="0075625B">
            <w:pPr>
              <w:pStyle w:val="Legenda"/>
              <w:jc w:val="both"/>
              <w:rPr>
                <w:rFonts w:cs="Arial"/>
                <w:color w:val="000000" w:themeColor="text1"/>
                <w:szCs w:val="24"/>
              </w:rPr>
            </w:pPr>
            <w:r w:rsidRPr="0075625B">
              <w:rPr>
                <w:rFonts w:cs="Arial"/>
                <w:color w:val="000000" w:themeColor="text1"/>
                <w:szCs w:val="24"/>
              </w:rPr>
              <w:t>Não obstante, encontra-se também em consonância com os princípios do direito antitruste, considerando que, com a inexistência de influência significativa na sociedade transportadora, inexistirá qualquer preocupação de ordem concorrencial na relação desta última com o Carregador.</w:t>
            </w:r>
          </w:p>
          <w:p w:rsidR="004E2512" w:rsidRPr="0075625B" w:rsidRDefault="004E2512" w:rsidP="0075625B">
            <w:pPr>
              <w:pStyle w:val="Legenda"/>
              <w:jc w:val="both"/>
              <w:rPr>
                <w:rFonts w:cs="Arial"/>
                <w:color w:val="000000" w:themeColor="text1"/>
                <w:szCs w:val="24"/>
              </w:rPr>
            </w:pPr>
          </w:p>
          <w:p w:rsidR="004E2512" w:rsidRPr="0075625B" w:rsidRDefault="004E2512" w:rsidP="0075625B">
            <w:pPr>
              <w:pStyle w:val="Legenda"/>
              <w:jc w:val="both"/>
              <w:rPr>
                <w:rFonts w:cs="Arial"/>
                <w:color w:val="000000" w:themeColor="text1"/>
                <w:szCs w:val="24"/>
              </w:rPr>
            </w:pPr>
            <w:r w:rsidRPr="0075625B">
              <w:rPr>
                <w:rFonts w:cs="Arial"/>
                <w:color w:val="000000" w:themeColor="text1"/>
                <w:szCs w:val="24"/>
              </w:rPr>
              <w:t>Conforme as regras de hermenêutica da regulação antitruste, as normas devem ser interpretadas de acordo com os fins a que se destinam, considerando-se ainda os fundamentos da regulação como fator de sua legitimação.</w:t>
            </w:r>
          </w:p>
          <w:p w:rsidR="004E2512" w:rsidRPr="0075625B" w:rsidRDefault="004E2512" w:rsidP="0075625B">
            <w:pPr>
              <w:pStyle w:val="Legenda"/>
              <w:jc w:val="both"/>
              <w:rPr>
                <w:rFonts w:cs="Arial"/>
                <w:color w:val="000000" w:themeColor="text1"/>
                <w:szCs w:val="24"/>
              </w:rPr>
            </w:pPr>
          </w:p>
          <w:p w:rsidR="004E2512" w:rsidRPr="0075625B" w:rsidRDefault="004E2512" w:rsidP="0075625B">
            <w:pPr>
              <w:pStyle w:val="Legenda"/>
              <w:jc w:val="both"/>
              <w:rPr>
                <w:rFonts w:cs="Arial"/>
                <w:color w:val="000000" w:themeColor="text1"/>
                <w:szCs w:val="24"/>
              </w:rPr>
            </w:pPr>
            <w:r w:rsidRPr="0075625B">
              <w:rPr>
                <w:rFonts w:cs="Arial"/>
                <w:color w:val="000000" w:themeColor="text1"/>
                <w:szCs w:val="24"/>
              </w:rPr>
              <w:t>Conforme aduzido na Nota Técnica elaborada pela Coordenação de Defesa da Concorrência da ANP - CDC, as restrições nas relações acionárias entre o Carregador e o transportador possui o</w:t>
            </w:r>
            <w:proofErr w:type="gramStart"/>
            <w:r w:rsidRPr="0075625B">
              <w:rPr>
                <w:rFonts w:cs="Arial"/>
                <w:color w:val="000000" w:themeColor="text1"/>
                <w:szCs w:val="24"/>
              </w:rPr>
              <w:t xml:space="preserve">  </w:t>
            </w:r>
            <w:proofErr w:type="gramEnd"/>
            <w:r w:rsidRPr="0075625B">
              <w:rPr>
                <w:rFonts w:cs="Arial"/>
                <w:color w:val="000000" w:themeColor="text1"/>
                <w:szCs w:val="24"/>
              </w:rPr>
              <w:t xml:space="preserve">“objetivo de evitar que uma empresa de um segmento aja em função do interesse específico de sua </w:t>
            </w:r>
            <w:r w:rsidRPr="0075625B">
              <w:rPr>
                <w:rFonts w:cs="Arial"/>
                <w:color w:val="000000" w:themeColor="text1"/>
                <w:szCs w:val="24"/>
              </w:rPr>
              <w:lastRenderedPageBreak/>
              <w:t>controladora, ou de empresa com relevante participação acionária, que atua em outra atividade da cadeia.” (Nota Técnica nº 025/CDC, p.10)</w:t>
            </w:r>
          </w:p>
          <w:p w:rsidR="004E2512" w:rsidRPr="0075625B" w:rsidRDefault="004E2512" w:rsidP="0075625B">
            <w:pPr>
              <w:pStyle w:val="Legenda"/>
              <w:jc w:val="both"/>
              <w:rPr>
                <w:rFonts w:cs="Arial"/>
                <w:color w:val="000000" w:themeColor="text1"/>
                <w:szCs w:val="24"/>
              </w:rPr>
            </w:pPr>
          </w:p>
          <w:p w:rsidR="004E2512" w:rsidRPr="0075625B" w:rsidRDefault="004E2512" w:rsidP="0075625B">
            <w:pPr>
              <w:pStyle w:val="Legenda"/>
              <w:jc w:val="both"/>
              <w:rPr>
                <w:rFonts w:cs="Arial"/>
                <w:color w:val="000000" w:themeColor="text1"/>
                <w:szCs w:val="24"/>
              </w:rPr>
            </w:pPr>
            <w:r w:rsidRPr="0075625B">
              <w:rPr>
                <w:rFonts w:cs="Arial"/>
                <w:color w:val="000000" w:themeColor="text1"/>
                <w:szCs w:val="24"/>
              </w:rPr>
              <w:t xml:space="preserve">Nesse contexto, como é de se depreender do item 3.1.3, “b” do edital comentado, este item possui como objetivo principal prevenir que a sociedade constituída venha, de qualquer forma, a agir em função do interesse do Carregador, evitando-se, em última </w:t>
            </w:r>
            <w:proofErr w:type="spellStart"/>
            <w:r w:rsidRPr="0075625B">
              <w:rPr>
                <w:rFonts w:cs="Arial"/>
                <w:color w:val="000000" w:themeColor="text1"/>
                <w:szCs w:val="24"/>
              </w:rPr>
              <w:t>ratio</w:t>
            </w:r>
            <w:proofErr w:type="spellEnd"/>
            <w:r w:rsidRPr="0075625B">
              <w:rPr>
                <w:rFonts w:cs="Arial"/>
                <w:color w:val="000000" w:themeColor="text1"/>
                <w:szCs w:val="24"/>
              </w:rPr>
              <w:t xml:space="preserve">, eventual prática de </w:t>
            </w:r>
            <w:proofErr w:type="spellStart"/>
            <w:r w:rsidRPr="0075625B">
              <w:rPr>
                <w:rFonts w:cs="Arial"/>
                <w:color w:val="000000" w:themeColor="text1"/>
                <w:szCs w:val="24"/>
              </w:rPr>
              <w:t>market</w:t>
            </w:r>
            <w:proofErr w:type="spellEnd"/>
            <w:r w:rsidRPr="0075625B">
              <w:rPr>
                <w:rFonts w:cs="Arial"/>
                <w:color w:val="000000" w:themeColor="text1"/>
                <w:szCs w:val="24"/>
              </w:rPr>
              <w:t xml:space="preserve"> </w:t>
            </w:r>
            <w:proofErr w:type="spellStart"/>
            <w:r w:rsidRPr="0075625B">
              <w:rPr>
                <w:rFonts w:cs="Arial"/>
                <w:color w:val="000000" w:themeColor="text1"/>
                <w:szCs w:val="24"/>
              </w:rPr>
              <w:t>foreclosure</w:t>
            </w:r>
            <w:proofErr w:type="spellEnd"/>
            <w:r w:rsidRPr="0075625B">
              <w:rPr>
                <w:rFonts w:cs="Arial"/>
                <w:color w:val="000000" w:themeColor="text1"/>
                <w:szCs w:val="24"/>
              </w:rPr>
              <w:t>.</w:t>
            </w:r>
          </w:p>
          <w:p w:rsidR="004E2512" w:rsidRPr="0075625B" w:rsidRDefault="0075625B" w:rsidP="0075625B">
            <w:pPr>
              <w:pStyle w:val="Legenda"/>
              <w:jc w:val="both"/>
              <w:rPr>
                <w:rFonts w:cs="Arial"/>
                <w:color w:val="000000" w:themeColor="text1"/>
                <w:szCs w:val="24"/>
              </w:rPr>
            </w:pPr>
            <w:r w:rsidRPr="0075625B">
              <w:rPr>
                <w:rFonts w:cs="Arial"/>
                <w:color w:val="000000" w:themeColor="text1"/>
                <w:szCs w:val="24"/>
              </w:rPr>
              <w:t xml:space="preserve">No entanto, considerando que a redação proposta guarda consonância com a disciplina prevista na Resolução nº 51, e inexistindo qualquer participação, por parte da empresa controlada ou coligada ao eventual Carregador, na gestão da </w:t>
            </w:r>
            <w:proofErr w:type="gramStart"/>
            <w:r w:rsidRPr="0075625B">
              <w:rPr>
                <w:rFonts w:cs="Arial"/>
                <w:color w:val="000000" w:themeColor="text1"/>
                <w:szCs w:val="24"/>
              </w:rPr>
              <w:t>supra mencionada</w:t>
            </w:r>
            <w:proofErr w:type="gramEnd"/>
            <w:r w:rsidRPr="0075625B">
              <w:rPr>
                <w:rFonts w:cs="Arial"/>
                <w:color w:val="000000" w:themeColor="text1"/>
                <w:szCs w:val="24"/>
              </w:rPr>
              <w:t xml:space="preserve"> sociedade, não havendo assim potencial de futuras práticas anticompetitivas ou que avilte a livre concorrência no âmbito do futuro gasoduto a ser licitado, somos do entendimento de que a redação proposta está em plena consonância com o novo modelo regulatório adotado por esta Agência Reguladora, ademais, como mencionado, se considerados os princípios e objetivos do direito concorrencial.</w:t>
            </w:r>
          </w:p>
          <w:p w:rsidR="004873F0" w:rsidRPr="00A45CED" w:rsidRDefault="004873F0" w:rsidP="000C0894">
            <w:pPr>
              <w:pStyle w:val="Legenda"/>
              <w:jc w:val="both"/>
              <w:rPr>
                <w:rFonts w:cs="Arial"/>
                <w:color w:val="000000" w:themeColor="text1"/>
                <w:szCs w:val="24"/>
                <w:highlight w:val="yellow"/>
              </w:rPr>
            </w:pPr>
          </w:p>
        </w:tc>
      </w:tr>
      <w:tr w:rsidR="004873F0" w:rsidRPr="00932C2C" w:rsidTr="00CC632B">
        <w:trPr>
          <w:trHeight w:val="2268"/>
        </w:trPr>
        <w:tc>
          <w:tcPr>
            <w:tcW w:w="655" w:type="pct"/>
            <w:vAlign w:val="center"/>
          </w:tcPr>
          <w:p w:rsidR="004873F0" w:rsidRPr="000C0894" w:rsidRDefault="003126DD" w:rsidP="000C0894">
            <w:pPr>
              <w:pStyle w:val="Legenda"/>
              <w:jc w:val="center"/>
              <w:rPr>
                <w:rFonts w:cs="Arial"/>
                <w:color w:val="000000" w:themeColor="text1"/>
                <w:szCs w:val="24"/>
              </w:rPr>
            </w:pPr>
            <w:r>
              <w:rPr>
                <w:rFonts w:cs="Arial"/>
                <w:color w:val="000000" w:themeColor="text1"/>
                <w:szCs w:val="24"/>
              </w:rPr>
              <w:lastRenderedPageBreak/>
              <w:t>Alteração</w:t>
            </w:r>
          </w:p>
        </w:tc>
        <w:tc>
          <w:tcPr>
            <w:tcW w:w="586" w:type="pct"/>
            <w:vAlign w:val="center"/>
          </w:tcPr>
          <w:p w:rsidR="004873F0" w:rsidRPr="000C0894" w:rsidRDefault="00750574" w:rsidP="00B86F0B">
            <w:pPr>
              <w:pStyle w:val="Legenda"/>
              <w:jc w:val="center"/>
              <w:rPr>
                <w:rFonts w:cs="Arial"/>
                <w:color w:val="000000" w:themeColor="text1"/>
                <w:szCs w:val="24"/>
              </w:rPr>
            </w:pPr>
            <w:r>
              <w:rPr>
                <w:rFonts w:cs="Arial"/>
                <w:color w:val="000000" w:themeColor="text1"/>
                <w:szCs w:val="24"/>
              </w:rPr>
              <w:t xml:space="preserve">Cláusula </w:t>
            </w:r>
            <w:proofErr w:type="gramStart"/>
            <w:r>
              <w:rPr>
                <w:rFonts w:cs="Arial"/>
                <w:color w:val="000000" w:themeColor="text1"/>
                <w:szCs w:val="24"/>
              </w:rPr>
              <w:t>3</w:t>
            </w:r>
            <w:proofErr w:type="gramEnd"/>
            <w:r>
              <w:rPr>
                <w:rFonts w:cs="Arial"/>
                <w:color w:val="000000" w:themeColor="text1"/>
                <w:szCs w:val="24"/>
              </w:rPr>
              <w:t xml:space="preserve"> Item 3.</w:t>
            </w:r>
            <w:r w:rsidR="00B86F0B">
              <w:rPr>
                <w:rFonts w:cs="Arial"/>
                <w:color w:val="000000" w:themeColor="text1"/>
                <w:szCs w:val="24"/>
              </w:rPr>
              <w:t>1</w:t>
            </w:r>
            <w:r>
              <w:rPr>
                <w:rFonts w:cs="Arial"/>
                <w:color w:val="000000" w:themeColor="text1"/>
                <w:szCs w:val="24"/>
              </w:rPr>
              <w:t>.5</w:t>
            </w:r>
          </w:p>
        </w:tc>
        <w:tc>
          <w:tcPr>
            <w:tcW w:w="1941" w:type="pct"/>
            <w:vAlign w:val="center"/>
          </w:tcPr>
          <w:p w:rsidR="00B86F0B" w:rsidRPr="00B86F0B" w:rsidRDefault="00B86F0B" w:rsidP="00B86F0B">
            <w:pPr>
              <w:pStyle w:val="Ttulo3"/>
              <w:numPr>
                <w:ilvl w:val="0"/>
                <w:numId w:val="0"/>
              </w:numPr>
              <w:outlineLvl w:val="2"/>
              <w:rPr>
                <w:rFonts w:ascii="Arial" w:hAnsi="Arial" w:cs="Arial"/>
                <w:bCs w:val="0"/>
                <w:color w:val="000000" w:themeColor="text1"/>
                <w:sz w:val="24"/>
                <w:szCs w:val="24"/>
                <w:lang w:eastAsia="pt-BR"/>
              </w:rPr>
            </w:pPr>
            <w:bookmarkStart w:id="0" w:name="_Toc363229639"/>
            <w:bookmarkStart w:id="1" w:name="_Toc363659939"/>
            <w:r w:rsidRPr="00B86F0B">
              <w:rPr>
                <w:rFonts w:ascii="Arial" w:hAnsi="Arial" w:cs="Arial"/>
                <w:bCs w:val="0"/>
                <w:color w:val="000000" w:themeColor="text1"/>
                <w:sz w:val="24"/>
                <w:szCs w:val="24"/>
                <w:lang w:eastAsia="pt-BR"/>
              </w:rPr>
              <w:t>Nas Chamadas Públicas para a contratação de capacidade de um novo Gasoduto de Transporte, os Carregadores Vencedores serão também denominados Carregadores Iniciais do respectivo gasoduto e terão poderão obter um Período de Exclusividade para exploração da sua capacidade contratada, que será fixado pelo Ministério de Minas e Energia.</w:t>
            </w:r>
            <w:bookmarkEnd w:id="0"/>
            <w:bookmarkEnd w:id="1"/>
          </w:p>
          <w:p w:rsidR="004873F0" w:rsidRPr="00A45CED" w:rsidRDefault="004873F0" w:rsidP="00750574">
            <w:pPr>
              <w:pStyle w:val="Ttulo3"/>
              <w:numPr>
                <w:ilvl w:val="0"/>
                <w:numId w:val="0"/>
              </w:numPr>
              <w:ind w:left="720"/>
              <w:outlineLvl w:val="2"/>
              <w:rPr>
                <w:rFonts w:cs="Arial"/>
                <w:color w:val="000000" w:themeColor="text1"/>
                <w:szCs w:val="24"/>
                <w:highlight w:val="yellow"/>
              </w:rPr>
            </w:pPr>
          </w:p>
        </w:tc>
        <w:tc>
          <w:tcPr>
            <w:tcW w:w="1818" w:type="pct"/>
            <w:vAlign w:val="center"/>
          </w:tcPr>
          <w:p w:rsidR="004873F0" w:rsidRPr="00A45CED" w:rsidRDefault="00B86F0B" w:rsidP="000C0894">
            <w:pPr>
              <w:pStyle w:val="Legenda"/>
              <w:jc w:val="both"/>
              <w:rPr>
                <w:rFonts w:cs="Arial"/>
                <w:color w:val="000000" w:themeColor="text1"/>
                <w:szCs w:val="24"/>
                <w:highlight w:val="yellow"/>
              </w:rPr>
            </w:pPr>
            <w:r w:rsidRPr="00B86F0B">
              <w:rPr>
                <w:rFonts w:cs="Arial"/>
                <w:color w:val="000000" w:themeColor="text1"/>
                <w:szCs w:val="24"/>
              </w:rPr>
              <w:t xml:space="preserve">A redação proposta </w:t>
            </w:r>
            <w:proofErr w:type="spellStart"/>
            <w:r w:rsidRPr="00B86F0B">
              <w:rPr>
                <w:rFonts w:cs="Arial"/>
                <w:color w:val="000000" w:themeColor="text1"/>
                <w:szCs w:val="24"/>
              </w:rPr>
              <w:t>adequa</w:t>
            </w:r>
            <w:proofErr w:type="spellEnd"/>
            <w:r w:rsidRPr="00B86F0B">
              <w:rPr>
                <w:rFonts w:cs="Arial"/>
                <w:color w:val="000000" w:themeColor="text1"/>
                <w:szCs w:val="24"/>
              </w:rPr>
              <w:t xml:space="preserve"> o dispositivo de forma que o disposto em cada um dos itens 3.1.5, 3.1.6 e 3.1.7 não fique contraditório. Ainda, encontra-se em harmonia com o previsto no art. 3º, §2º da Lei do Gás.</w:t>
            </w:r>
          </w:p>
        </w:tc>
      </w:tr>
      <w:tr w:rsidR="00E32096" w:rsidRPr="00932C2C" w:rsidTr="00CC632B">
        <w:trPr>
          <w:trHeight w:val="2268"/>
        </w:trPr>
        <w:tc>
          <w:tcPr>
            <w:tcW w:w="655" w:type="pct"/>
            <w:vAlign w:val="center"/>
          </w:tcPr>
          <w:p w:rsidR="00E32096" w:rsidRDefault="003126DD" w:rsidP="000C0894">
            <w:pPr>
              <w:pStyle w:val="Legenda"/>
              <w:jc w:val="center"/>
              <w:rPr>
                <w:rFonts w:cs="Arial"/>
                <w:color w:val="000000" w:themeColor="text1"/>
                <w:szCs w:val="24"/>
              </w:rPr>
            </w:pPr>
            <w:r>
              <w:rPr>
                <w:rFonts w:cs="Arial"/>
                <w:color w:val="000000" w:themeColor="text1"/>
                <w:szCs w:val="24"/>
              </w:rPr>
              <w:t>Alteração</w:t>
            </w:r>
          </w:p>
        </w:tc>
        <w:tc>
          <w:tcPr>
            <w:tcW w:w="586" w:type="pct"/>
            <w:vAlign w:val="center"/>
          </w:tcPr>
          <w:p w:rsidR="00E32096" w:rsidRDefault="00E32096" w:rsidP="00E32096">
            <w:pPr>
              <w:pStyle w:val="Legenda"/>
              <w:jc w:val="center"/>
              <w:rPr>
                <w:rFonts w:cs="Arial"/>
                <w:color w:val="000000" w:themeColor="text1"/>
                <w:szCs w:val="24"/>
              </w:rPr>
            </w:pPr>
            <w:r>
              <w:rPr>
                <w:rFonts w:cs="Arial"/>
                <w:color w:val="000000" w:themeColor="text1"/>
                <w:szCs w:val="24"/>
              </w:rPr>
              <w:t xml:space="preserve">Cláusula </w:t>
            </w:r>
            <w:proofErr w:type="gramStart"/>
            <w:r>
              <w:rPr>
                <w:rFonts w:cs="Arial"/>
                <w:color w:val="000000" w:themeColor="text1"/>
                <w:szCs w:val="24"/>
              </w:rPr>
              <w:t>3</w:t>
            </w:r>
            <w:proofErr w:type="gramEnd"/>
            <w:r>
              <w:rPr>
                <w:rFonts w:cs="Arial"/>
                <w:color w:val="000000" w:themeColor="text1"/>
                <w:szCs w:val="24"/>
              </w:rPr>
              <w:t xml:space="preserve"> Item 3.1.8</w:t>
            </w:r>
          </w:p>
        </w:tc>
        <w:tc>
          <w:tcPr>
            <w:tcW w:w="1941" w:type="pct"/>
            <w:vAlign w:val="center"/>
          </w:tcPr>
          <w:p w:rsidR="00E32096" w:rsidRDefault="00E32096" w:rsidP="00990E49">
            <w:pPr>
              <w:pStyle w:val="Legenda"/>
              <w:jc w:val="both"/>
              <w:rPr>
                <w:rFonts w:cs="Arial"/>
                <w:color w:val="000000" w:themeColor="text1"/>
                <w:szCs w:val="24"/>
              </w:rPr>
            </w:pPr>
            <w:bookmarkStart w:id="2" w:name="_Toc363229643"/>
            <w:bookmarkStart w:id="3" w:name="_Toc363659943"/>
            <w:bookmarkStart w:id="4" w:name="_Ref363743947"/>
            <w:r w:rsidRPr="00E32096">
              <w:rPr>
                <w:rFonts w:cs="Arial"/>
                <w:color w:val="000000" w:themeColor="text1"/>
                <w:szCs w:val="24"/>
              </w:rPr>
              <w:t>A data prevista para a entrada em operação do Gasoduto de Transporte objeto da Chamada Pública é 1º de junho de 2016 ou em data posterior, observado o disposto no item 3.1.9 deste Edital, quando ocorrerá o início da prestação de Serviço de Transporte Firme, respeitado o disposto no Termo de Compromisso, no Contrato de Serviço de Transporte e no Contrato de Concessão.</w:t>
            </w:r>
            <w:bookmarkEnd w:id="2"/>
            <w:bookmarkEnd w:id="3"/>
            <w:bookmarkEnd w:id="4"/>
          </w:p>
        </w:tc>
        <w:tc>
          <w:tcPr>
            <w:tcW w:w="1818" w:type="pct"/>
            <w:vAlign w:val="center"/>
          </w:tcPr>
          <w:p w:rsidR="00E32096" w:rsidRPr="00E32096" w:rsidRDefault="00E32096" w:rsidP="00E32096">
            <w:pPr>
              <w:pStyle w:val="Legenda"/>
              <w:jc w:val="both"/>
              <w:rPr>
                <w:rFonts w:cs="Arial"/>
                <w:color w:val="000000" w:themeColor="text1"/>
                <w:szCs w:val="24"/>
              </w:rPr>
            </w:pPr>
            <w:r w:rsidRPr="00E32096">
              <w:rPr>
                <w:rFonts w:cs="Arial"/>
                <w:color w:val="000000" w:themeColor="text1"/>
                <w:szCs w:val="24"/>
              </w:rPr>
              <w:t>A redação original dá margem à dúvida quanto ao momento do início da prestação do serviço de transporte, caso a operação do gasoduto não ocorra na data prevista de 1º de junho de 2016.</w:t>
            </w:r>
          </w:p>
          <w:p w:rsidR="00E32096" w:rsidRPr="00E32096" w:rsidRDefault="00E32096" w:rsidP="00E32096">
            <w:pPr>
              <w:pStyle w:val="Legenda"/>
              <w:jc w:val="both"/>
              <w:rPr>
                <w:rFonts w:cs="Arial"/>
                <w:color w:val="000000" w:themeColor="text1"/>
                <w:szCs w:val="24"/>
              </w:rPr>
            </w:pPr>
          </w:p>
          <w:p w:rsidR="00E32096" w:rsidRPr="00E32096" w:rsidRDefault="00E32096" w:rsidP="00E32096">
            <w:pPr>
              <w:pStyle w:val="Legenda"/>
              <w:jc w:val="both"/>
              <w:rPr>
                <w:rFonts w:cs="Arial"/>
                <w:color w:val="000000" w:themeColor="text1"/>
                <w:szCs w:val="24"/>
              </w:rPr>
            </w:pPr>
            <w:r w:rsidRPr="00E32096">
              <w:rPr>
                <w:rFonts w:cs="Arial"/>
                <w:color w:val="000000" w:themeColor="text1"/>
                <w:szCs w:val="24"/>
              </w:rPr>
              <w:t>Ou seja, ultrapassada a data de 1º/junho/2016 sem a entrada em operação do gasoduto, a redação original dá a entender que o serviço de transporte inicia-se em 1º/junho/2016, mesmo sem o gasoduto encontrar-se em operação.</w:t>
            </w:r>
          </w:p>
          <w:p w:rsidR="00E32096" w:rsidRPr="00E32096" w:rsidRDefault="00E32096" w:rsidP="00E32096">
            <w:pPr>
              <w:pStyle w:val="Legenda"/>
              <w:jc w:val="both"/>
              <w:rPr>
                <w:rFonts w:cs="Arial"/>
                <w:color w:val="000000" w:themeColor="text1"/>
                <w:szCs w:val="24"/>
              </w:rPr>
            </w:pPr>
          </w:p>
          <w:p w:rsidR="00E32096" w:rsidRPr="00E32096" w:rsidRDefault="00E32096" w:rsidP="00E32096">
            <w:pPr>
              <w:pStyle w:val="Legenda"/>
              <w:jc w:val="both"/>
              <w:rPr>
                <w:rFonts w:cs="Arial"/>
                <w:color w:val="000000" w:themeColor="text1"/>
                <w:szCs w:val="24"/>
              </w:rPr>
            </w:pPr>
            <w:r w:rsidRPr="00E32096">
              <w:rPr>
                <w:rFonts w:cs="Arial"/>
                <w:color w:val="000000" w:themeColor="text1"/>
                <w:szCs w:val="24"/>
              </w:rPr>
              <w:t xml:space="preserve">Com a redação proposta, não ocorrendo </w:t>
            </w:r>
            <w:proofErr w:type="gramStart"/>
            <w:r w:rsidRPr="00E32096">
              <w:rPr>
                <w:rFonts w:cs="Arial"/>
                <w:color w:val="000000" w:themeColor="text1"/>
                <w:szCs w:val="24"/>
              </w:rPr>
              <w:t>a</w:t>
            </w:r>
            <w:proofErr w:type="gramEnd"/>
            <w:r w:rsidRPr="00E32096">
              <w:rPr>
                <w:rFonts w:cs="Arial"/>
                <w:color w:val="000000" w:themeColor="text1"/>
                <w:szCs w:val="24"/>
              </w:rPr>
              <w:t xml:space="preserve"> operação em 1º de junho de 2016, mas em outra data, dentro do prazo máximo de 2 (dois) anos previsto no item 3.1.9, esta sim será a data considerada para o início do serviço de transporte.</w:t>
            </w:r>
          </w:p>
          <w:p w:rsidR="00E32096" w:rsidRPr="00E32096" w:rsidRDefault="00E32096" w:rsidP="00E32096">
            <w:pPr>
              <w:pStyle w:val="Legenda"/>
              <w:jc w:val="both"/>
              <w:rPr>
                <w:rFonts w:cs="Arial"/>
                <w:color w:val="000000" w:themeColor="text1"/>
                <w:szCs w:val="24"/>
              </w:rPr>
            </w:pPr>
          </w:p>
          <w:p w:rsidR="00E32096" w:rsidRDefault="00E32096" w:rsidP="00E32096">
            <w:pPr>
              <w:pStyle w:val="Legenda"/>
              <w:jc w:val="both"/>
              <w:rPr>
                <w:rFonts w:cs="Arial"/>
                <w:color w:val="000000" w:themeColor="text1"/>
                <w:szCs w:val="24"/>
              </w:rPr>
            </w:pPr>
            <w:r w:rsidRPr="00E32096">
              <w:rPr>
                <w:rFonts w:cs="Arial"/>
                <w:color w:val="000000" w:themeColor="text1"/>
                <w:szCs w:val="24"/>
              </w:rPr>
              <w:lastRenderedPageBreak/>
              <w:t>Caso ultrapassado o prazo máximo previsto no item 3.1.9 sem a sua entrada em operação, aplica-se o disposto no item 3.1.10.</w:t>
            </w:r>
          </w:p>
        </w:tc>
      </w:tr>
      <w:tr w:rsidR="00E32096" w:rsidRPr="00932C2C" w:rsidTr="00CC632B">
        <w:trPr>
          <w:trHeight w:val="2268"/>
        </w:trPr>
        <w:tc>
          <w:tcPr>
            <w:tcW w:w="655" w:type="pct"/>
            <w:vAlign w:val="center"/>
          </w:tcPr>
          <w:p w:rsidR="00E32096" w:rsidRDefault="003126DD" w:rsidP="000C0894">
            <w:pPr>
              <w:pStyle w:val="Legenda"/>
              <w:jc w:val="center"/>
              <w:rPr>
                <w:rFonts w:cs="Arial"/>
                <w:color w:val="000000" w:themeColor="text1"/>
                <w:szCs w:val="24"/>
              </w:rPr>
            </w:pPr>
            <w:r>
              <w:rPr>
                <w:rFonts w:cs="Arial"/>
                <w:color w:val="000000" w:themeColor="text1"/>
                <w:szCs w:val="24"/>
              </w:rPr>
              <w:lastRenderedPageBreak/>
              <w:t>Alteração</w:t>
            </w:r>
          </w:p>
        </w:tc>
        <w:tc>
          <w:tcPr>
            <w:tcW w:w="586" w:type="pct"/>
            <w:vAlign w:val="center"/>
          </w:tcPr>
          <w:p w:rsidR="00E32096" w:rsidRDefault="00E32096" w:rsidP="00E32096">
            <w:pPr>
              <w:pStyle w:val="Legenda"/>
              <w:jc w:val="center"/>
              <w:rPr>
                <w:rFonts w:cs="Arial"/>
                <w:color w:val="000000" w:themeColor="text1"/>
                <w:szCs w:val="24"/>
              </w:rPr>
            </w:pPr>
            <w:r>
              <w:rPr>
                <w:rFonts w:cs="Arial"/>
                <w:color w:val="000000" w:themeColor="text1"/>
                <w:szCs w:val="24"/>
              </w:rPr>
              <w:t xml:space="preserve">Cláusula </w:t>
            </w:r>
            <w:proofErr w:type="gramStart"/>
            <w:r>
              <w:rPr>
                <w:rFonts w:cs="Arial"/>
                <w:color w:val="000000" w:themeColor="text1"/>
                <w:szCs w:val="24"/>
              </w:rPr>
              <w:t>3</w:t>
            </w:r>
            <w:proofErr w:type="gramEnd"/>
            <w:r>
              <w:rPr>
                <w:rFonts w:cs="Arial"/>
                <w:color w:val="000000" w:themeColor="text1"/>
                <w:szCs w:val="24"/>
              </w:rPr>
              <w:t xml:space="preserve"> Item 3.5.4</w:t>
            </w:r>
          </w:p>
        </w:tc>
        <w:tc>
          <w:tcPr>
            <w:tcW w:w="1941" w:type="pct"/>
            <w:vAlign w:val="center"/>
          </w:tcPr>
          <w:p w:rsidR="00E32096" w:rsidRDefault="00E32096" w:rsidP="00990E49">
            <w:pPr>
              <w:pStyle w:val="Legenda"/>
              <w:jc w:val="both"/>
              <w:rPr>
                <w:rFonts w:cs="Arial"/>
                <w:color w:val="000000" w:themeColor="text1"/>
                <w:szCs w:val="24"/>
              </w:rPr>
            </w:pPr>
            <w:r w:rsidRPr="00E32096">
              <w:rPr>
                <w:rFonts w:cs="Arial"/>
                <w:color w:val="000000" w:themeColor="text1"/>
                <w:szCs w:val="24"/>
              </w:rPr>
              <w:t>Se o Teste de Viabilidade Técnico-Econômico for bem-sucedido, ainda na fase de identificação dos potenciais carregadores haverá a divulgação aos Participantes da Capacidade Solicitada e do valor obtido para a Tarifa de Transporte Máxima, em conformidade com os critérios constantes da Resolução ANP nº 15/2014.</w:t>
            </w:r>
          </w:p>
        </w:tc>
        <w:tc>
          <w:tcPr>
            <w:tcW w:w="1818" w:type="pct"/>
            <w:vAlign w:val="center"/>
          </w:tcPr>
          <w:p w:rsidR="00E32096" w:rsidRDefault="00E32096" w:rsidP="00E32096">
            <w:pPr>
              <w:pStyle w:val="Legenda"/>
              <w:jc w:val="both"/>
              <w:rPr>
                <w:rFonts w:cs="Arial"/>
                <w:color w:val="000000" w:themeColor="text1"/>
                <w:szCs w:val="24"/>
              </w:rPr>
            </w:pPr>
            <w:r w:rsidRPr="00E32096">
              <w:rPr>
                <w:rFonts w:cs="Arial"/>
                <w:color w:val="000000" w:themeColor="text1"/>
                <w:szCs w:val="24"/>
              </w:rPr>
              <w:t>Entendemos ser necessário destacar os critérios a observar na obtenção da Tarifa de Transporte Máxima, fazendo remissão à Resolução ANP nº 15/2014, que trata sobre o tema.</w:t>
            </w:r>
          </w:p>
        </w:tc>
      </w:tr>
      <w:tr w:rsidR="00D03FA1" w:rsidRPr="00932C2C" w:rsidTr="00CC632B">
        <w:trPr>
          <w:trHeight w:val="2268"/>
        </w:trPr>
        <w:tc>
          <w:tcPr>
            <w:tcW w:w="655" w:type="pct"/>
            <w:vAlign w:val="center"/>
          </w:tcPr>
          <w:p w:rsidR="00D03FA1" w:rsidRDefault="003126DD" w:rsidP="000C0894">
            <w:pPr>
              <w:pStyle w:val="Legenda"/>
              <w:jc w:val="center"/>
              <w:rPr>
                <w:rFonts w:cs="Arial"/>
                <w:color w:val="000000" w:themeColor="text1"/>
                <w:szCs w:val="24"/>
              </w:rPr>
            </w:pPr>
            <w:r>
              <w:rPr>
                <w:rFonts w:cs="Arial"/>
                <w:color w:val="000000" w:themeColor="text1"/>
                <w:szCs w:val="24"/>
              </w:rPr>
              <w:t>Alteração</w:t>
            </w:r>
          </w:p>
        </w:tc>
        <w:tc>
          <w:tcPr>
            <w:tcW w:w="586" w:type="pct"/>
            <w:vAlign w:val="center"/>
          </w:tcPr>
          <w:p w:rsidR="00D03FA1" w:rsidRDefault="00D03FA1" w:rsidP="00D03FA1">
            <w:pPr>
              <w:pStyle w:val="Legenda"/>
              <w:jc w:val="center"/>
              <w:rPr>
                <w:rFonts w:cs="Arial"/>
                <w:color w:val="000000" w:themeColor="text1"/>
                <w:szCs w:val="24"/>
              </w:rPr>
            </w:pPr>
            <w:r>
              <w:rPr>
                <w:rFonts w:cs="Arial"/>
                <w:color w:val="000000" w:themeColor="text1"/>
                <w:szCs w:val="24"/>
              </w:rPr>
              <w:t xml:space="preserve">Cláusula </w:t>
            </w:r>
            <w:proofErr w:type="gramStart"/>
            <w:r>
              <w:rPr>
                <w:rFonts w:cs="Arial"/>
                <w:color w:val="000000" w:themeColor="text1"/>
                <w:szCs w:val="24"/>
              </w:rPr>
              <w:t>3</w:t>
            </w:r>
            <w:proofErr w:type="gramEnd"/>
            <w:r>
              <w:rPr>
                <w:rFonts w:cs="Arial"/>
                <w:color w:val="000000" w:themeColor="text1"/>
                <w:szCs w:val="24"/>
              </w:rPr>
              <w:t xml:space="preserve"> Item 3.6.1</w:t>
            </w:r>
          </w:p>
        </w:tc>
        <w:tc>
          <w:tcPr>
            <w:tcW w:w="1941" w:type="pct"/>
            <w:vAlign w:val="center"/>
          </w:tcPr>
          <w:p w:rsidR="00D03FA1" w:rsidRPr="00D03FA1" w:rsidRDefault="00D03FA1" w:rsidP="00B70B8A">
            <w:pPr>
              <w:pStyle w:val="Ttulo3"/>
              <w:numPr>
                <w:ilvl w:val="0"/>
                <w:numId w:val="0"/>
              </w:numPr>
              <w:outlineLvl w:val="2"/>
              <w:rPr>
                <w:rFonts w:ascii="Arial" w:hAnsi="Arial" w:cs="Arial"/>
                <w:bCs w:val="0"/>
                <w:color w:val="000000" w:themeColor="text1"/>
                <w:sz w:val="24"/>
                <w:szCs w:val="24"/>
                <w:lang w:eastAsia="pt-BR"/>
              </w:rPr>
            </w:pPr>
            <w:bookmarkStart w:id="5" w:name="_Toc363229694"/>
            <w:bookmarkStart w:id="6" w:name="_Toc363659994"/>
            <w:r w:rsidRPr="00D03FA1">
              <w:rPr>
                <w:rFonts w:ascii="Arial" w:hAnsi="Arial" w:cs="Arial"/>
                <w:bCs w:val="0"/>
                <w:color w:val="000000" w:themeColor="text1"/>
                <w:sz w:val="24"/>
                <w:szCs w:val="24"/>
                <w:lang w:eastAsia="pt-BR"/>
              </w:rPr>
              <w:t xml:space="preserve">A Inscrição na Chamada Pública </w:t>
            </w:r>
            <w:proofErr w:type="gramStart"/>
            <w:r w:rsidRPr="00D03FA1">
              <w:rPr>
                <w:rFonts w:ascii="Arial" w:hAnsi="Arial" w:cs="Arial"/>
                <w:bCs w:val="0"/>
                <w:color w:val="000000" w:themeColor="text1"/>
                <w:sz w:val="24"/>
                <w:szCs w:val="24"/>
                <w:lang w:eastAsia="pt-BR"/>
              </w:rPr>
              <w:t>dar</w:t>
            </w:r>
            <w:proofErr w:type="gramEnd"/>
            <w:r w:rsidRPr="00D03FA1">
              <w:rPr>
                <w:rFonts w:ascii="Arial" w:hAnsi="Arial" w:cs="Arial"/>
                <w:bCs w:val="0"/>
                <w:color w:val="000000" w:themeColor="text1"/>
                <w:sz w:val="24"/>
                <w:szCs w:val="24"/>
                <w:lang w:eastAsia="pt-BR"/>
              </w:rPr>
              <w:t>-se-á mediante preenchimento do formulário de inscrição, contido no Anexo IV. O formulário de inscrição preenchido deve ser protocolado na ANP até a data indicada no Cronograma.</w:t>
            </w:r>
            <w:bookmarkEnd w:id="5"/>
            <w:bookmarkEnd w:id="6"/>
          </w:p>
          <w:p w:rsidR="00D03FA1" w:rsidRPr="000C0894" w:rsidRDefault="00D03FA1" w:rsidP="00B70B8A">
            <w:pPr>
              <w:pStyle w:val="Legenda"/>
              <w:jc w:val="both"/>
              <w:rPr>
                <w:rFonts w:cs="Arial"/>
                <w:color w:val="000000" w:themeColor="text1"/>
                <w:szCs w:val="24"/>
              </w:rPr>
            </w:pPr>
          </w:p>
        </w:tc>
        <w:tc>
          <w:tcPr>
            <w:tcW w:w="1818" w:type="pct"/>
            <w:vAlign w:val="center"/>
          </w:tcPr>
          <w:p w:rsidR="00D03FA1" w:rsidRDefault="00D03FA1" w:rsidP="00D03FA1">
            <w:pPr>
              <w:pStyle w:val="Legenda"/>
              <w:spacing w:before="120" w:after="120"/>
              <w:rPr>
                <w:rFonts w:cs="Arial"/>
                <w:color w:val="000000" w:themeColor="text1"/>
                <w:szCs w:val="24"/>
              </w:rPr>
            </w:pPr>
            <w:r w:rsidRPr="00D03FA1">
              <w:rPr>
                <w:rFonts w:cs="Arial"/>
                <w:color w:val="000000" w:themeColor="text1"/>
                <w:szCs w:val="24"/>
              </w:rPr>
              <w:t>Correção de redação.</w:t>
            </w:r>
          </w:p>
        </w:tc>
      </w:tr>
      <w:tr w:rsidR="00D03FA1" w:rsidRPr="00932C2C" w:rsidTr="00CC632B">
        <w:trPr>
          <w:trHeight w:val="2268"/>
        </w:trPr>
        <w:tc>
          <w:tcPr>
            <w:tcW w:w="655" w:type="pct"/>
            <w:vAlign w:val="center"/>
          </w:tcPr>
          <w:p w:rsidR="00D03FA1" w:rsidRDefault="003126DD" w:rsidP="000C0894">
            <w:pPr>
              <w:pStyle w:val="Legenda"/>
              <w:jc w:val="center"/>
              <w:rPr>
                <w:rFonts w:cs="Arial"/>
                <w:color w:val="000000" w:themeColor="text1"/>
                <w:szCs w:val="24"/>
              </w:rPr>
            </w:pPr>
            <w:r>
              <w:rPr>
                <w:rFonts w:cs="Arial"/>
                <w:color w:val="000000" w:themeColor="text1"/>
                <w:szCs w:val="24"/>
              </w:rPr>
              <w:lastRenderedPageBreak/>
              <w:t>Alteração</w:t>
            </w:r>
          </w:p>
        </w:tc>
        <w:tc>
          <w:tcPr>
            <w:tcW w:w="586" w:type="pct"/>
            <w:vAlign w:val="center"/>
          </w:tcPr>
          <w:p w:rsidR="00D03FA1" w:rsidRDefault="00D03FA1" w:rsidP="00D03FA1">
            <w:pPr>
              <w:pStyle w:val="Legenda"/>
              <w:jc w:val="center"/>
              <w:rPr>
                <w:rFonts w:cs="Arial"/>
                <w:color w:val="000000" w:themeColor="text1"/>
                <w:szCs w:val="24"/>
              </w:rPr>
            </w:pPr>
            <w:r>
              <w:rPr>
                <w:rFonts w:cs="Arial"/>
                <w:color w:val="000000" w:themeColor="text1"/>
                <w:szCs w:val="24"/>
              </w:rPr>
              <w:t xml:space="preserve">Cláusula </w:t>
            </w:r>
            <w:proofErr w:type="gramStart"/>
            <w:r>
              <w:rPr>
                <w:rFonts w:cs="Arial"/>
                <w:color w:val="000000" w:themeColor="text1"/>
                <w:szCs w:val="24"/>
              </w:rPr>
              <w:t>3</w:t>
            </w:r>
            <w:proofErr w:type="gramEnd"/>
            <w:r>
              <w:rPr>
                <w:rFonts w:cs="Arial"/>
                <w:color w:val="000000" w:themeColor="text1"/>
                <w:szCs w:val="24"/>
              </w:rPr>
              <w:t xml:space="preserve"> Item 3.6.9</w:t>
            </w:r>
          </w:p>
        </w:tc>
        <w:tc>
          <w:tcPr>
            <w:tcW w:w="1941" w:type="pct"/>
            <w:vAlign w:val="center"/>
          </w:tcPr>
          <w:p w:rsidR="0093043A" w:rsidRPr="0093043A" w:rsidRDefault="0093043A" w:rsidP="0093043A">
            <w:pPr>
              <w:pStyle w:val="Ttulo3"/>
              <w:numPr>
                <w:ilvl w:val="0"/>
                <w:numId w:val="0"/>
              </w:numPr>
              <w:outlineLvl w:val="2"/>
              <w:rPr>
                <w:rFonts w:ascii="Arial" w:hAnsi="Arial" w:cs="Arial"/>
                <w:bCs w:val="0"/>
                <w:color w:val="000000" w:themeColor="text1"/>
                <w:sz w:val="24"/>
                <w:szCs w:val="24"/>
                <w:lang w:eastAsia="pt-BR"/>
              </w:rPr>
            </w:pPr>
            <w:bookmarkStart w:id="7" w:name="_Toc363229704"/>
            <w:bookmarkStart w:id="8" w:name="_Toc363660004"/>
            <w:r w:rsidRPr="0093043A">
              <w:rPr>
                <w:rFonts w:ascii="Arial" w:hAnsi="Arial" w:cs="Arial"/>
                <w:bCs w:val="0"/>
                <w:color w:val="000000" w:themeColor="text1"/>
                <w:sz w:val="24"/>
                <w:szCs w:val="24"/>
                <w:lang w:eastAsia="pt-BR"/>
              </w:rPr>
              <w:t xml:space="preserve">O Participante que vier a ter sua Inscrição cancelada terá sua Garantia Financeira executada devolvida, até </w:t>
            </w:r>
            <w:proofErr w:type="gramStart"/>
            <w:r w:rsidRPr="0093043A">
              <w:rPr>
                <w:rFonts w:ascii="Arial" w:hAnsi="Arial" w:cs="Arial"/>
                <w:bCs w:val="0"/>
                <w:color w:val="000000" w:themeColor="text1"/>
                <w:sz w:val="24"/>
                <w:szCs w:val="24"/>
                <w:lang w:eastAsia="pt-BR"/>
              </w:rPr>
              <w:t>5</w:t>
            </w:r>
            <w:proofErr w:type="gramEnd"/>
            <w:r w:rsidRPr="0093043A">
              <w:rPr>
                <w:rFonts w:ascii="Arial" w:hAnsi="Arial" w:cs="Arial"/>
                <w:bCs w:val="0"/>
                <w:color w:val="000000" w:themeColor="text1"/>
                <w:sz w:val="24"/>
                <w:szCs w:val="24"/>
                <w:lang w:eastAsia="pt-BR"/>
              </w:rPr>
              <w:t xml:space="preserve"> (cinco) dias após a conclusão da Chamada Pública, caso tenha submetido Proposta Garantida, não sendo sua proposta utilizada para fins de calcula da Tarifa de Transporte Máxima.</w:t>
            </w:r>
            <w:bookmarkEnd w:id="7"/>
            <w:bookmarkEnd w:id="8"/>
            <w:r w:rsidRPr="0093043A">
              <w:rPr>
                <w:rFonts w:ascii="Arial" w:hAnsi="Arial" w:cs="Arial"/>
                <w:bCs w:val="0"/>
                <w:color w:val="000000" w:themeColor="text1"/>
                <w:sz w:val="24"/>
                <w:szCs w:val="24"/>
                <w:lang w:eastAsia="pt-BR"/>
              </w:rPr>
              <w:t xml:space="preserve"> </w:t>
            </w:r>
          </w:p>
          <w:p w:rsidR="00D03FA1" w:rsidRDefault="00D03FA1" w:rsidP="00990E49">
            <w:pPr>
              <w:pStyle w:val="Legenda"/>
              <w:jc w:val="both"/>
              <w:rPr>
                <w:rFonts w:cs="Arial"/>
                <w:color w:val="000000" w:themeColor="text1"/>
                <w:szCs w:val="24"/>
              </w:rPr>
            </w:pPr>
          </w:p>
        </w:tc>
        <w:tc>
          <w:tcPr>
            <w:tcW w:w="1818" w:type="pct"/>
            <w:vAlign w:val="center"/>
          </w:tcPr>
          <w:p w:rsidR="0093043A" w:rsidRPr="0093043A" w:rsidRDefault="0093043A" w:rsidP="0093043A">
            <w:pPr>
              <w:pStyle w:val="Ttulo3"/>
              <w:numPr>
                <w:ilvl w:val="0"/>
                <w:numId w:val="0"/>
              </w:numPr>
              <w:outlineLvl w:val="2"/>
              <w:rPr>
                <w:rFonts w:ascii="Arial" w:hAnsi="Arial" w:cs="Arial"/>
                <w:bCs w:val="0"/>
                <w:color w:val="000000" w:themeColor="text1"/>
                <w:sz w:val="24"/>
                <w:szCs w:val="24"/>
                <w:lang w:eastAsia="pt-BR"/>
              </w:rPr>
            </w:pPr>
            <w:r w:rsidRPr="0093043A">
              <w:rPr>
                <w:rFonts w:ascii="Arial" w:hAnsi="Arial" w:cs="Arial"/>
                <w:bCs w:val="0"/>
                <w:color w:val="000000" w:themeColor="text1"/>
                <w:sz w:val="24"/>
                <w:szCs w:val="24"/>
                <w:lang w:eastAsia="pt-BR"/>
              </w:rPr>
              <w:t>Impende ressaltar que, conforme o disposto no art. 27, XII do Decreto nº 7.382/10 c/c art. 8º, §3º, IX da Resolução nº 51/2013, foi prevista a possibilidade de exigência de garantias financeiras no procedimento de chamada pública para carregamento de gás natural.</w:t>
            </w:r>
          </w:p>
          <w:p w:rsidR="0093043A" w:rsidRPr="0093043A" w:rsidRDefault="0093043A" w:rsidP="0093043A">
            <w:pPr>
              <w:pStyle w:val="Ttulo3"/>
              <w:numPr>
                <w:ilvl w:val="0"/>
                <w:numId w:val="0"/>
              </w:numPr>
              <w:outlineLvl w:val="2"/>
              <w:rPr>
                <w:rFonts w:ascii="Arial" w:hAnsi="Arial" w:cs="Arial"/>
                <w:bCs w:val="0"/>
                <w:color w:val="000000" w:themeColor="text1"/>
                <w:sz w:val="24"/>
                <w:szCs w:val="24"/>
                <w:lang w:eastAsia="pt-BR"/>
              </w:rPr>
            </w:pPr>
          </w:p>
          <w:p w:rsidR="0093043A" w:rsidRPr="0093043A" w:rsidRDefault="0093043A" w:rsidP="0093043A">
            <w:pPr>
              <w:pStyle w:val="Ttulo3"/>
              <w:numPr>
                <w:ilvl w:val="0"/>
                <w:numId w:val="0"/>
              </w:numPr>
              <w:outlineLvl w:val="2"/>
              <w:rPr>
                <w:rFonts w:ascii="Arial" w:hAnsi="Arial" w:cs="Arial"/>
                <w:bCs w:val="0"/>
                <w:color w:val="000000" w:themeColor="text1"/>
                <w:sz w:val="24"/>
                <w:szCs w:val="24"/>
                <w:lang w:eastAsia="pt-BR"/>
              </w:rPr>
            </w:pPr>
            <w:r w:rsidRPr="0093043A">
              <w:rPr>
                <w:rFonts w:ascii="Arial" w:hAnsi="Arial" w:cs="Arial"/>
                <w:bCs w:val="0"/>
                <w:color w:val="000000" w:themeColor="text1"/>
                <w:sz w:val="24"/>
                <w:szCs w:val="24"/>
                <w:lang w:eastAsia="pt-BR"/>
              </w:rPr>
              <w:t xml:space="preserve">Vale frisar ainda que, conforme é </w:t>
            </w:r>
            <w:proofErr w:type="gramStart"/>
            <w:r w:rsidRPr="0093043A">
              <w:rPr>
                <w:rFonts w:ascii="Arial" w:hAnsi="Arial" w:cs="Arial"/>
                <w:bCs w:val="0"/>
                <w:color w:val="000000" w:themeColor="text1"/>
                <w:sz w:val="24"/>
                <w:szCs w:val="24"/>
                <w:lang w:eastAsia="pt-BR"/>
              </w:rPr>
              <w:t>cediço</w:t>
            </w:r>
            <w:proofErr w:type="gramEnd"/>
            <w:r w:rsidRPr="0093043A">
              <w:rPr>
                <w:rFonts w:ascii="Arial" w:hAnsi="Arial" w:cs="Arial"/>
                <w:bCs w:val="0"/>
                <w:color w:val="000000" w:themeColor="text1"/>
                <w:sz w:val="24"/>
                <w:szCs w:val="24"/>
                <w:lang w:eastAsia="pt-BR"/>
              </w:rPr>
              <w:t>, a exigência de garantia em procedimentos licitatórios, sejam eles para concessão de serviços públicos ou exercício de atividade econômica, possui, como razão de ser, garantir que o proponente cumpra a proposta apresentada.</w:t>
            </w:r>
          </w:p>
          <w:p w:rsidR="0093043A" w:rsidRPr="0093043A" w:rsidRDefault="0093043A" w:rsidP="0093043A">
            <w:pPr>
              <w:pStyle w:val="Ttulo3"/>
              <w:numPr>
                <w:ilvl w:val="0"/>
                <w:numId w:val="0"/>
              </w:numPr>
              <w:outlineLvl w:val="2"/>
              <w:rPr>
                <w:rFonts w:ascii="Arial" w:hAnsi="Arial" w:cs="Arial"/>
                <w:bCs w:val="0"/>
                <w:color w:val="000000" w:themeColor="text1"/>
                <w:sz w:val="24"/>
                <w:szCs w:val="24"/>
                <w:lang w:eastAsia="pt-BR"/>
              </w:rPr>
            </w:pPr>
          </w:p>
          <w:p w:rsidR="0093043A" w:rsidRPr="0093043A" w:rsidRDefault="0093043A" w:rsidP="0093043A">
            <w:pPr>
              <w:pStyle w:val="Ttulo3"/>
              <w:numPr>
                <w:ilvl w:val="0"/>
                <w:numId w:val="0"/>
              </w:numPr>
              <w:outlineLvl w:val="2"/>
              <w:rPr>
                <w:rFonts w:ascii="Arial" w:hAnsi="Arial" w:cs="Arial"/>
                <w:bCs w:val="0"/>
                <w:color w:val="000000" w:themeColor="text1"/>
                <w:sz w:val="24"/>
                <w:szCs w:val="24"/>
                <w:lang w:eastAsia="pt-BR"/>
              </w:rPr>
            </w:pPr>
            <w:r w:rsidRPr="0093043A">
              <w:rPr>
                <w:rFonts w:ascii="Arial" w:hAnsi="Arial" w:cs="Arial"/>
                <w:bCs w:val="0"/>
                <w:color w:val="000000" w:themeColor="text1"/>
                <w:sz w:val="24"/>
                <w:szCs w:val="24"/>
                <w:lang w:eastAsia="pt-BR"/>
              </w:rPr>
              <w:t>Ao estabelecer requisitos de habilitação, a Administração Pública pretende cercar-se de todas as cautelas para evitar o insucesso da contratação. Presume-se que o interessado que preenche os requisitos constantes da habilitação e cuja proposta é selecionada disporá de total condição para executar satisfatoriamente o objeto do contrato.</w:t>
            </w:r>
          </w:p>
          <w:p w:rsidR="0093043A" w:rsidRPr="0093043A" w:rsidRDefault="0093043A" w:rsidP="0093043A">
            <w:pPr>
              <w:pStyle w:val="Ttulo3"/>
              <w:numPr>
                <w:ilvl w:val="0"/>
                <w:numId w:val="0"/>
              </w:numPr>
              <w:outlineLvl w:val="2"/>
              <w:rPr>
                <w:rFonts w:ascii="Arial" w:hAnsi="Arial" w:cs="Arial"/>
                <w:bCs w:val="0"/>
                <w:color w:val="000000" w:themeColor="text1"/>
                <w:sz w:val="24"/>
                <w:szCs w:val="24"/>
                <w:lang w:eastAsia="pt-BR"/>
              </w:rPr>
            </w:pPr>
          </w:p>
          <w:p w:rsidR="0093043A" w:rsidRPr="0093043A" w:rsidRDefault="0093043A" w:rsidP="0093043A">
            <w:pPr>
              <w:pStyle w:val="Ttulo3"/>
              <w:numPr>
                <w:ilvl w:val="0"/>
                <w:numId w:val="0"/>
              </w:numPr>
              <w:outlineLvl w:val="2"/>
              <w:rPr>
                <w:rFonts w:ascii="Arial" w:hAnsi="Arial" w:cs="Arial"/>
                <w:bCs w:val="0"/>
                <w:color w:val="000000" w:themeColor="text1"/>
                <w:sz w:val="24"/>
                <w:szCs w:val="24"/>
                <w:lang w:eastAsia="pt-BR"/>
              </w:rPr>
            </w:pPr>
            <w:r w:rsidRPr="0093043A">
              <w:rPr>
                <w:rFonts w:ascii="Arial" w:hAnsi="Arial" w:cs="Arial"/>
                <w:bCs w:val="0"/>
                <w:color w:val="000000" w:themeColor="text1"/>
                <w:sz w:val="24"/>
                <w:szCs w:val="24"/>
                <w:lang w:eastAsia="pt-BR"/>
              </w:rPr>
              <w:lastRenderedPageBreak/>
              <w:t>Nesse sentido, é importante salientar que a execução da garantia eventualmente prestada não pode ter como motivo situações outras que não estejam ligadas ao fim a que destina o instituto da garantia, ou seja, a execução da garantia deve ter como nexo causal o descumprimento da proposta oferecida.</w:t>
            </w:r>
          </w:p>
          <w:p w:rsidR="0093043A" w:rsidRPr="0093043A" w:rsidRDefault="0093043A" w:rsidP="0093043A">
            <w:pPr>
              <w:pStyle w:val="Ttulo3"/>
              <w:numPr>
                <w:ilvl w:val="0"/>
                <w:numId w:val="0"/>
              </w:numPr>
              <w:outlineLvl w:val="2"/>
              <w:rPr>
                <w:rFonts w:ascii="Arial" w:hAnsi="Arial" w:cs="Arial"/>
                <w:bCs w:val="0"/>
                <w:color w:val="000000" w:themeColor="text1"/>
                <w:sz w:val="24"/>
                <w:szCs w:val="24"/>
                <w:lang w:eastAsia="pt-BR"/>
              </w:rPr>
            </w:pPr>
          </w:p>
          <w:p w:rsidR="0093043A" w:rsidRPr="0093043A" w:rsidRDefault="0093043A" w:rsidP="0093043A">
            <w:pPr>
              <w:jc w:val="both"/>
              <w:rPr>
                <w:rFonts w:ascii="Arial" w:hAnsi="Arial" w:cs="Arial"/>
                <w:bCs/>
                <w:color w:val="000000" w:themeColor="text1"/>
                <w:sz w:val="24"/>
                <w:szCs w:val="24"/>
              </w:rPr>
            </w:pPr>
            <w:r w:rsidRPr="0093043A">
              <w:rPr>
                <w:rFonts w:ascii="Arial" w:hAnsi="Arial" w:cs="Arial"/>
                <w:bCs/>
                <w:color w:val="000000" w:themeColor="text1"/>
                <w:sz w:val="24"/>
                <w:szCs w:val="24"/>
              </w:rPr>
              <w:t xml:space="preserve">Ao se estabelecer que a garantia </w:t>
            </w:r>
            <w:proofErr w:type="gramStart"/>
            <w:r w:rsidRPr="0093043A">
              <w:rPr>
                <w:rFonts w:ascii="Arial" w:hAnsi="Arial" w:cs="Arial"/>
                <w:bCs/>
                <w:color w:val="000000" w:themeColor="text1"/>
                <w:sz w:val="24"/>
                <w:szCs w:val="24"/>
              </w:rPr>
              <w:t>será</w:t>
            </w:r>
            <w:proofErr w:type="gramEnd"/>
            <w:r w:rsidRPr="0093043A">
              <w:rPr>
                <w:rFonts w:ascii="Arial" w:hAnsi="Arial" w:cs="Arial"/>
                <w:bCs/>
                <w:color w:val="000000" w:themeColor="text1"/>
                <w:sz w:val="24"/>
                <w:szCs w:val="24"/>
              </w:rPr>
              <w:t xml:space="preserve"> executada caso ocorra o cancelamento da inscrição da empresa interessada em se habilitar como</w:t>
            </w:r>
            <w:r>
              <w:rPr>
                <w:rFonts w:ascii="Arial" w:hAnsi="Arial" w:cs="Arial"/>
                <w:bCs/>
                <w:color w:val="000000" w:themeColor="text1"/>
                <w:sz w:val="24"/>
                <w:szCs w:val="24"/>
              </w:rPr>
              <w:t xml:space="preserve"> </w:t>
            </w:r>
            <w:r>
              <w:rPr>
                <w:rFonts w:ascii="Arial" w:hAnsi="Arial" w:cs="Arial"/>
                <w:sz w:val="22"/>
              </w:rPr>
              <w:t xml:space="preserve">Carregador, sem que esta tenha descumprido eventual proposta apresentada, impõem-se uma penalidade pelo mero exercício da autotutela por parte do </w:t>
            </w:r>
            <w:r w:rsidRPr="0093043A">
              <w:rPr>
                <w:rFonts w:ascii="Arial" w:hAnsi="Arial" w:cs="Arial"/>
                <w:bCs/>
                <w:color w:val="000000" w:themeColor="text1"/>
                <w:sz w:val="24"/>
                <w:szCs w:val="24"/>
              </w:rPr>
              <w:t>Poder Público, que eventualmente tenha realizado o mencionado cancelamento ao observar, por exemplo, o não atendimento, no decorrer do procedimento, de algum requisito existente nas normas aplicáveis.</w:t>
            </w:r>
          </w:p>
          <w:p w:rsidR="0093043A" w:rsidRPr="0093043A" w:rsidRDefault="0093043A" w:rsidP="0093043A">
            <w:pPr>
              <w:jc w:val="both"/>
              <w:rPr>
                <w:rFonts w:ascii="Arial" w:hAnsi="Arial" w:cs="Arial"/>
                <w:bCs/>
                <w:color w:val="000000" w:themeColor="text1"/>
                <w:sz w:val="24"/>
                <w:szCs w:val="24"/>
              </w:rPr>
            </w:pPr>
          </w:p>
          <w:p w:rsidR="0093043A" w:rsidRPr="0093043A" w:rsidRDefault="0093043A" w:rsidP="0093043A">
            <w:pPr>
              <w:jc w:val="both"/>
              <w:rPr>
                <w:rFonts w:ascii="Arial" w:hAnsi="Arial" w:cs="Arial"/>
                <w:bCs/>
                <w:color w:val="000000" w:themeColor="text1"/>
                <w:sz w:val="24"/>
                <w:szCs w:val="24"/>
              </w:rPr>
            </w:pPr>
            <w:r w:rsidRPr="0093043A">
              <w:rPr>
                <w:rFonts w:ascii="Arial" w:hAnsi="Arial" w:cs="Arial"/>
                <w:bCs/>
                <w:color w:val="000000" w:themeColor="text1"/>
                <w:sz w:val="24"/>
                <w:szCs w:val="24"/>
              </w:rPr>
              <w:t xml:space="preserve">Não obstante, à garantia prestada em chamada pública para Carregamento, não se pode conceber tratamento similar às taxas de participação cabíveis nas licitações destinadas ao exercício de atividade de exploração e produção de recursos energéticos não renováveis, em que ganha tônica a necessidade de retribuição pelo custo de oportunidade do particular, em que o mero </w:t>
            </w:r>
            <w:r w:rsidRPr="0093043A">
              <w:rPr>
                <w:rFonts w:ascii="Arial" w:hAnsi="Arial" w:cs="Arial"/>
                <w:bCs/>
                <w:color w:val="000000" w:themeColor="text1"/>
                <w:sz w:val="24"/>
                <w:szCs w:val="24"/>
              </w:rPr>
              <w:lastRenderedPageBreak/>
              <w:t>cancelamento de sua inscrição no procedimento não daria ensejo à devolução do valor eventualmente pago.</w:t>
            </w:r>
          </w:p>
          <w:p w:rsidR="0093043A" w:rsidRPr="0093043A" w:rsidRDefault="0093043A" w:rsidP="0093043A">
            <w:pPr>
              <w:jc w:val="both"/>
              <w:rPr>
                <w:rFonts w:ascii="Arial" w:hAnsi="Arial" w:cs="Arial"/>
                <w:bCs/>
                <w:color w:val="000000" w:themeColor="text1"/>
                <w:sz w:val="24"/>
                <w:szCs w:val="24"/>
              </w:rPr>
            </w:pPr>
          </w:p>
          <w:p w:rsidR="0093043A" w:rsidRPr="0093043A" w:rsidRDefault="0093043A" w:rsidP="0093043A">
            <w:pPr>
              <w:jc w:val="both"/>
              <w:rPr>
                <w:rFonts w:ascii="Arial" w:hAnsi="Arial" w:cs="Arial"/>
                <w:bCs/>
                <w:color w:val="000000" w:themeColor="text1"/>
                <w:sz w:val="24"/>
                <w:szCs w:val="24"/>
              </w:rPr>
            </w:pPr>
            <w:proofErr w:type="gramStart"/>
            <w:r w:rsidRPr="0093043A">
              <w:rPr>
                <w:rFonts w:ascii="Arial" w:hAnsi="Arial" w:cs="Arial"/>
                <w:bCs/>
                <w:color w:val="000000" w:themeColor="text1"/>
                <w:sz w:val="24"/>
                <w:szCs w:val="24"/>
              </w:rPr>
              <w:t>Outrossim</w:t>
            </w:r>
            <w:proofErr w:type="gramEnd"/>
            <w:r w:rsidRPr="0093043A">
              <w:rPr>
                <w:rFonts w:ascii="Arial" w:hAnsi="Arial" w:cs="Arial"/>
                <w:bCs/>
                <w:color w:val="000000" w:themeColor="text1"/>
                <w:sz w:val="24"/>
                <w:szCs w:val="24"/>
              </w:rPr>
              <w:t>, em que pese não se aplicar ao presente caso a Lei Geral de Licitações Públicas, é necessária a observância dos princípios gerais que regem a Administração Pública, em especial o princípio da razoabilidade e proporcionalidade, boa-fé objetiva e da vedação de enriquecimento sem causa.</w:t>
            </w:r>
          </w:p>
          <w:p w:rsidR="0093043A" w:rsidRPr="0093043A" w:rsidRDefault="0093043A" w:rsidP="0093043A">
            <w:pPr>
              <w:jc w:val="both"/>
              <w:rPr>
                <w:rFonts w:ascii="Arial" w:hAnsi="Arial" w:cs="Arial"/>
                <w:bCs/>
                <w:color w:val="000000" w:themeColor="text1"/>
                <w:sz w:val="24"/>
                <w:szCs w:val="24"/>
              </w:rPr>
            </w:pPr>
          </w:p>
          <w:p w:rsidR="00D03FA1" w:rsidRDefault="0093043A" w:rsidP="0093043A">
            <w:pPr>
              <w:pStyle w:val="Ttulo3"/>
              <w:numPr>
                <w:ilvl w:val="0"/>
                <w:numId w:val="0"/>
              </w:numPr>
              <w:outlineLvl w:val="2"/>
              <w:rPr>
                <w:rFonts w:ascii="Arial" w:hAnsi="Arial" w:cs="Arial"/>
                <w:color w:val="000000" w:themeColor="text1"/>
                <w:sz w:val="24"/>
                <w:szCs w:val="24"/>
                <w:lang w:eastAsia="pt-BR"/>
              </w:rPr>
            </w:pPr>
            <w:r w:rsidRPr="0093043A">
              <w:rPr>
                <w:rFonts w:ascii="Arial" w:hAnsi="Arial" w:cs="Arial"/>
                <w:color w:val="000000" w:themeColor="text1"/>
                <w:sz w:val="24"/>
                <w:szCs w:val="24"/>
                <w:lang w:eastAsia="pt-BR"/>
              </w:rPr>
              <w:t>Desta forma, consideramos que a redação proposta disciplina o instituto da garantia em harmonia com os princípios da Administração Pública, e possibilita o tratamento adequado da garantia aos fins a que se destina.</w:t>
            </w:r>
          </w:p>
          <w:p w:rsidR="0093043A" w:rsidRPr="0093043A" w:rsidRDefault="0093043A" w:rsidP="0093043A">
            <w:pPr>
              <w:pStyle w:val="Ttulo3"/>
              <w:numPr>
                <w:ilvl w:val="0"/>
                <w:numId w:val="0"/>
              </w:numPr>
              <w:outlineLvl w:val="2"/>
            </w:pPr>
            <w:r w:rsidRPr="0093043A">
              <w:rPr>
                <w:rFonts w:ascii="Arial" w:hAnsi="Arial" w:cs="Arial"/>
                <w:color w:val="000000" w:themeColor="text1"/>
                <w:sz w:val="24"/>
                <w:szCs w:val="24"/>
                <w:lang w:eastAsia="pt-BR"/>
              </w:rPr>
              <w:t>Ademais, em caso de cancelamento de Inscrição, a ANP não deverá considerar a proposta do inscrito irregular para fins de cálculo da Tarifa de Transporte Máxima, haja vista que sua utilização poderá acarretar em desvios da percepção efetiva do mercado.</w:t>
            </w:r>
          </w:p>
        </w:tc>
      </w:tr>
      <w:tr w:rsidR="00A83578" w:rsidRPr="00932C2C" w:rsidTr="00CC632B">
        <w:trPr>
          <w:trHeight w:val="2268"/>
        </w:trPr>
        <w:tc>
          <w:tcPr>
            <w:tcW w:w="655" w:type="pct"/>
            <w:vAlign w:val="center"/>
          </w:tcPr>
          <w:p w:rsidR="00A83578" w:rsidRDefault="00A83578" w:rsidP="000C0894">
            <w:pPr>
              <w:pStyle w:val="Legenda"/>
              <w:jc w:val="center"/>
              <w:rPr>
                <w:rFonts w:cs="Arial"/>
                <w:color w:val="000000" w:themeColor="text1"/>
                <w:szCs w:val="24"/>
              </w:rPr>
            </w:pPr>
            <w:r>
              <w:rPr>
                <w:rFonts w:cs="Arial"/>
                <w:color w:val="000000" w:themeColor="text1"/>
                <w:szCs w:val="24"/>
              </w:rPr>
              <w:lastRenderedPageBreak/>
              <w:t>Exclusão</w:t>
            </w:r>
          </w:p>
        </w:tc>
        <w:tc>
          <w:tcPr>
            <w:tcW w:w="586" w:type="pct"/>
            <w:vAlign w:val="center"/>
          </w:tcPr>
          <w:p w:rsidR="00A83578" w:rsidRDefault="00A83578" w:rsidP="00A83578">
            <w:pPr>
              <w:pStyle w:val="Legenda"/>
              <w:jc w:val="center"/>
              <w:rPr>
                <w:rFonts w:cs="Arial"/>
                <w:color w:val="000000" w:themeColor="text1"/>
                <w:szCs w:val="24"/>
              </w:rPr>
            </w:pPr>
            <w:r>
              <w:rPr>
                <w:rFonts w:cs="Arial"/>
                <w:color w:val="000000" w:themeColor="text1"/>
                <w:szCs w:val="24"/>
              </w:rPr>
              <w:t xml:space="preserve">Cláusula </w:t>
            </w:r>
            <w:proofErr w:type="gramStart"/>
            <w:r>
              <w:rPr>
                <w:rFonts w:cs="Arial"/>
                <w:color w:val="000000" w:themeColor="text1"/>
                <w:szCs w:val="24"/>
              </w:rPr>
              <w:t>3</w:t>
            </w:r>
            <w:proofErr w:type="gramEnd"/>
            <w:r>
              <w:rPr>
                <w:rFonts w:cs="Arial"/>
                <w:color w:val="000000" w:themeColor="text1"/>
                <w:szCs w:val="24"/>
              </w:rPr>
              <w:t xml:space="preserve"> Item 3.8.8</w:t>
            </w:r>
          </w:p>
        </w:tc>
        <w:tc>
          <w:tcPr>
            <w:tcW w:w="1941" w:type="pct"/>
            <w:vAlign w:val="center"/>
          </w:tcPr>
          <w:p w:rsidR="00A83578" w:rsidRPr="0093043A" w:rsidRDefault="00A83578" w:rsidP="0093043A">
            <w:pPr>
              <w:pStyle w:val="Ttulo3"/>
              <w:numPr>
                <w:ilvl w:val="0"/>
                <w:numId w:val="0"/>
              </w:numPr>
              <w:outlineLvl w:val="2"/>
              <w:rPr>
                <w:rFonts w:ascii="Arial" w:hAnsi="Arial" w:cs="Arial"/>
                <w:bCs w:val="0"/>
                <w:color w:val="000000" w:themeColor="text1"/>
                <w:sz w:val="24"/>
                <w:szCs w:val="24"/>
                <w:lang w:eastAsia="pt-BR"/>
              </w:rPr>
            </w:pPr>
          </w:p>
        </w:tc>
        <w:tc>
          <w:tcPr>
            <w:tcW w:w="1818" w:type="pct"/>
            <w:vAlign w:val="center"/>
          </w:tcPr>
          <w:p w:rsidR="00A83578" w:rsidRPr="0093043A" w:rsidRDefault="00A83578" w:rsidP="00A83578">
            <w:pPr>
              <w:pStyle w:val="Legenda"/>
              <w:jc w:val="both"/>
              <w:rPr>
                <w:rFonts w:cs="Arial"/>
                <w:bCs/>
                <w:color w:val="000000" w:themeColor="text1"/>
                <w:szCs w:val="24"/>
              </w:rPr>
            </w:pPr>
            <w:r w:rsidRPr="00A83578">
              <w:rPr>
                <w:rFonts w:cs="Arial"/>
                <w:color w:val="000000" w:themeColor="text1"/>
                <w:szCs w:val="24"/>
              </w:rPr>
              <w:t>A data de início do Serviço de Transporte Firme está intrinsecamente vinculada à data de entrada em operação do gasoduto, não sendo possível ao Carregador informar data distinta daquelas constantes dos itens 3.1.8 e 3.1.9.</w:t>
            </w:r>
          </w:p>
        </w:tc>
      </w:tr>
      <w:tr w:rsidR="006F3A7E" w:rsidRPr="00932C2C" w:rsidTr="008577A0">
        <w:trPr>
          <w:trHeight w:val="1689"/>
        </w:trPr>
        <w:tc>
          <w:tcPr>
            <w:tcW w:w="655" w:type="pct"/>
            <w:vAlign w:val="center"/>
          </w:tcPr>
          <w:p w:rsidR="006F3A7E" w:rsidRDefault="003126DD" w:rsidP="000C0894">
            <w:pPr>
              <w:pStyle w:val="Legenda"/>
              <w:jc w:val="center"/>
              <w:rPr>
                <w:rFonts w:cs="Arial"/>
                <w:color w:val="000000" w:themeColor="text1"/>
                <w:szCs w:val="24"/>
              </w:rPr>
            </w:pPr>
            <w:r>
              <w:rPr>
                <w:rFonts w:cs="Arial"/>
                <w:color w:val="000000" w:themeColor="text1"/>
                <w:szCs w:val="24"/>
              </w:rPr>
              <w:t>Alteração</w:t>
            </w:r>
          </w:p>
        </w:tc>
        <w:tc>
          <w:tcPr>
            <w:tcW w:w="586" w:type="pct"/>
            <w:vAlign w:val="center"/>
          </w:tcPr>
          <w:p w:rsidR="006F3A7E" w:rsidRDefault="000B1ADA" w:rsidP="000B1ADA">
            <w:pPr>
              <w:pStyle w:val="Legenda"/>
              <w:jc w:val="center"/>
              <w:rPr>
                <w:rFonts w:cs="Arial"/>
                <w:color w:val="000000" w:themeColor="text1"/>
                <w:szCs w:val="24"/>
              </w:rPr>
            </w:pPr>
            <w:r>
              <w:rPr>
                <w:rFonts w:cs="Arial"/>
                <w:color w:val="000000" w:themeColor="text1"/>
                <w:szCs w:val="24"/>
              </w:rPr>
              <w:t xml:space="preserve">Cláusula </w:t>
            </w:r>
            <w:proofErr w:type="gramStart"/>
            <w:r>
              <w:rPr>
                <w:rFonts w:cs="Arial"/>
                <w:color w:val="000000" w:themeColor="text1"/>
                <w:szCs w:val="24"/>
              </w:rPr>
              <w:t>3</w:t>
            </w:r>
            <w:proofErr w:type="gramEnd"/>
            <w:r>
              <w:rPr>
                <w:rFonts w:cs="Arial"/>
                <w:color w:val="000000" w:themeColor="text1"/>
                <w:szCs w:val="24"/>
              </w:rPr>
              <w:t xml:space="preserve"> Item 3.11.1</w:t>
            </w:r>
          </w:p>
        </w:tc>
        <w:tc>
          <w:tcPr>
            <w:tcW w:w="1941" w:type="pct"/>
            <w:vAlign w:val="center"/>
          </w:tcPr>
          <w:p w:rsidR="006F3A7E" w:rsidRDefault="006F3A7E" w:rsidP="006F3A7E">
            <w:pPr>
              <w:pStyle w:val="Legenda"/>
              <w:jc w:val="both"/>
              <w:rPr>
                <w:rFonts w:cs="Arial"/>
                <w:color w:val="000000" w:themeColor="text1"/>
                <w:szCs w:val="24"/>
              </w:rPr>
            </w:pPr>
            <w:bookmarkStart w:id="9" w:name="_Toc363660040"/>
            <w:bookmarkStart w:id="10" w:name="_Ref363748544"/>
            <w:r w:rsidRPr="006F3A7E">
              <w:rPr>
                <w:rFonts w:cs="Arial"/>
                <w:color w:val="000000" w:themeColor="text1"/>
                <w:szCs w:val="24"/>
              </w:rPr>
              <w:t>O prazo de contratação do Serviço de Transporte Firme será de no mínimo 20 (vinte) anos e no máximo 30 (trinta) anos, a partir da data em que ocorrer o início da prestação do Serviço de Transporte Firme.</w:t>
            </w:r>
            <w:bookmarkEnd w:id="9"/>
            <w:bookmarkEnd w:id="10"/>
          </w:p>
          <w:p w:rsidR="006F3A7E" w:rsidRPr="006F3A7E" w:rsidRDefault="006F3A7E" w:rsidP="006F3A7E"/>
          <w:p w:rsidR="006F3A7E" w:rsidRPr="006F3A7E" w:rsidRDefault="006F3A7E" w:rsidP="006F3A7E">
            <w:pPr>
              <w:rPr>
                <w:lang w:eastAsia="en-US"/>
              </w:rPr>
            </w:pPr>
          </w:p>
          <w:p w:rsidR="006F3A7E" w:rsidRDefault="006F3A7E" w:rsidP="00990E49">
            <w:pPr>
              <w:pStyle w:val="Legenda"/>
              <w:jc w:val="both"/>
              <w:rPr>
                <w:rFonts w:cs="Arial"/>
                <w:color w:val="000000" w:themeColor="text1"/>
                <w:szCs w:val="24"/>
              </w:rPr>
            </w:pPr>
          </w:p>
        </w:tc>
        <w:tc>
          <w:tcPr>
            <w:tcW w:w="1818" w:type="pct"/>
            <w:vAlign w:val="center"/>
          </w:tcPr>
          <w:p w:rsidR="006F3A7E" w:rsidRPr="006F3A7E" w:rsidRDefault="006F3A7E" w:rsidP="006F3A7E">
            <w:pPr>
              <w:pStyle w:val="Legenda"/>
              <w:jc w:val="both"/>
              <w:rPr>
                <w:rFonts w:cs="Arial"/>
                <w:color w:val="000000" w:themeColor="text1"/>
                <w:szCs w:val="24"/>
              </w:rPr>
            </w:pPr>
            <w:r w:rsidRPr="006F3A7E">
              <w:rPr>
                <w:rFonts w:cs="Arial"/>
                <w:color w:val="000000" w:themeColor="text1"/>
                <w:szCs w:val="24"/>
              </w:rPr>
              <w:t>A redação proposta possui o objetivo de adequar o mencionado prazo do Contrato de Transporte Firme com o prazo da Concessão da Atividade de Transporte de Gás, em 30 anos, conforme o disposto no art. 10 da Lei do Gás.</w:t>
            </w:r>
          </w:p>
          <w:p w:rsidR="006F3A7E" w:rsidRPr="006F3A7E" w:rsidRDefault="006F3A7E" w:rsidP="006F3A7E">
            <w:pPr>
              <w:pStyle w:val="Legenda"/>
              <w:jc w:val="both"/>
              <w:rPr>
                <w:rFonts w:cs="Arial"/>
                <w:color w:val="000000" w:themeColor="text1"/>
                <w:szCs w:val="24"/>
              </w:rPr>
            </w:pPr>
          </w:p>
          <w:p w:rsidR="006F3A7E" w:rsidRPr="006F3A7E" w:rsidRDefault="006F3A7E" w:rsidP="006F3A7E">
            <w:pPr>
              <w:pStyle w:val="Legenda"/>
              <w:jc w:val="both"/>
              <w:rPr>
                <w:rFonts w:cs="Arial"/>
                <w:color w:val="000000" w:themeColor="text1"/>
                <w:szCs w:val="24"/>
              </w:rPr>
            </w:pPr>
            <w:r w:rsidRPr="006F3A7E">
              <w:rPr>
                <w:rFonts w:cs="Arial"/>
                <w:color w:val="000000" w:themeColor="text1"/>
                <w:szCs w:val="24"/>
              </w:rPr>
              <w:t>Conforme o disposto no mencionado artigo:</w:t>
            </w:r>
          </w:p>
          <w:p w:rsidR="006F3A7E" w:rsidRPr="006F3A7E" w:rsidRDefault="006F3A7E" w:rsidP="006F3A7E">
            <w:pPr>
              <w:pStyle w:val="Legenda"/>
              <w:jc w:val="both"/>
              <w:rPr>
                <w:rFonts w:cs="Arial"/>
                <w:color w:val="000000" w:themeColor="text1"/>
                <w:szCs w:val="24"/>
              </w:rPr>
            </w:pPr>
          </w:p>
          <w:p w:rsidR="006F3A7E" w:rsidRPr="006F3A7E" w:rsidRDefault="006F3A7E" w:rsidP="006F3A7E">
            <w:pPr>
              <w:pStyle w:val="Legenda"/>
              <w:jc w:val="both"/>
              <w:rPr>
                <w:rFonts w:cs="Arial"/>
                <w:color w:val="000000" w:themeColor="text1"/>
                <w:szCs w:val="24"/>
              </w:rPr>
            </w:pPr>
            <w:r w:rsidRPr="006F3A7E">
              <w:rPr>
                <w:rFonts w:cs="Arial"/>
                <w:color w:val="000000" w:themeColor="text1"/>
                <w:szCs w:val="24"/>
              </w:rPr>
              <w:t xml:space="preserve">Art. 10.  As concessões de transporte de gás </w:t>
            </w:r>
            <w:proofErr w:type="gramStart"/>
            <w:r w:rsidRPr="006F3A7E">
              <w:rPr>
                <w:rFonts w:cs="Arial"/>
                <w:color w:val="000000" w:themeColor="text1"/>
                <w:szCs w:val="24"/>
              </w:rPr>
              <w:t>natural contratadas</w:t>
            </w:r>
            <w:proofErr w:type="gramEnd"/>
            <w:r w:rsidRPr="006F3A7E">
              <w:rPr>
                <w:rFonts w:cs="Arial"/>
                <w:color w:val="000000" w:themeColor="text1"/>
                <w:szCs w:val="24"/>
              </w:rPr>
              <w:t xml:space="preserve"> a partir desta Lei deverão identificar os bens e instalações a serem considerados vinculados à sua exploração e terão prazo de duração de 30 (trinta) anos, contado da data de assinatura do imprescindível contrato, podendo ser prorrogado no máximo por igual período, nas condições estabelecidas no contrato de concessão. </w:t>
            </w:r>
          </w:p>
          <w:p w:rsidR="006F3A7E" w:rsidRPr="006F3A7E" w:rsidRDefault="006F3A7E" w:rsidP="006F3A7E">
            <w:pPr>
              <w:pStyle w:val="Legenda"/>
              <w:jc w:val="both"/>
              <w:rPr>
                <w:rFonts w:cs="Arial"/>
                <w:color w:val="000000" w:themeColor="text1"/>
                <w:szCs w:val="24"/>
              </w:rPr>
            </w:pPr>
          </w:p>
          <w:p w:rsidR="006F3A7E" w:rsidRDefault="006F3A7E" w:rsidP="006F3A7E">
            <w:pPr>
              <w:pStyle w:val="Legenda"/>
              <w:jc w:val="both"/>
              <w:rPr>
                <w:rFonts w:cs="Arial"/>
                <w:color w:val="000000" w:themeColor="text1"/>
                <w:szCs w:val="24"/>
              </w:rPr>
            </w:pPr>
            <w:r w:rsidRPr="006F3A7E">
              <w:rPr>
                <w:rFonts w:cs="Arial"/>
                <w:color w:val="000000" w:themeColor="text1"/>
                <w:szCs w:val="24"/>
              </w:rPr>
              <w:t xml:space="preserve">Assim, havendo simetria entre os prazos do Contrato de Transporte de Gás e da Concessão, em 30 anos, não haveria o risco </w:t>
            </w:r>
            <w:r w:rsidRPr="006F3A7E">
              <w:rPr>
                <w:rFonts w:cs="Arial"/>
                <w:color w:val="000000" w:themeColor="text1"/>
                <w:szCs w:val="24"/>
              </w:rPr>
              <w:lastRenderedPageBreak/>
              <w:t xml:space="preserve">de o Contrato de Transporte encerrar-se antes da Concessão, acarretando que o Transportador fique sem receita durante o período de </w:t>
            </w:r>
            <w:proofErr w:type="gramStart"/>
            <w:r w:rsidRPr="006F3A7E">
              <w:rPr>
                <w:rFonts w:cs="Arial"/>
                <w:color w:val="000000" w:themeColor="text1"/>
                <w:szCs w:val="24"/>
              </w:rPr>
              <w:t>1</w:t>
            </w:r>
            <w:proofErr w:type="gramEnd"/>
            <w:r w:rsidRPr="006F3A7E">
              <w:rPr>
                <w:rFonts w:cs="Arial"/>
                <w:color w:val="000000" w:themeColor="text1"/>
                <w:szCs w:val="24"/>
              </w:rPr>
              <w:t xml:space="preserve"> ano e um mês, o que poderia ocorrer de acordo com a redação original.</w:t>
            </w:r>
          </w:p>
          <w:p w:rsidR="006F3A7E" w:rsidRPr="006F3A7E" w:rsidRDefault="006F3A7E" w:rsidP="006F3A7E"/>
        </w:tc>
      </w:tr>
      <w:tr w:rsidR="008577A0" w:rsidRPr="00932C2C" w:rsidTr="00CC632B">
        <w:trPr>
          <w:trHeight w:val="2268"/>
        </w:trPr>
        <w:tc>
          <w:tcPr>
            <w:tcW w:w="655" w:type="pct"/>
            <w:vAlign w:val="center"/>
          </w:tcPr>
          <w:p w:rsidR="008577A0" w:rsidRDefault="008577A0" w:rsidP="000C0894">
            <w:pPr>
              <w:pStyle w:val="Legenda"/>
              <w:jc w:val="center"/>
              <w:rPr>
                <w:rFonts w:cs="Arial"/>
                <w:color w:val="000000" w:themeColor="text1"/>
                <w:szCs w:val="24"/>
              </w:rPr>
            </w:pPr>
          </w:p>
        </w:tc>
        <w:tc>
          <w:tcPr>
            <w:tcW w:w="586" w:type="pct"/>
            <w:vAlign w:val="center"/>
          </w:tcPr>
          <w:p w:rsidR="008577A0" w:rsidRDefault="008577A0" w:rsidP="008577A0">
            <w:pPr>
              <w:pStyle w:val="Legenda"/>
              <w:jc w:val="center"/>
              <w:rPr>
                <w:rFonts w:cs="Arial"/>
                <w:color w:val="000000" w:themeColor="text1"/>
                <w:szCs w:val="24"/>
              </w:rPr>
            </w:pPr>
            <w:r>
              <w:rPr>
                <w:rFonts w:cs="Arial"/>
                <w:color w:val="000000" w:themeColor="text1"/>
                <w:szCs w:val="24"/>
              </w:rPr>
              <w:t xml:space="preserve">Cláusula </w:t>
            </w:r>
            <w:proofErr w:type="gramStart"/>
            <w:r>
              <w:rPr>
                <w:rFonts w:cs="Arial"/>
                <w:color w:val="000000" w:themeColor="text1"/>
                <w:szCs w:val="24"/>
              </w:rPr>
              <w:t>3</w:t>
            </w:r>
            <w:proofErr w:type="gramEnd"/>
          </w:p>
          <w:p w:rsidR="008577A0" w:rsidRPr="00990E49" w:rsidRDefault="008577A0" w:rsidP="008577A0">
            <w:pPr>
              <w:jc w:val="center"/>
              <w:rPr>
                <w:rFonts w:ascii="Arial" w:hAnsi="Arial" w:cs="Arial"/>
                <w:color w:val="000000" w:themeColor="text1"/>
                <w:sz w:val="24"/>
                <w:szCs w:val="24"/>
              </w:rPr>
            </w:pPr>
            <w:r w:rsidRPr="00990E49">
              <w:rPr>
                <w:rFonts w:ascii="Arial" w:hAnsi="Arial" w:cs="Arial"/>
                <w:color w:val="000000" w:themeColor="text1"/>
                <w:sz w:val="24"/>
                <w:szCs w:val="24"/>
              </w:rPr>
              <w:t xml:space="preserve">Item </w:t>
            </w:r>
            <w:r>
              <w:rPr>
                <w:rFonts w:ascii="Arial" w:hAnsi="Arial" w:cs="Arial"/>
                <w:color w:val="000000" w:themeColor="text1"/>
                <w:sz w:val="24"/>
                <w:szCs w:val="24"/>
              </w:rPr>
              <w:t>3</w:t>
            </w:r>
            <w:r w:rsidRPr="00990E49">
              <w:rPr>
                <w:rFonts w:ascii="Arial" w:hAnsi="Arial" w:cs="Arial"/>
                <w:color w:val="000000" w:themeColor="text1"/>
                <w:sz w:val="24"/>
                <w:szCs w:val="24"/>
              </w:rPr>
              <w:t>.1</w:t>
            </w:r>
            <w:r>
              <w:rPr>
                <w:rFonts w:ascii="Arial" w:hAnsi="Arial" w:cs="Arial"/>
                <w:color w:val="000000" w:themeColor="text1"/>
                <w:sz w:val="24"/>
                <w:szCs w:val="24"/>
              </w:rPr>
              <w:t>2</w:t>
            </w:r>
            <w:r w:rsidRPr="00990E49">
              <w:rPr>
                <w:rFonts w:ascii="Arial" w:hAnsi="Arial" w:cs="Arial"/>
                <w:color w:val="000000" w:themeColor="text1"/>
                <w:sz w:val="24"/>
                <w:szCs w:val="24"/>
              </w:rPr>
              <w:t>.</w:t>
            </w:r>
            <w:r>
              <w:rPr>
                <w:rFonts w:ascii="Arial" w:hAnsi="Arial" w:cs="Arial"/>
                <w:color w:val="000000" w:themeColor="text1"/>
                <w:sz w:val="24"/>
                <w:szCs w:val="24"/>
              </w:rPr>
              <w:t>2</w:t>
            </w:r>
          </w:p>
          <w:p w:rsidR="008577A0" w:rsidRDefault="008577A0" w:rsidP="00990E49">
            <w:pPr>
              <w:pStyle w:val="Legenda"/>
              <w:jc w:val="center"/>
              <w:rPr>
                <w:rFonts w:cs="Arial"/>
                <w:color w:val="000000" w:themeColor="text1"/>
                <w:szCs w:val="24"/>
              </w:rPr>
            </w:pPr>
          </w:p>
        </w:tc>
        <w:tc>
          <w:tcPr>
            <w:tcW w:w="1941" w:type="pct"/>
            <w:vAlign w:val="center"/>
          </w:tcPr>
          <w:p w:rsidR="008577A0" w:rsidRPr="006F3A7E" w:rsidRDefault="008577A0" w:rsidP="008577A0">
            <w:pPr>
              <w:pStyle w:val="Legenda"/>
              <w:jc w:val="both"/>
              <w:rPr>
                <w:rFonts w:cs="Arial"/>
                <w:color w:val="000000" w:themeColor="text1"/>
                <w:szCs w:val="24"/>
              </w:rPr>
            </w:pPr>
            <w:r w:rsidRPr="006F3A7E">
              <w:rPr>
                <w:rFonts w:cs="Arial"/>
                <w:color w:val="000000" w:themeColor="text1"/>
                <w:szCs w:val="24"/>
              </w:rPr>
              <w:t>As Garantias de Termo de Compromisso têm por finalidade assegurar o cumprimento do Termo de Compromisso, durante sua vigência, e poderá deverá ser repassada ao transportador, de acordo com os termos do Termo de Compromisso e do Contrato de Serviço de Transporte a ser assinado entre os Carregadores Vencedores e o transportador.</w:t>
            </w:r>
          </w:p>
          <w:p w:rsidR="008577A0" w:rsidRDefault="008577A0" w:rsidP="00990E49">
            <w:pPr>
              <w:pStyle w:val="Legenda"/>
              <w:jc w:val="both"/>
              <w:rPr>
                <w:rFonts w:cs="Arial"/>
                <w:color w:val="000000" w:themeColor="text1"/>
                <w:szCs w:val="24"/>
              </w:rPr>
            </w:pPr>
          </w:p>
        </w:tc>
        <w:tc>
          <w:tcPr>
            <w:tcW w:w="1818" w:type="pct"/>
            <w:vAlign w:val="center"/>
          </w:tcPr>
          <w:p w:rsidR="008577A0" w:rsidRDefault="008577A0" w:rsidP="008577A0">
            <w:pPr>
              <w:pStyle w:val="Legenda"/>
              <w:jc w:val="both"/>
              <w:rPr>
                <w:rFonts w:cs="Arial"/>
                <w:color w:val="000000" w:themeColor="text1"/>
                <w:szCs w:val="24"/>
              </w:rPr>
            </w:pPr>
            <w:r w:rsidRPr="008577A0">
              <w:rPr>
                <w:rFonts w:cs="Arial"/>
                <w:color w:val="000000" w:themeColor="text1"/>
                <w:szCs w:val="24"/>
              </w:rPr>
              <w:t xml:space="preserve">A redação proposta </w:t>
            </w:r>
            <w:proofErr w:type="spellStart"/>
            <w:r w:rsidRPr="008577A0">
              <w:rPr>
                <w:rFonts w:cs="Arial"/>
                <w:color w:val="000000" w:themeColor="text1"/>
                <w:szCs w:val="24"/>
              </w:rPr>
              <w:t>adequa</w:t>
            </w:r>
            <w:proofErr w:type="spellEnd"/>
            <w:r w:rsidRPr="008577A0">
              <w:rPr>
                <w:rFonts w:cs="Arial"/>
                <w:color w:val="000000" w:themeColor="text1"/>
                <w:szCs w:val="24"/>
              </w:rPr>
              <w:t xml:space="preserve"> o texto ao disposto no art. 27, XII do Decreto nº 7.382/10 c/c art. 8º, §3º, IX da Resolução nº 51/2013.</w:t>
            </w:r>
          </w:p>
        </w:tc>
      </w:tr>
      <w:tr w:rsidR="00D03FA1" w:rsidRPr="00932C2C" w:rsidTr="00CC632B">
        <w:trPr>
          <w:trHeight w:val="2268"/>
        </w:trPr>
        <w:tc>
          <w:tcPr>
            <w:tcW w:w="655" w:type="pct"/>
            <w:vAlign w:val="center"/>
          </w:tcPr>
          <w:p w:rsidR="00D03FA1" w:rsidRPr="000C0894" w:rsidRDefault="00D03FA1" w:rsidP="000C0894">
            <w:pPr>
              <w:pStyle w:val="Legenda"/>
              <w:jc w:val="center"/>
              <w:rPr>
                <w:rFonts w:cs="Arial"/>
                <w:color w:val="000000" w:themeColor="text1"/>
                <w:szCs w:val="24"/>
              </w:rPr>
            </w:pPr>
            <w:r>
              <w:rPr>
                <w:rFonts w:cs="Arial"/>
                <w:color w:val="000000" w:themeColor="text1"/>
                <w:szCs w:val="24"/>
              </w:rPr>
              <w:t>Alteração</w:t>
            </w:r>
          </w:p>
        </w:tc>
        <w:tc>
          <w:tcPr>
            <w:tcW w:w="586" w:type="pct"/>
            <w:vAlign w:val="center"/>
          </w:tcPr>
          <w:p w:rsidR="00D03FA1" w:rsidRDefault="00D03FA1" w:rsidP="00990E49">
            <w:pPr>
              <w:pStyle w:val="Legenda"/>
              <w:jc w:val="center"/>
              <w:rPr>
                <w:rFonts w:cs="Arial"/>
                <w:color w:val="000000" w:themeColor="text1"/>
                <w:szCs w:val="24"/>
              </w:rPr>
            </w:pPr>
            <w:r>
              <w:rPr>
                <w:rFonts w:cs="Arial"/>
                <w:color w:val="000000" w:themeColor="text1"/>
                <w:szCs w:val="24"/>
              </w:rPr>
              <w:t xml:space="preserve">Cláusula </w:t>
            </w:r>
            <w:proofErr w:type="gramStart"/>
            <w:r>
              <w:rPr>
                <w:rFonts w:cs="Arial"/>
                <w:color w:val="000000" w:themeColor="text1"/>
                <w:szCs w:val="24"/>
              </w:rPr>
              <w:t>9</w:t>
            </w:r>
            <w:proofErr w:type="gramEnd"/>
          </w:p>
          <w:p w:rsidR="00D03FA1" w:rsidRPr="00990E49" w:rsidRDefault="00D03FA1" w:rsidP="00990E49">
            <w:pPr>
              <w:jc w:val="center"/>
              <w:rPr>
                <w:rFonts w:ascii="Arial" w:hAnsi="Arial" w:cs="Arial"/>
                <w:color w:val="000000" w:themeColor="text1"/>
                <w:sz w:val="24"/>
                <w:szCs w:val="24"/>
              </w:rPr>
            </w:pPr>
            <w:r w:rsidRPr="00990E49">
              <w:rPr>
                <w:rFonts w:ascii="Arial" w:hAnsi="Arial" w:cs="Arial"/>
                <w:color w:val="000000" w:themeColor="text1"/>
                <w:sz w:val="24"/>
                <w:szCs w:val="24"/>
              </w:rPr>
              <w:t>Item 9.1.14</w:t>
            </w:r>
          </w:p>
          <w:p w:rsidR="00D03FA1" w:rsidRDefault="00D03FA1" w:rsidP="00750574">
            <w:pPr>
              <w:pStyle w:val="Legenda"/>
              <w:jc w:val="center"/>
              <w:rPr>
                <w:rFonts w:cs="Arial"/>
                <w:color w:val="000000" w:themeColor="text1"/>
                <w:szCs w:val="24"/>
              </w:rPr>
            </w:pPr>
          </w:p>
        </w:tc>
        <w:tc>
          <w:tcPr>
            <w:tcW w:w="1941" w:type="pct"/>
            <w:vAlign w:val="center"/>
          </w:tcPr>
          <w:p w:rsidR="00D03FA1" w:rsidRPr="00750574" w:rsidRDefault="00D03FA1" w:rsidP="00990E49">
            <w:pPr>
              <w:pStyle w:val="Legenda"/>
              <w:jc w:val="both"/>
              <w:rPr>
                <w:color w:val="FF0000"/>
              </w:rPr>
            </w:pPr>
            <w:r>
              <w:rPr>
                <w:rFonts w:cs="Arial"/>
                <w:color w:val="000000" w:themeColor="text1"/>
                <w:szCs w:val="24"/>
              </w:rPr>
              <w:t>O Encargo de Capacidade de Saída destina-se a cobrir os investimentos, bem como a parcela de custos e despesas fixos</w:t>
            </w:r>
            <w:proofErr w:type="gramStart"/>
            <w:r>
              <w:rPr>
                <w:rFonts w:cs="Arial"/>
                <w:color w:val="000000" w:themeColor="text1"/>
                <w:szCs w:val="24"/>
              </w:rPr>
              <w:t xml:space="preserve">  </w:t>
            </w:r>
            <w:proofErr w:type="gramEnd"/>
            <w:r>
              <w:rPr>
                <w:rFonts w:cs="Arial"/>
                <w:color w:val="000000" w:themeColor="text1"/>
                <w:szCs w:val="24"/>
              </w:rPr>
              <w:t>relacionados à capacidade de entrega, estando seu cálculo descrito no item 9.3.7 a seguir.</w:t>
            </w:r>
          </w:p>
        </w:tc>
        <w:tc>
          <w:tcPr>
            <w:tcW w:w="1818" w:type="pct"/>
            <w:vAlign w:val="center"/>
          </w:tcPr>
          <w:p w:rsidR="00D03FA1" w:rsidRDefault="00D03FA1" w:rsidP="00990E49">
            <w:pPr>
              <w:pStyle w:val="Legenda"/>
              <w:spacing w:before="120" w:after="120"/>
              <w:jc w:val="center"/>
              <w:rPr>
                <w:rFonts w:cs="Arial"/>
                <w:color w:val="000000" w:themeColor="text1"/>
                <w:szCs w:val="24"/>
              </w:rPr>
            </w:pPr>
            <w:r>
              <w:rPr>
                <w:rFonts w:cs="Arial"/>
                <w:color w:val="000000" w:themeColor="text1"/>
                <w:szCs w:val="24"/>
              </w:rPr>
              <w:t xml:space="preserve">Conforme estabelecido na Resolução ANP Nº 15 de 14/03/14 – Art. 8º, Parágrafo Único, o encargo de saída também pode cobrir a parcela de custos e despesas </w:t>
            </w:r>
            <w:proofErr w:type="gramStart"/>
            <w:r>
              <w:rPr>
                <w:rFonts w:cs="Arial"/>
                <w:color w:val="000000" w:themeColor="text1"/>
                <w:szCs w:val="24"/>
              </w:rPr>
              <w:t>fixas</w:t>
            </w:r>
            <w:proofErr w:type="gramEnd"/>
            <w:r>
              <w:rPr>
                <w:rFonts w:cs="Arial"/>
                <w:color w:val="000000" w:themeColor="text1"/>
                <w:szCs w:val="24"/>
              </w:rPr>
              <w:t xml:space="preserve"> </w:t>
            </w:r>
          </w:p>
          <w:p w:rsidR="00D03FA1" w:rsidRPr="000C0894" w:rsidRDefault="00D03FA1" w:rsidP="00990E49">
            <w:pPr>
              <w:pStyle w:val="Legenda"/>
              <w:jc w:val="both"/>
              <w:rPr>
                <w:rFonts w:cs="Arial"/>
                <w:color w:val="000000" w:themeColor="text1"/>
                <w:szCs w:val="24"/>
              </w:rPr>
            </w:pPr>
            <w:proofErr w:type="gramStart"/>
            <w:r>
              <w:rPr>
                <w:rFonts w:cs="Arial"/>
                <w:color w:val="000000" w:themeColor="text1"/>
                <w:szCs w:val="24"/>
              </w:rPr>
              <w:t>relacionados</w:t>
            </w:r>
            <w:proofErr w:type="gramEnd"/>
            <w:r>
              <w:rPr>
                <w:rFonts w:cs="Arial"/>
                <w:color w:val="000000" w:themeColor="text1"/>
                <w:szCs w:val="24"/>
              </w:rPr>
              <w:t xml:space="preserve"> à capacidade de entrega. Embora a Resolução ANP Nº 15 de 14/03/14 verse sobre gasodutos autorizados, entendemos que a natureza da definição do Encargo de Capacidade de Saída é a mesma daquela definida para gasodutos concedidos.</w:t>
            </w:r>
          </w:p>
        </w:tc>
      </w:tr>
      <w:tr w:rsidR="00D03FA1" w:rsidRPr="00932C2C" w:rsidTr="00BE7D52">
        <w:trPr>
          <w:trHeight w:val="980"/>
        </w:trPr>
        <w:tc>
          <w:tcPr>
            <w:tcW w:w="655" w:type="pct"/>
            <w:vAlign w:val="center"/>
          </w:tcPr>
          <w:p w:rsidR="00D03FA1" w:rsidRPr="000C0894" w:rsidRDefault="00D03FA1" w:rsidP="000C0894">
            <w:pPr>
              <w:pStyle w:val="Legenda"/>
              <w:jc w:val="center"/>
              <w:rPr>
                <w:rFonts w:cs="Arial"/>
                <w:color w:val="000000" w:themeColor="text1"/>
                <w:szCs w:val="24"/>
              </w:rPr>
            </w:pPr>
            <w:r>
              <w:rPr>
                <w:rFonts w:cs="Arial"/>
                <w:color w:val="000000" w:themeColor="text1"/>
                <w:szCs w:val="24"/>
              </w:rPr>
              <w:t>Alteração</w:t>
            </w:r>
          </w:p>
        </w:tc>
        <w:tc>
          <w:tcPr>
            <w:tcW w:w="586" w:type="pct"/>
            <w:vAlign w:val="center"/>
          </w:tcPr>
          <w:p w:rsidR="00D03FA1" w:rsidRDefault="00D03FA1" w:rsidP="00990E49">
            <w:pPr>
              <w:pStyle w:val="Legenda"/>
              <w:jc w:val="center"/>
              <w:rPr>
                <w:rFonts w:cs="Arial"/>
                <w:color w:val="000000" w:themeColor="text1"/>
                <w:szCs w:val="24"/>
              </w:rPr>
            </w:pPr>
            <w:r>
              <w:rPr>
                <w:rFonts w:cs="Arial"/>
                <w:color w:val="000000" w:themeColor="text1"/>
                <w:szCs w:val="24"/>
              </w:rPr>
              <w:t xml:space="preserve">Cláusula </w:t>
            </w:r>
            <w:proofErr w:type="gramStart"/>
            <w:r>
              <w:rPr>
                <w:rFonts w:cs="Arial"/>
                <w:color w:val="000000" w:themeColor="text1"/>
                <w:szCs w:val="24"/>
              </w:rPr>
              <w:t>9</w:t>
            </w:r>
            <w:proofErr w:type="gramEnd"/>
          </w:p>
          <w:p w:rsidR="00D03FA1" w:rsidRPr="00990E49" w:rsidRDefault="00D03FA1" w:rsidP="00990E49">
            <w:pPr>
              <w:jc w:val="center"/>
              <w:rPr>
                <w:rFonts w:ascii="Arial" w:hAnsi="Arial" w:cs="Arial"/>
                <w:color w:val="000000" w:themeColor="text1"/>
                <w:sz w:val="24"/>
                <w:szCs w:val="24"/>
              </w:rPr>
            </w:pPr>
            <w:r w:rsidRPr="00990E49">
              <w:rPr>
                <w:rFonts w:ascii="Arial" w:hAnsi="Arial" w:cs="Arial"/>
                <w:color w:val="000000" w:themeColor="text1"/>
                <w:sz w:val="24"/>
                <w:szCs w:val="24"/>
              </w:rPr>
              <w:t>Item 9.</w:t>
            </w:r>
            <w:r>
              <w:rPr>
                <w:rFonts w:ascii="Arial" w:hAnsi="Arial" w:cs="Arial"/>
                <w:color w:val="000000" w:themeColor="text1"/>
                <w:sz w:val="24"/>
                <w:szCs w:val="24"/>
              </w:rPr>
              <w:t>3</w:t>
            </w:r>
            <w:r w:rsidRPr="00990E49">
              <w:rPr>
                <w:rFonts w:ascii="Arial" w:hAnsi="Arial" w:cs="Arial"/>
                <w:color w:val="000000" w:themeColor="text1"/>
                <w:sz w:val="24"/>
                <w:szCs w:val="24"/>
              </w:rPr>
              <w:t>.</w:t>
            </w:r>
            <w:r>
              <w:rPr>
                <w:rFonts w:ascii="Arial" w:hAnsi="Arial" w:cs="Arial"/>
                <w:color w:val="000000" w:themeColor="text1"/>
                <w:sz w:val="24"/>
                <w:szCs w:val="24"/>
              </w:rPr>
              <w:t>7</w:t>
            </w:r>
          </w:p>
          <w:p w:rsidR="00D03FA1" w:rsidRDefault="00D03FA1" w:rsidP="00990E49">
            <w:pPr>
              <w:pStyle w:val="Legenda"/>
              <w:jc w:val="center"/>
              <w:rPr>
                <w:rFonts w:cs="Arial"/>
                <w:color w:val="000000" w:themeColor="text1"/>
                <w:szCs w:val="24"/>
              </w:rPr>
            </w:pPr>
          </w:p>
        </w:tc>
        <w:tc>
          <w:tcPr>
            <w:tcW w:w="1941" w:type="pct"/>
            <w:vAlign w:val="center"/>
          </w:tcPr>
          <w:p w:rsidR="00D03FA1" w:rsidRDefault="00D03FA1" w:rsidP="00990E49">
            <w:pPr>
              <w:pStyle w:val="Legenda"/>
              <w:jc w:val="both"/>
              <w:rPr>
                <w:rFonts w:cs="Arial"/>
                <w:color w:val="000000" w:themeColor="text1"/>
                <w:szCs w:val="24"/>
              </w:rPr>
            </w:pPr>
          </w:p>
          <w:p w:rsidR="00D03FA1" w:rsidRDefault="00D03FA1" w:rsidP="00990E49">
            <w:pPr>
              <w:pStyle w:val="Legenda"/>
              <w:jc w:val="both"/>
              <w:rPr>
                <w:rFonts w:cs="Arial"/>
                <w:color w:val="000000" w:themeColor="text1"/>
                <w:szCs w:val="24"/>
              </w:rPr>
            </w:pPr>
            <w:r w:rsidRPr="00990E49">
              <w:rPr>
                <w:rFonts w:cs="Arial"/>
                <w:color w:val="000000" w:themeColor="text1"/>
                <w:szCs w:val="24"/>
              </w:rPr>
              <w:t xml:space="preserve">O valor do Encargo de Capacidade de Saída foi inicialmente estimado a partir da previsão de demanda na(s) </w:t>
            </w:r>
            <w:proofErr w:type="gramStart"/>
            <w:r w:rsidRPr="00990E49">
              <w:rPr>
                <w:rFonts w:cs="Arial"/>
                <w:color w:val="000000" w:themeColor="text1"/>
                <w:szCs w:val="24"/>
              </w:rPr>
              <w:t>Estação(</w:t>
            </w:r>
            <w:proofErr w:type="spellStart"/>
            <w:proofErr w:type="gramEnd"/>
            <w:r w:rsidRPr="00990E49">
              <w:rPr>
                <w:rFonts w:cs="Arial"/>
                <w:color w:val="000000" w:themeColor="text1"/>
                <w:szCs w:val="24"/>
              </w:rPr>
              <w:t>ões</w:t>
            </w:r>
            <w:proofErr w:type="spellEnd"/>
            <w:r w:rsidRPr="00990E49">
              <w:rPr>
                <w:rFonts w:cs="Arial"/>
                <w:color w:val="000000" w:themeColor="text1"/>
                <w:szCs w:val="24"/>
              </w:rPr>
              <w:t xml:space="preserve">) de Entrega originalmente constante(s) do projeto do </w:t>
            </w:r>
            <w:r w:rsidRPr="00990E49">
              <w:rPr>
                <w:rFonts w:cs="Arial"/>
                <w:color w:val="000000" w:themeColor="text1"/>
                <w:szCs w:val="24"/>
              </w:rPr>
              <w:lastRenderedPageBreak/>
              <w:t>Gasoduto de Referência, e representa os investimentos na construção e montagem do(s) Ponto(s) de Entrega necessário(s) para a entrega do gás natural pelo Transportador ao Carregador ou a quem este venha a indicar e o volume previsto para a capacidade contratada de entrega para o Gasoduto de Transporte objeto da presente Chamada Pública</w:t>
            </w:r>
            <w:r>
              <w:rPr>
                <w:rFonts w:cs="Arial"/>
                <w:color w:val="000000" w:themeColor="text1"/>
                <w:szCs w:val="24"/>
              </w:rPr>
              <w:t>, bem como à parcela de custos e despesas fixos  relacionados à esta capacidade de entrega contratada</w:t>
            </w:r>
            <w:r w:rsidRPr="00990E49">
              <w:rPr>
                <w:rFonts w:cs="Arial"/>
                <w:color w:val="000000" w:themeColor="text1"/>
                <w:szCs w:val="24"/>
              </w:rPr>
              <w:t>.</w:t>
            </w:r>
          </w:p>
        </w:tc>
        <w:tc>
          <w:tcPr>
            <w:tcW w:w="1818" w:type="pct"/>
            <w:vAlign w:val="center"/>
          </w:tcPr>
          <w:p w:rsidR="00D03FA1" w:rsidRDefault="00D03FA1" w:rsidP="00990E49">
            <w:pPr>
              <w:pStyle w:val="Legenda"/>
              <w:spacing w:before="120" w:after="120"/>
              <w:jc w:val="center"/>
              <w:rPr>
                <w:rFonts w:cs="Arial"/>
                <w:color w:val="000000" w:themeColor="text1"/>
                <w:szCs w:val="24"/>
              </w:rPr>
            </w:pPr>
            <w:r>
              <w:rPr>
                <w:rFonts w:cs="Arial"/>
                <w:color w:val="000000" w:themeColor="text1"/>
                <w:szCs w:val="24"/>
              </w:rPr>
              <w:lastRenderedPageBreak/>
              <w:t xml:space="preserve">Conforme estabelecido na Resolução ANP Nº 15 de 14/03/14 – Art. 8º, Parágrafo Único, o encargo de saída também pode cobrir a parcela de custos e despesas fixas. </w:t>
            </w:r>
          </w:p>
          <w:p w:rsidR="00D03FA1" w:rsidRDefault="00D03FA1" w:rsidP="00B05316">
            <w:pPr>
              <w:pStyle w:val="Legenda"/>
              <w:spacing w:before="120" w:after="120"/>
              <w:jc w:val="center"/>
              <w:rPr>
                <w:rFonts w:cs="Arial"/>
                <w:color w:val="000000" w:themeColor="text1"/>
                <w:szCs w:val="24"/>
              </w:rPr>
            </w:pPr>
            <w:proofErr w:type="gramStart"/>
            <w:r>
              <w:rPr>
                <w:rFonts w:cs="Arial"/>
                <w:color w:val="000000" w:themeColor="text1"/>
                <w:szCs w:val="24"/>
              </w:rPr>
              <w:lastRenderedPageBreak/>
              <w:t>relacionados</w:t>
            </w:r>
            <w:proofErr w:type="gramEnd"/>
            <w:r>
              <w:rPr>
                <w:rFonts w:cs="Arial"/>
                <w:color w:val="000000" w:themeColor="text1"/>
                <w:szCs w:val="24"/>
              </w:rPr>
              <w:t xml:space="preserve"> à capacidade de entrega. Embora a Resolução ANP Nº 15 de 14/03/14 verse sobre gasodutos autorizados, entendemos que a natureza da definição do Encargo de Capacidade de Saída é a mesma daquela definida para gasodutos concedidos. </w:t>
            </w:r>
          </w:p>
        </w:tc>
      </w:tr>
      <w:tr w:rsidR="00D03FA1" w:rsidRPr="00932C2C" w:rsidTr="00CC632B">
        <w:trPr>
          <w:trHeight w:val="2268"/>
        </w:trPr>
        <w:tc>
          <w:tcPr>
            <w:tcW w:w="655" w:type="pct"/>
            <w:vAlign w:val="center"/>
          </w:tcPr>
          <w:p w:rsidR="00D03FA1" w:rsidRDefault="00D03FA1" w:rsidP="000C0894">
            <w:pPr>
              <w:pStyle w:val="Legenda"/>
              <w:jc w:val="center"/>
              <w:rPr>
                <w:rFonts w:cs="Arial"/>
                <w:color w:val="000000" w:themeColor="text1"/>
                <w:szCs w:val="24"/>
              </w:rPr>
            </w:pPr>
            <w:r>
              <w:rPr>
                <w:rFonts w:cs="Arial"/>
                <w:color w:val="000000" w:themeColor="text1"/>
                <w:szCs w:val="24"/>
              </w:rPr>
              <w:lastRenderedPageBreak/>
              <w:t>Esclarecimento</w:t>
            </w:r>
          </w:p>
        </w:tc>
        <w:tc>
          <w:tcPr>
            <w:tcW w:w="586" w:type="pct"/>
            <w:vAlign w:val="center"/>
          </w:tcPr>
          <w:p w:rsidR="00D03FA1" w:rsidRPr="003118CA" w:rsidRDefault="00D03FA1" w:rsidP="00FD6760">
            <w:pPr>
              <w:pStyle w:val="Legenda"/>
              <w:jc w:val="center"/>
              <w:rPr>
                <w:rFonts w:cs="Arial"/>
                <w:color w:val="000000" w:themeColor="text1"/>
                <w:szCs w:val="24"/>
              </w:rPr>
            </w:pPr>
            <w:r w:rsidRPr="003118CA">
              <w:rPr>
                <w:rFonts w:cs="Arial"/>
                <w:color w:val="000000" w:themeColor="text1"/>
                <w:szCs w:val="24"/>
              </w:rPr>
              <w:t xml:space="preserve">Cláusula </w:t>
            </w:r>
            <w:proofErr w:type="gramStart"/>
            <w:r w:rsidRPr="003118CA">
              <w:rPr>
                <w:rFonts w:cs="Arial"/>
                <w:color w:val="000000" w:themeColor="text1"/>
                <w:szCs w:val="24"/>
              </w:rPr>
              <w:t>9</w:t>
            </w:r>
            <w:proofErr w:type="gramEnd"/>
          </w:p>
          <w:p w:rsidR="00D03FA1" w:rsidRPr="003118CA" w:rsidRDefault="00D03FA1" w:rsidP="00FD6760">
            <w:pPr>
              <w:pStyle w:val="Legenda"/>
              <w:jc w:val="center"/>
              <w:rPr>
                <w:rFonts w:cs="Arial"/>
                <w:color w:val="000000" w:themeColor="text1"/>
                <w:szCs w:val="24"/>
              </w:rPr>
            </w:pPr>
            <w:r w:rsidRPr="003118CA">
              <w:rPr>
                <w:rFonts w:cs="Arial"/>
                <w:color w:val="000000" w:themeColor="text1"/>
                <w:szCs w:val="24"/>
              </w:rPr>
              <w:t>Item 9.2.9</w:t>
            </w:r>
          </w:p>
        </w:tc>
        <w:tc>
          <w:tcPr>
            <w:tcW w:w="1941" w:type="pct"/>
            <w:vAlign w:val="center"/>
          </w:tcPr>
          <w:p w:rsidR="00D03FA1" w:rsidRPr="003118CA" w:rsidRDefault="00D03FA1" w:rsidP="00FD6760">
            <w:pPr>
              <w:pStyle w:val="Legenda"/>
              <w:jc w:val="both"/>
              <w:rPr>
                <w:rFonts w:cs="Arial"/>
                <w:color w:val="000000" w:themeColor="text1"/>
                <w:szCs w:val="24"/>
              </w:rPr>
            </w:pPr>
          </w:p>
          <w:p w:rsidR="00D03FA1" w:rsidRPr="003118CA" w:rsidRDefault="00D03FA1" w:rsidP="00FD6760">
            <w:pPr>
              <w:pStyle w:val="Legenda"/>
              <w:jc w:val="both"/>
              <w:rPr>
                <w:rFonts w:cs="Arial"/>
                <w:color w:val="000000" w:themeColor="text1"/>
                <w:szCs w:val="24"/>
              </w:rPr>
            </w:pPr>
            <w:r w:rsidRPr="003118CA">
              <w:rPr>
                <w:rFonts w:cs="Arial"/>
                <w:color w:val="000000" w:themeColor="text1"/>
                <w:szCs w:val="24"/>
              </w:rPr>
              <w:t>A taxa livre de risco foi calculada com base na média diária da taxa nominal paga pelo título de 20 (vinte) anos do Tesouro dos Estados Unidos de maturação constante dos últimos 10 (dez) anos anteriores à data base do cálculo tarifário de 31 de março de 2014, considerando-se a data de 1º de abril de 2004 como o início da apuração.</w:t>
            </w:r>
          </w:p>
          <w:p w:rsidR="00D03FA1" w:rsidRPr="003118CA" w:rsidRDefault="00D03FA1" w:rsidP="00C24F21">
            <w:pPr>
              <w:pStyle w:val="Ttulo3"/>
              <w:numPr>
                <w:ilvl w:val="0"/>
                <w:numId w:val="0"/>
              </w:numPr>
              <w:outlineLvl w:val="2"/>
              <w:rPr>
                <w:color w:val="000000" w:themeColor="text1"/>
              </w:rPr>
            </w:pPr>
          </w:p>
        </w:tc>
        <w:tc>
          <w:tcPr>
            <w:tcW w:w="1818" w:type="pct"/>
            <w:vAlign w:val="center"/>
          </w:tcPr>
          <w:p w:rsidR="00D03FA1" w:rsidRPr="003118CA" w:rsidRDefault="00D03FA1" w:rsidP="00BE7D52">
            <w:pPr>
              <w:pStyle w:val="Legenda"/>
              <w:jc w:val="both"/>
              <w:rPr>
                <w:rFonts w:cs="Arial"/>
                <w:color w:val="000000" w:themeColor="text1"/>
                <w:szCs w:val="24"/>
              </w:rPr>
            </w:pPr>
            <w:r w:rsidRPr="003118CA">
              <w:rPr>
                <w:rFonts w:cs="Arial"/>
                <w:color w:val="000000" w:themeColor="text1"/>
                <w:szCs w:val="24"/>
              </w:rPr>
              <w:t>Porque a data de início de apuração foi 2004 e o período de maturação 20 anos? Este</w:t>
            </w:r>
            <w:r>
              <w:rPr>
                <w:rFonts w:cs="Arial"/>
                <w:color w:val="000000" w:themeColor="text1"/>
                <w:szCs w:val="24"/>
              </w:rPr>
              <w:t>s</w:t>
            </w:r>
            <w:r w:rsidRPr="003118CA">
              <w:rPr>
                <w:rFonts w:cs="Arial"/>
                <w:color w:val="000000" w:themeColor="text1"/>
                <w:szCs w:val="24"/>
              </w:rPr>
              <w:t xml:space="preserve"> parâmetros não podem trazer distorções nas projeções de juros futuros em função do prazo da </w:t>
            </w:r>
            <w:r>
              <w:rPr>
                <w:rFonts w:cs="Arial"/>
                <w:color w:val="000000" w:themeColor="text1"/>
                <w:szCs w:val="24"/>
              </w:rPr>
              <w:t>concessão? Poderia ser utilizada</w:t>
            </w:r>
            <w:r w:rsidRPr="003118CA">
              <w:rPr>
                <w:rFonts w:cs="Arial"/>
                <w:color w:val="000000" w:themeColor="text1"/>
                <w:szCs w:val="24"/>
              </w:rPr>
              <w:t xml:space="preserve"> </w:t>
            </w:r>
            <w:r>
              <w:rPr>
                <w:rFonts w:cs="Arial"/>
                <w:color w:val="000000" w:themeColor="text1"/>
                <w:szCs w:val="24"/>
              </w:rPr>
              <w:t>a</w:t>
            </w:r>
            <w:r w:rsidRPr="003118CA">
              <w:rPr>
                <w:rFonts w:cs="Arial"/>
                <w:color w:val="000000" w:themeColor="text1"/>
                <w:szCs w:val="24"/>
              </w:rPr>
              <w:t xml:space="preserve"> taxa de juros de </w:t>
            </w:r>
            <w:proofErr w:type="gramStart"/>
            <w:r w:rsidRPr="003118CA">
              <w:rPr>
                <w:rFonts w:cs="Arial"/>
                <w:color w:val="000000" w:themeColor="text1"/>
                <w:szCs w:val="24"/>
              </w:rPr>
              <w:t>um US</w:t>
            </w:r>
            <w:proofErr w:type="gramEnd"/>
            <w:r w:rsidRPr="003118CA">
              <w:rPr>
                <w:rFonts w:cs="Arial"/>
                <w:color w:val="000000" w:themeColor="text1"/>
                <w:szCs w:val="24"/>
              </w:rPr>
              <w:t xml:space="preserve"> </w:t>
            </w:r>
            <w:proofErr w:type="spellStart"/>
            <w:r w:rsidRPr="003118CA">
              <w:rPr>
                <w:rFonts w:cs="Arial"/>
                <w:color w:val="000000" w:themeColor="text1"/>
                <w:szCs w:val="24"/>
              </w:rPr>
              <w:t>Treasury</w:t>
            </w:r>
            <w:proofErr w:type="spellEnd"/>
            <w:r w:rsidRPr="003118CA">
              <w:rPr>
                <w:rFonts w:cs="Arial"/>
                <w:color w:val="000000" w:themeColor="text1"/>
                <w:szCs w:val="24"/>
              </w:rPr>
              <w:t xml:space="preserve"> Bond de 30 anos?</w:t>
            </w:r>
          </w:p>
        </w:tc>
      </w:tr>
      <w:tr w:rsidR="00D03FA1" w:rsidRPr="00932C2C" w:rsidTr="00CC632B">
        <w:trPr>
          <w:trHeight w:val="2268"/>
        </w:trPr>
        <w:tc>
          <w:tcPr>
            <w:tcW w:w="655" w:type="pct"/>
            <w:vAlign w:val="center"/>
          </w:tcPr>
          <w:p w:rsidR="00D03FA1" w:rsidRDefault="00D03FA1" w:rsidP="000C0894">
            <w:pPr>
              <w:pStyle w:val="Legenda"/>
              <w:jc w:val="center"/>
              <w:rPr>
                <w:rFonts w:cs="Arial"/>
                <w:color w:val="000000" w:themeColor="text1"/>
                <w:szCs w:val="24"/>
              </w:rPr>
            </w:pPr>
            <w:r>
              <w:rPr>
                <w:rFonts w:cs="Arial"/>
                <w:color w:val="000000" w:themeColor="text1"/>
                <w:szCs w:val="24"/>
              </w:rPr>
              <w:t>Esclarecimento</w:t>
            </w:r>
          </w:p>
        </w:tc>
        <w:tc>
          <w:tcPr>
            <w:tcW w:w="586" w:type="pct"/>
            <w:vAlign w:val="center"/>
          </w:tcPr>
          <w:p w:rsidR="00D03FA1" w:rsidRPr="003118CA" w:rsidRDefault="00D03FA1" w:rsidP="00325374">
            <w:pPr>
              <w:pStyle w:val="Legenda"/>
              <w:jc w:val="center"/>
              <w:rPr>
                <w:rFonts w:cs="Arial"/>
                <w:color w:val="000000" w:themeColor="text1"/>
                <w:szCs w:val="24"/>
              </w:rPr>
            </w:pPr>
            <w:r w:rsidRPr="003118CA">
              <w:rPr>
                <w:rFonts w:cs="Arial"/>
                <w:color w:val="000000" w:themeColor="text1"/>
                <w:szCs w:val="24"/>
              </w:rPr>
              <w:t xml:space="preserve">Cláusula </w:t>
            </w:r>
            <w:proofErr w:type="gramStart"/>
            <w:r w:rsidRPr="003118CA">
              <w:rPr>
                <w:rFonts w:cs="Arial"/>
                <w:color w:val="000000" w:themeColor="text1"/>
                <w:szCs w:val="24"/>
              </w:rPr>
              <w:t>9</w:t>
            </w:r>
            <w:proofErr w:type="gramEnd"/>
          </w:p>
          <w:p w:rsidR="00D03FA1" w:rsidRPr="003118CA" w:rsidRDefault="00D03FA1" w:rsidP="00325374">
            <w:pPr>
              <w:pStyle w:val="Legenda"/>
              <w:jc w:val="center"/>
              <w:rPr>
                <w:rFonts w:cs="Arial"/>
                <w:color w:val="000000" w:themeColor="text1"/>
                <w:szCs w:val="24"/>
              </w:rPr>
            </w:pPr>
            <w:r w:rsidRPr="003118CA">
              <w:rPr>
                <w:rFonts w:cs="Arial"/>
                <w:color w:val="000000" w:themeColor="text1"/>
                <w:szCs w:val="24"/>
              </w:rPr>
              <w:t>Item 9.2.13</w:t>
            </w:r>
          </w:p>
        </w:tc>
        <w:tc>
          <w:tcPr>
            <w:tcW w:w="1941" w:type="pct"/>
            <w:vAlign w:val="center"/>
          </w:tcPr>
          <w:p w:rsidR="00D03FA1" w:rsidRPr="003118CA" w:rsidRDefault="00D03FA1" w:rsidP="008662E8">
            <w:pPr>
              <w:pStyle w:val="Legenda"/>
              <w:jc w:val="both"/>
              <w:rPr>
                <w:rFonts w:cs="Arial"/>
                <w:color w:val="000000" w:themeColor="text1"/>
                <w:szCs w:val="24"/>
              </w:rPr>
            </w:pPr>
          </w:p>
          <w:p w:rsidR="00D03FA1" w:rsidRPr="003118CA" w:rsidRDefault="00D03FA1" w:rsidP="008662E8">
            <w:pPr>
              <w:pStyle w:val="Legenda"/>
              <w:jc w:val="both"/>
              <w:rPr>
                <w:rFonts w:cs="Arial"/>
                <w:color w:val="000000" w:themeColor="text1"/>
                <w:szCs w:val="24"/>
              </w:rPr>
            </w:pPr>
            <w:r w:rsidRPr="003118CA">
              <w:rPr>
                <w:rFonts w:cs="Arial"/>
                <w:color w:val="000000" w:themeColor="text1"/>
                <w:szCs w:val="24"/>
              </w:rPr>
              <w:t xml:space="preserve">O cálculo da expectativa de inflação dos EUA foi realizado a partir do diferencial entre as taxas dos títulos indexados e </w:t>
            </w:r>
            <w:proofErr w:type="spellStart"/>
            <w:proofErr w:type="gramStart"/>
            <w:r w:rsidRPr="003118CA">
              <w:rPr>
                <w:rFonts w:cs="Arial"/>
                <w:color w:val="000000" w:themeColor="text1"/>
                <w:szCs w:val="24"/>
              </w:rPr>
              <w:t>não-indexados</w:t>
            </w:r>
            <w:proofErr w:type="spellEnd"/>
            <w:proofErr w:type="gramEnd"/>
            <w:r w:rsidRPr="003118CA">
              <w:rPr>
                <w:rFonts w:cs="Arial"/>
                <w:color w:val="000000" w:themeColor="text1"/>
                <w:szCs w:val="24"/>
              </w:rPr>
              <w:t xml:space="preserve"> norte-americanos de mesma maturidade (vinte anos), sendo este parâmetro utilizado para transformar os valores estimados em termos nominais e em dólares norte-americanos para termos reais.</w:t>
            </w:r>
          </w:p>
          <w:p w:rsidR="00D03FA1" w:rsidRPr="003118CA" w:rsidRDefault="00D03FA1" w:rsidP="00325374">
            <w:pPr>
              <w:pStyle w:val="Legenda"/>
              <w:jc w:val="both"/>
              <w:rPr>
                <w:color w:val="000000" w:themeColor="text1"/>
              </w:rPr>
            </w:pPr>
          </w:p>
        </w:tc>
        <w:tc>
          <w:tcPr>
            <w:tcW w:w="1818" w:type="pct"/>
            <w:vAlign w:val="center"/>
          </w:tcPr>
          <w:p w:rsidR="00D03FA1" w:rsidRPr="003118CA" w:rsidRDefault="00D03FA1" w:rsidP="000C0894">
            <w:pPr>
              <w:pStyle w:val="Legenda"/>
              <w:jc w:val="both"/>
              <w:rPr>
                <w:rFonts w:cs="Arial"/>
                <w:color w:val="000000" w:themeColor="text1"/>
                <w:szCs w:val="24"/>
              </w:rPr>
            </w:pPr>
            <w:r w:rsidRPr="003118CA">
              <w:rPr>
                <w:rFonts w:cs="Arial"/>
                <w:color w:val="000000" w:themeColor="text1"/>
                <w:szCs w:val="24"/>
              </w:rPr>
              <w:t>Se o prazo médio de concessão dos gasodutos é em torno de 30 anos, a análise para a taxa de inflação implícita nos títulos deve se referenciar em títulos de 30 anos.</w:t>
            </w:r>
          </w:p>
        </w:tc>
      </w:tr>
      <w:tr w:rsidR="00D03FA1" w:rsidRPr="00932C2C" w:rsidTr="00CC632B">
        <w:trPr>
          <w:trHeight w:val="2268"/>
        </w:trPr>
        <w:tc>
          <w:tcPr>
            <w:tcW w:w="655" w:type="pct"/>
            <w:vAlign w:val="center"/>
          </w:tcPr>
          <w:p w:rsidR="00D03FA1" w:rsidRPr="000C0894" w:rsidRDefault="00D03FA1" w:rsidP="000C0894">
            <w:pPr>
              <w:pStyle w:val="Legenda"/>
              <w:jc w:val="center"/>
              <w:rPr>
                <w:rFonts w:cs="Arial"/>
                <w:color w:val="000000" w:themeColor="text1"/>
                <w:szCs w:val="24"/>
              </w:rPr>
            </w:pPr>
            <w:r>
              <w:rPr>
                <w:rFonts w:cs="Arial"/>
                <w:color w:val="000000" w:themeColor="text1"/>
                <w:szCs w:val="24"/>
              </w:rPr>
              <w:lastRenderedPageBreak/>
              <w:t>Alteração</w:t>
            </w:r>
          </w:p>
        </w:tc>
        <w:tc>
          <w:tcPr>
            <w:tcW w:w="586" w:type="pct"/>
            <w:vAlign w:val="center"/>
          </w:tcPr>
          <w:p w:rsidR="00D03FA1" w:rsidRPr="003118CA" w:rsidRDefault="00D03FA1" w:rsidP="008B4AE8">
            <w:pPr>
              <w:pStyle w:val="Legenda"/>
              <w:jc w:val="center"/>
              <w:rPr>
                <w:rFonts w:cs="Arial"/>
                <w:color w:val="000000" w:themeColor="text1"/>
                <w:szCs w:val="24"/>
              </w:rPr>
            </w:pPr>
            <w:r w:rsidRPr="003118CA">
              <w:rPr>
                <w:rFonts w:cs="Arial"/>
                <w:color w:val="000000" w:themeColor="text1"/>
                <w:szCs w:val="24"/>
              </w:rPr>
              <w:t xml:space="preserve">Cláusula </w:t>
            </w:r>
            <w:proofErr w:type="gramStart"/>
            <w:r w:rsidRPr="003118CA">
              <w:rPr>
                <w:rFonts w:cs="Arial"/>
                <w:color w:val="000000" w:themeColor="text1"/>
                <w:szCs w:val="24"/>
              </w:rPr>
              <w:t>9</w:t>
            </w:r>
            <w:proofErr w:type="gramEnd"/>
          </w:p>
          <w:p w:rsidR="00D03FA1" w:rsidRPr="003118CA" w:rsidRDefault="00D03FA1" w:rsidP="008B4AE8">
            <w:pPr>
              <w:pStyle w:val="Legenda"/>
              <w:jc w:val="center"/>
              <w:rPr>
                <w:rFonts w:cs="Arial"/>
                <w:color w:val="000000" w:themeColor="text1"/>
                <w:szCs w:val="24"/>
              </w:rPr>
            </w:pPr>
            <w:r w:rsidRPr="003118CA">
              <w:rPr>
                <w:rFonts w:cs="Arial"/>
                <w:color w:val="000000" w:themeColor="text1"/>
                <w:szCs w:val="24"/>
              </w:rPr>
              <w:t>Item 9.2.20</w:t>
            </w:r>
          </w:p>
        </w:tc>
        <w:tc>
          <w:tcPr>
            <w:tcW w:w="1941" w:type="pct"/>
            <w:vAlign w:val="center"/>
          </w:tcPr>
          <w:p w:rsidR="00D03FA1" w:rsidRPr="003118CA" w:rsidRDefault="00D03FA1" w:rsidP="00C24F21">
            <w:pPr>
              <w:pStyle w:val="Ttulo3"/>
              <w:numPr>
                <w:ilvl w:val="0"/>
                <w:numId w:val="0"/>
              </w:numPr>
              <w:outlineLvl w:val="2"/>
              <w:rPr>
                <w:color w:val="FF0000"/>
              </w:rPr>
            </w:pPr>
            <w:r w:rsidRPr="003118CA">
              <w:rPr>
                <w:rFonts w:ascii="Arial" w:hAnsi="Arial" w:cs="Arial"/>
                <w:bCs w:val="0"/>
                <w:color w:val="000000" w:themeColor="text1"/>
                <w:sz w:val="24"/>
                <w:szCs w:val="24"/>
                <w:lang w:eastAsia="pt-BR"/>
              </w:rPr>
              <w:t>CMPC=CCP E/E+D + CCT D/E+D x (1-t)</w:t>
            </w:r>
          </w:p>
        </w:tc>
        <w:tc>
          <w:tcPr>
            <w:tcW w:w="1818" w:type="pct"/>
            <w:vAlign w:val="center"/>
          </w:tcPr>
          <w:p w:rsidR="00D03FA1" w:rsidRPr="003118CA" w:rsidRDefault="00D03FA1" w:rsidP="000C0894">
            <w:pPr>
              <w:pStyle w:val="Legenda"/>
              <w:jc w:val="both"/>
              <w:rPr>
                <w:rFonts w:cs="Arial"/>
                <w:color w:val="000000" w:themeColor="text1"/>
                <w:szCs w:val="24"/>
              </w:rPr>
            </w:pPr>
            <w:r w:rsidRPr="003118CA">
              <w:rPr>
                <w:rFonts w:cs="Arial"/>
                <w:color w:val="000000" w:themeColor="text1"/>
                <w:szCs w:val="24"/>
              </w:rPr>
              <w:t>O termo referente ao tributo está escrito de maneira equivocada na fórmula. Deve-se substituir (1+t) por (1-t), traduzindo o benefício fiscal da dívida em relação ao imposto a pagar.</w:t>
            </w:r>
          </w:p>
        </w:tc>
      </w:tr>
      <w:tr w:rsidR="00D03FA1" w:rsidRPr="00932C2C" w:rsidTr="00CC632B">
        <w:trPr>
          <w:trHeight w:val="2268"/>
        </w:trPr>
        <w:tc>
          <w:tcPr>
            <w:tcW w:w="655" w:type="pct"/>
            <w:vAlign w:val="center"/>
          </w:tcPr>
          <w:p w:rsidR="00D03FA1" w:rsidRDefault="00D03FA1" w:rsidP="000C0894">
            <w:pPr>
              <w:pStyle w:val="Legenda"/>
              <w:jc w:val="center"/>
              <w:rPr>
                <w:rFonts w:cs="Arial"/>
                <w:color w:val="000000" w:themeColor="text1"/>
                <w:szCs w:val="24"/>
              </w:rPr>
            </w:pPr>
            <w:r>
              <w:rPr>
                <w:rFonts w:cs="Arial"/>
                <w:color w:val="000000" w:themeColor="text1"/>
                <w:szCs w:val="24"/>
              </w:rPr>
              <w:t>Alteração</w:t>
            </w:r>
          </w:p>
        </w:tc>
        <w:tc>
          <w:tcPr>
            <w:tcW w:w="586" w:type="pct"/>
            <w:vAlign w:val="center"/>
          </w:tcPr>
          <w:p w:rsidR="00D03FA1" w:rsidRDefault="00D03FA1" w:rsidP="00CE7A79">
            <w:pPr>
              <w:pStyle w:val="Legenda"/>
              <w:jc w:val="center"/>
              <w:rPr>
                <w:rFonts w:cs="Arial"/>
                <w:color w:val="000000" w:themeColor="text1"/>
                <w:szCs w:val="24"/>
              </w:rPr>
            </w:pPr>
            <w:r>
              <w:rPr>
                <w:rFonts w:cs="Arial"/>
                <w:color w:val="000000" w:themeColor="text1"/>
                <w:szCs w:val="24"/>
              </w:rPr>
              <w:t xml:space="preserve">Cláusula </w:t>
            </w:r>
            <w:proofErr w:type="gramStart"/>
            <w:r>
              <w:rPr>
                <w:rFonts w:cs="Arial"/>
                <w:color w:val="000000" w:themeColor="text1"/>
                <w:szCs w:val="24"/>
              </w:rPr>
              <w:t>9</w:t>
            </w:r>
            <w:proofErr w:type="gramEnd"/>
          </w:p>
          <w:p w:rsidR="00D03FA1" w:rsidRDefault="00D03FA1" w:rsidP="00CE7A79">
            <w:pPr>
              <w:pStyle w:val="Legenda"/>
              <w:jc w:val="center"/>
              <w:rPr>
                <w:rFonts w:cs="Arial"/>
                <w:color w:val="000000" w:themeColor="text1"/>
                <w:szCs w:val="24"/>
              </w:rPr>
            </w:pPr>
            <w:r>
              <w:rPr>
                <w:rFonts w:cs="Arial"/>
                <w:color w:val="000000" w:themeColor="text1"/>
                <w:szCs w:val="24"/>
              </w:rPr>
              <w:t>Item 9.2.23</w:t>
            </w:r>
          </w:p>
        </w:tc>
        <w:tc>
          <w:tcPr>
            <w:tcW w:w="1941" w:type="pct"/>
            <w:vAlign w:val="center"/>
          </w:tcPr>
          <w:p w:rsidR="00D03FA1" w:rsidRPr="00097448" w:rsidRDefault="00D03FA1" w:rsidP="00CE7A79">
            <w:pPr>
              <w:pStyle w:val="Legenda"/>
              <w:spacing w:before="120" w:after="120"/>
              <w:jc w:val="center"/>
              <w:rPr>
                <w:rFonts w:cs="Arial"/>
                <w:color w:val="000000" w:themeColor="text1"/>
                <w:szCs w:val="24"/>
              </w:rPr>
            </w:pPr>
            <w:r w:rsidRPr="00097448">
              <w:rPr>
                <w:rFonts w:cs="Arial"/>
                <w:color w:val="000000" w:themeColor="text1"/>
                <w:szCs w:val="24"/>
              </w:rPr>
              <w:t xml:space="preserve">A variação da necessidade de capital de giro (“VNCG”) indica o montante de recursos que o Transportador precisa para financiar suas operações, ou seja, o valor dos recursos que a empresa precisa para que seus compromissos sejam pagos nos prazos de vencimento, incluindo: o montante necessário para a cobertura de despesas e custos operacionais cotidianos; pré-pagamentos da prestação de serviços (por exemplo, prêmios de seguro); e a manutenção de um estoque de materiais e equipamentos necessários </w:t>
            </w:r>
            <w:proofErr w:type="gramStart"/>
            <w:r w:rsidRPr="00097448">
              <w:rPr>
                <w:rFonts w:cs="Arial"/>
                <w:color w:val="000000" w:themeColor="text1"/>
                <w:szCs w:val="24"/>
              </w:rPr>
              <w:t>a</w:t>
            </w:r>
            <w:proofErr w:type="gramEnd"/>
            <w:r w:rsidRPr="00097448">
              <w:rPr>
                <w:rFonts w:cs="Arial"/>
                <w:color w:val="000000" w:themeColor="text1"/>
                <w:szCs w:val="24"/>
              </w:rPr>
              <w:t xml:space="preserve"> condução da atividade de transporte de gás natural</w:t>
            </w:r>
            <w:r>
              <w:rPr>
                <w:rFonts w:cs="Arial"/>
                <w:color w:val="000000" w:themeColor="text1"/>
                <w:szCs w:val="24"/>
              </w:rPr>
              <w:t>; custos e despesas pré-operacionais</w:t>
            </w:r>
            <w:r w:rsidRPr="00097448">
              <w:rPr>
                <w:rFonts w:cs="Arial"/>
                <w:color w:val="000000" w:themeColor="text1"/>
                <w:szCs w:val="24"/>
              </w:rPr>
              <w:t>.</w:t>
            </w:r>
          </w:p>
          <w:p w:rsidR="00D03FA1" w:rsidRPr="009748B8" w:rsidRDefault="00D03FA1" w:rsidP="00C24F21">
            <w:pPr>
              <w:pStyle w:val="Ttulo3"/>
              <w:numPr>
                <w:ilvl w:val="0"/>
                <w:numId w:val="0"/>
              </w:numPr>
              <w:outlineLvl w:val="2"/>
              <w:rPr>
                <w:color w:val="000000" w:themeColor="text1"/>
              </w:rPr>
            </w:pPr>
          </w:p>
        </w:tc>
        <w:tc>
          <w:tcPr>
            <w:tcW w:w="1818" w:type="pct"/>
            <w:vAlign w:val="center"/>
          </w:tcPr>
          <w:p w:rsidR="00D03FA1" w:rsidRDefault="00D03FA1" w:rsidP="009D2602">
            <w:pPr>
              <w:pStyle w:val="Legenda"/>
              <w:jc w:val="both"/>
              <w:rPr>
                <w:rFonts w:cs="Arial"/>
                <w:color w:val="000000" w:themeColor="text1"/>
                <w:szCs w:val="24"/>
              </w:rPr>
            </w:pPr>
            <w:r>
              <w:rPr>
                <w:rFonts w:cs="Arial"/>
                <w:color w:val="000000" w:themeColor="text1"/>
                <w:szCs w:val="24"/>
              </w:rPr>
              <w:t xml:space="preserve">Antes do início da operação do gasoduto de transporte, considerando-se a captação de recursos financeiros externos, existe o pagamento de juros sobre o financiamento pela empresa, constituindo-se em VNCG negativa. Além disso, alguns </w:t>
            </w:r>
            <w:proofErr w:type="spellStart"/>
            <w:r>
              <w:rPr>
                <w:rFonts w:cs="Arial"/>
                <w:color w:val="000000" w:themeColor="text1"/>
                <w:szCs w:val="24"/>
              </w:rPr>
              <w:t>soft</w:t>
            </w:r>
            <w:proofErr w:type="spellEnd"/>
            <w:r>
              <w:rPr>
                <w:rFonts w:cs="Arial"/>
                <w:color w:val="000000" w:themeColor="text1"/>
                <w:szCs w:val="24"/>
              </w:rPr>
              <w:t xml:space="preserve"> </w:t>
            </w:r>
            <w:proofErr w:type="spellStart"/>
            <w:r>
              <w:rPr>
                <w:rFonts w:cs="Arial"/>
                <w:color w:val="000000" w:themeColor="text1"/>
                <w:szCs w:val="24"/>
              </w:rPr>
              <w:t>costs</w:t>
            </w:r>
            <w:proofErr w:type="spellEnd"/>
            <w:r>
              <w:rPr>
                <w:rFonts w:cs="Arial"/>
                <w:color w:val="000000" w:themeColor="text1"/>
                <w:szCs w:val="24"/>
              </w:rPr>
              <w:t xml:space="preserve"> para estruturação da operação acontecem previamente ao ano inicial da geração de receitas. Na planilha tarifária disponibilizada com a Minuta (Quadro </w:t>
            </w:r>
            <w:proofErr w:type="gramStart"/>
            <w:r>
              <w:rPr>
                <w:rFonts w:cs="Arial"/>
                <w:color w:val="000000" w:themeColor="text1"/>
                <w:szCs w:val="24"/>
              </w:rPr>
              <w:t>7</w:t>
            </w:r>
            <w:proofErr w:type="gramEnd"/>
            <w:r>
              <w:rPr>
                <w:rFonts w:cs="Arial"/>
                <w:color w:val="000000" w:themeColor="text1"/>
                <w:szCs w:val="24"/>
              </w:rPr>
              <w:t xml:space="preserve">- Cálculo Tarifário – célula C38), não é considerada uma VNCG negativa em 2015, ano que precede ao início da operação. </w:t>
            </w:r>
          </w:p>
        </w:tc>
      </w:tr>
      <w:tr w:rsidR="00D03FA1" w:rsidRPr="00932C2C" w:rsidTr="00CC632B">
        <w:trPr>
          <w:trHeight w:val="2268"/>
        </w:trPr>
        <w:tc>
          <w:tcPr>
            <w:tcW w:w="655" w:type="pct"/>
            <w:vAlign w:val="center"/>
          </w:tcPr>
          <w:p w:rsidR="00D03FA1" w:rsidRDefault="00D03FA1" w:rsidP="00D7419B">
            <w:pPr>
              <w:pStyle w:val="Legenda"/>
              <w:jc w:val="center"/>
              <w:rPr>
                <w:rFonts w:cs="Arial"/>
                <w:color w:val="000000" w:themeColor="text1"/>
                <w:szCs w:val="24"/>
              </w:rPr>
            </w:pPr>
            <w:r>
              <w:rPr>
                <w:rFonts w:cs="Arial"/>
                <w:color w:val="000000" w:themeColor="text1"/>
                <w:szCs w:val="24"/>
              </w:rPr>
              <w:lastRenderedPageBreak/>
              <w:t>Esclarecimento</w:t>
            </w:r>
          </w:p>
        </w:tc>
        <w:tc>
          <w:tcPr>
            <w:tcW w:w="586" w:type="pct"/>
            <w:vAlign w:val="center"/>
          </w:tcPr>
          <w:p w:rsidR="00D03FA1" w:rsidRDefault="00D03FA1" w:rsidP="00D7419B">
            <w:pPr>
              <w:pStyle w:val="Legenda"/>
              <w:jc w:val="center"/>
              <w:rPr>
                <w:rFonts w:cs="Arial"/>
                <w:color w:val="000000" w:themeColor="text1"/>
                <w:szCs w:val="24"/>
              </w:rPr>
            </w:pPr>
            <w:r>
              <w:rPr>
                <w:rFonts w:cs="Arial"/>
                <w:color w:val="000000" w:themeColor="text1"/>
                <w:szCs w:val="24"/>
              </w:rPr>
              <w:t xml:space="preserve">Cláusula </w:t>
            </w:r>
            <w:proofErr w:type="gramStart"/>
            <w:r>
              <w:rPr>
                <w:rFonts w:cs="Arial"/>
                <w:color w:val="000000" w:themeColor="text1"/>
                <w:szCs w:val="24"/>
              </w:rPr>
              <w:t>9</w:t>
            </w:r>
            <w:proofErr w:type="gramEnd"/>
          </w:p>
          <w:p w:rsidR="00D03FA1" w:rsidRDefault="00D03FA1" w:rsidP="00D7419B">
            <w:pPr>
              <w:pStyle w:val="Legenda"/>
              <w:jc w:val="center"/>
              <w:rPr>
                <w:rFonts w:cs="Arial"/>
                <w:color w:val="000000" w:themeColor="text1"/>
                <w:szCs w:val="24"/>
              </w:rPr>
            </w:pPr>
            <w:r>
              <w:rPr>
                <w:rFonts w:cs="Arial"/>
                <w:color w:val="000000" w:themeColor="text1"/>
                <w:szCs w:val="24"/>
              </w:rPr>
              <w:t>Item 9.5.8</w:t>
            </w:r>
          </w:p>
        </w:tc>
        <w:tc>
          <w:tcPr>
            <w:tcW w:w="1941" w:type="pct"/>
            <w:vAlign w:val="center"/>
          </w:tcPr>
          <w:p w:rsidR="00D03FA1" w:rsidRPr="00CE7A79" w:rsidRDefault="00D03FA1" w:rsidP="00D7419B">
            <w:pPr>
              <w:pStyle w:val="Ttulo3"/>
              <w:numPr>
                <w:ilvl w:val="0"/>
                <w:numId w:val="0"/>
              </w:numPr>
              <w:outlineLvl w:val="2"/>
              <w:rPr>
                <w:rFonts w:ascii="Arial" w:hAnsi="Arial" w:cs="Arial"/>
                <w:bCs w:val="0"/>
                <w:color w:val="000000" w:themeColor="text1"/>
                <w:sz w:val="24"/>
                <w:szCs w:val="24"/>
                <w:lang w:eastAsia="pt-BR"/>
              </w:rPr>
            </w:pPr>
            <w:r w:rsidRPr="00CE7A79">
              <w:rPr>
                <w:rFonts w:ascii="Arial" w:hAnsi="Arial" w:cs="Arial"/>
                <w:bCs w:val="0"/>
                <w:color w:val="000000" w:themeColor="text1"/>
                <w:sz w:val="24"/>
                <w:szCs w:val="24"/>
                <w:lang w:eastAsia="pt-BR"/>
              </w:rPr>
              <w:t xml:space="preserve">A inclusão de novos bens e instalações na Base Regulatória de Ativos, desde que considerados necessários à prestação de Serviço de Transporte Firme objeto da </w:t>
            </w:r>
            <w:proofErr w:type="gramStart"/>
            <w:r w:rsidRPr="00CE7A79">
              <w:rPr>
                <w:rFonts w:ascii="Arial" w:hAnsi="Arial" w:cs="Arial"/>
                <w:bCs w:val="0"/>
                <w:color w:val="000000" w:themeColor="text1"/>
                <w:sz w:val="24"/>
                <w:szCs w:val="24"/>
                <w:lang w:eastAsia="pt-BR"/>
              </w:rPr>
              <w:t>presente Chamada Pública</w:t>
            </w:r>
            <w:proofErr w:type="gramEnd"/>
            <w:r w:rsidRPr="00CE7A79">
              <w:rPr>
                <w:rFonts w:ascii="Arial" w:hAnsi="Arial" w:cs="Arial"/>
                <w:bCs w:val="0"/>
                <w:color w:val="000000" w:themeColor="text1"/>
                <w:sz w:val="24"/>
                <w:szCs w:val="24"/>
                <w:lang w:eastAsia="pt-BR"/>
              </w:rPr>
              <w:t xml:space="preserve"> e cujo investimento tenha sido previamente aprovado pela ANP, implicará a revisão da correspondente Tarifa de Transporte.</w:t>
            </w:r>
          </w:p>
          <w:p w:rsidR="00D03FA1" w:rsidRPr="007C5E72" w:rsidRDefault="00D03FA1" w:rsidP="00D7419B">
            <w:pPr>
              <w:rPr>
                <w:rFonts w:ascii="Arial" w:hAnsi="Arial" w:cs="Arial"/>
              </w:rPr>
            </w:pPr>
          </w:p>
        </w:tc>
        <w:tc>
          <w:tcPr>
            <w:tcW w:w="1818" w:type="pct"/>
            <w:vAlign w:val="center"/>
          </w:tcPr>
          <w:p w:rsidR="00D03FA1" w:rsidRDefault="00D03FA1" w:rsidP="00D7419B">
            <w:pPr>
              <w:pStyle w:val="Legenda"/>
              <w:jc w:val="both"/>
              <w:rPr>
                <w:rFonts w:cs="Arial"/>
                <w:color w:val="000000" w:themeColor="text1"/>
                <w:szCs w:val="24"/>
              </w:rPr>
            </w:pPr>
            <w:r>
              <w:rPr>
                <w:rFonts w:cs="Arial"/>
                <w:color w:val="000000" w:themeColor="text1"/>
                <w:szCs w:val="24"/>
              </w:rPr>
              <w:t>O intervalo mínimo a ser considerado para a revisão tarifária é o mesmo a que se refere o item 9.5.10 da Minuta (cinco anos), ou a solicitação da revisão de que trata este item poderá ser solicitada a qualquer tempo?</w:t>
            </w:r>
          </w:p>
        </w:tc>
      </w:tr>
      <w:tr w:rsidR="00D03FA1" w:rsidRPr="00932C2C" w:rsidTr="00CC632B">
        <w:trPr>
          <w:trHeight w:val="2268"/>
        </w:trPr>
        <w:tc>
          <w:tcPr>
            <w:tcW w:w="655" w:type="pct"/>
            <w:vAlign w:val="center"/>
          </w:tcPr>
          <w:p w:rsidR="00D03FA1" w:rsidRDefault="00D03FA1" w:rsidP="000C0894">
            <w:pPr>
              <w:pStyle w:val="Legenda"/>
              <w:jc w:val="center"/>
              <w:rPr>
                <w:rFonts w:cs="Arial"/>
                <w:color w:val="000000" w:themeColor="text1"/>
                <w:szCs w:val="24"/>
              </w:rPr>
            </w:pPr>
            <w:r>
              <w:rPr>
                <w:rFonts w:cs="Arial"/>
                <w:color w:val="000000" w:themeColor="text1"/>
                <w:szCs w:val="24"/>
              </w:rPr>
              <w:t>Alteração</w:t>
            </w:r>
          </w:p>
        </w:tc>
        <w:tc>
          <w:tcPr>
            <w:tcW w:w="586" w:type="pct"/>
            <w:vAlign w:val="center"/>
          </w:tcPr>
          <w:p w:rsidR="00D03FA1" w:rsidRDefault="00D03FA1" w:rsidP="00FE083B">
            <w:pPr>
              <w:pStyle w:val="Legenda"/>
              <w:jc w:val="center"/>
              <w:rPr>
                <w:rFonts w:cs="Arial"/>
                <w:color w:val="000000" w:themeColor="text1"/>
                <w:szCs w:val="24"/>
              </w:rPr>
            </w:pPr>
            <w:r>
              <w:rPr>
                <w:rFonts w:cs="Arial"/>
                <w:color w:val="000000" w:themeColor="text1"/>
                <w:szCs w:val="24"/>
              </w:rPr>
              <w:t xml:space="preserve">Cláusula </w:t>
            </w:r>
            <w:proofErr w:type="gramStart"/>
            <w:r>
              <w:rPr>
                <w:rFonts w:cs="Arial"/>
                <w:color w:val="000000" w:themeColor="text1"/>
                <w:szCs w:val="24"/>
              </w:rPr>
              <w:t>9</w:t>
            </w:r>
            <w:proofErr w:type="gramEnd"/>
          </w:p>
          <w:p w:rsidR="00D03FA1" w:rsidRDefault="00D03FA1" w:rsidP="00FE083B">
            <w:pPr>
              <w:pStyle w:val="Legenda"/>
              <w:jc w:val="center"/>
              <w:rPr>
                <w:rFonts w:cs="Arial"/>
                <w:color w:val="000000" w:themeColor="text1"/>
                <w:szCs w:val="24"/>
              </w:rPr>
            </w:pPr>
            <w:r>
              <w:rPr>
                <w:rFonts w:cs="Arial"/>
                <w:color w:val="000000" w:themeColor="text1"/>
                <w:szCs w:val="24"/>
              </w:rPr>
              <w:t>Item 9.5.10</w:t>
            </w:r>
          </w:p>
        </w:tc>
        <w:tc>
          <w:tcPr>
            <w:tcW w:w="1941" w:type="pct"/>
            <w:vAlign w:val="center"/>
          </w:tcPr>
          <w:p w:rsidR="00D03FA1" w:rsidRPr="00FE083B" w:rsidRDefault="00D03FA1" w:rsidP="00FE083B">
            <w:pPr>
              <w:pStyle w:val="Ttulo3"/>
              <w:numPr>
                <w:ilvl w:val="0"/>
                <w:numId w:val="0"/>
              </w:numPr>
              <w:outlineLvl w:val="2"/>
              <w:rPr>
                <w:rFonts w:ascii="Arial" w:hAnsi="Arial" w:cs="Arial"/>
                <w:bCs w:val="0"/>
                <w:color w:val="000000" w:themeColor="text1"/>
                <w:sz w:val="24"/>
                <w:szCs w:val="24"/>
                <w:lang w:eastAsia="pt-BR"/>
              </w:rPr>
            </w:pPr>
            <w:r w:rsidRPr="00FE083B">
              <w:rPr>
                <w:rFonts w:ascii="Arial" w:hAnsi="Arial" w:cs="Arial"/>
                <w:bCs w:val="0"/>
                <w:color w:val="000000" w:themeColor="text1"/>
                <w:sz w:val="24"/>
                <w:szCs w:val="24"/>
                <w:lang w:eastAsia="pt-BR"/>
              </w:rPr>
              <w:t xml:space="preserve">A Tarifa de Transporte aplicável à prestação do Serviço de Transporte Firme objeto da presente Chamada Pública será revisada periodicamente a cada </w:t>
            </w:r>
            <w:proofErr w:type="gramStart"/>
            <w:r w:rsidRPr="00FE083B">
              <w:rPr>
                <w:rFonts w:ascii="Arial" w:hAnsi="Arial" w:cs="Arial"/>
                <w:bCs w:val="0"/>
                <w:color w:val="000000" w:themeColor="text1"/>
                <w:sz w:val="24"/>
                <w:szCs w:val="24"/>
                <w:lang w:eastAsia="pt-BR"/>
              </w:rPr>
              <w:t>5</w:t>
            </w:r>
            <w:proofErr w:type="gramEnd"/>
            <w:r w:rsidRPr="00FE083B">
              <w:rPr>
                <w:rFonts w:ascii="Arial" w:hAnsi="Arial" w:cs="Arial"/>
                <w:bCs w:val="0"/>
                <w:color w:val="000000" w:themeColor="text1"/>
                <w:sz w:val="24"/>
                <w:szCs w:val="24"/>
                <w:lang w:eastAsia="pt-BR"/>
              </w:rPr>
              <w:t xml:space="preserve"> (cinco) anos, a contar da Data de Início do Serviço de Transporte.</w:t>
            </w:r>
          </w:p>
          <w:p w:rsidR="00D03FA1" w:rsidRPr="00CE7A79" w:rsidRDefault="00D03FA1" w:rsidP="00CE7A79">
            <w:pPr>
              <w:pStyle w:val="Ttulo3"/>
              <w:numPr>
                <w:ilvl w:val="0"/>
                <w:numId w:val="0"/>
              </w:numPr>
              <w:outlineLvl w:val="2"/>
              <w:rPr>
                <w:rFonts w:ascii="Arial" w:hAnsi="Arial" w:cs="Arial"/>
                <w:bCs w:val="0"/>
                <w:color w:val="000000" w:themeColor="text1"/>
                <w:sz w:val="24"/>
                <w:szCs w:val="24"/>
                <w:lang w:eastAsia="pt-BR"/>
              </w:rPr>
            </w:pPr>
          </w:p>
        </w:tc>
        <w:tc>
          <w:tcPr>
            <w:tcW w:w="1818" w:type="pct"/>
            <w:vAlign w:val="center"/>
          </w:tcPr>
          <w:p w:rsidR="00D03FA1" w:rsidRDefault="00D03FA1" w:rsidP="00842D11">
            <w:pPr>
              <w:pStyle w:val="Legenda"/>
              <w:jc w:val="both"/>
              <w:rPr>
                <w:rFonts w:cs="Arial"/>
                <w:color w:val="000000" w:themeColor="text1"/>
                <w:szCs w:val="24"/>
              </w:rPr>
            </w:pPr>
            <w:r>
              <w:rPr>
                <w:rFonts w:cs="Arial"/>
                <w:color w:val="000000" w:themeColor="text1"/>
                <w:szCs w:val="24"/>
              </w:rPr>
              <w:t>A revisão de que trata este item</w:t>
            </w:r>
            <w:proofErr w:type="gramStart"/>
            <w:r>
              <w:rPr>
                <w:rFonts w:cs="Arial"/>
                <w:color w:val="000000" w:themeColor="text1"/>
                <w:szCs w:val="24"/>
              </w:rPr>
              <w:t xml:space="preserve">  </w:t>
            </w:r>
            <w:proofErr w:type="gramEnd"/>
            <w:r>
              <w:rPr>
                <w:rFonts w:cs="Arial"/>
                <w:color w:val="000000" w:themeColor="text1"/>
                <w:szCs w:val="24"/>
              </w:rPr>
              <w:t>tem restrição de alguma natureza? Tal revisão poderá contemplar mudanças macroeconômicas,</w:t>
            </w:r>
            <w:proofErr w:type="gramStart"/>
            <w:r>
              <w:rPr>
                <w:rFonts w:cs="Arial"/>
                <w:color w:val="000000" w:themeColor="text1"/>
                <w:szCs w:val="24"/>
              </w:rPr>
              <w:t xml:space="preserve">   </w:t>
            </w:r>
            <w:proofErr w:type="gramEnd"/>
            <w:r>
              <w:rPr>
                <w:rFonts w:cs="Arial"/>
                <w:color w:val="000000" w:themeColor="text1"/>
                <w:szCs w:val="24"/>
              </w:rPr>
              <w:t xml:space="preserve">tecnológicas e/ou investimentos em melhorias da operação desde que </w:t>
            </w:r>
            <w:proofErr w:type="spellStart"/>
            <w:r>
              <w:rPr>
                <w:rFonts w:cs="Arial"/>
                <w:color w:val="000000" w:themeColor="text1"/>
                <w:szCs w:val="24"/>
              </w:rPr>
              <w:t>que</w:t>
            </w:r>
            <w:proofErr w:type="spellEnd"/>
            <w:r>
              <w:rPr>
                <w:rFonts w:cs="Arial"/>
                <w:color w:val="000000" w:themeColor="text1"/>
                <w:szCs w:val="24"/>
              </w:rPr>
              <w:t xml:space="preserve"> devidamente aprovados pelo órgão regulador?</w:t>
            </w:r>
          </w:p>
        </w:tc>
      </w:tr>
      <w:tr w:rsidR="00D03FA1" w:rsidRPr="00932C2C" w:rsidTr="00CC632B">
        <w:trPr>
          <w:trHeight w:val="2268"/>
        </w:trPr>
        <w:tc>
          <w:tcPr>
            <w:tcW w:w="655" w:type="pct"/>
            <w:vAlign w:val="center"/>
          </w:tcPr>
          <w:p w:rsidR="00D03FA1" w:rsidRPr="000C0894" w:rsidRDefault="00D03FA1" w:rsidP="000C0894">
            <w:pPr>
              <w:pStyle w:val="Legenda"/>
              <w:jc w:val="center"/>
              <w:rPr>
                <w:rFonts w:cs="Arial"/>
                <w:color w:val="000000" w:themeColor="text1"/>
                <w:szCs w:val="24"/>
              </w:rPr>
            </w:pPr>
            <w:r>
              <w:rPr>
                <w:rFonts w:cs="Arial"/>
                <w:color w:val="000000" w:themeColor="text1"/>
                <w:szCs w:val="24"/>
              </w:rPr>
              <w:t>Alteração</w:t>
            </w:r>
          </w:p>
        </w:tc>
        <w:tc>
          <w:tcPr>
            <w:tcW w:w="586" w:type="pct"/>
            <w:vAlign w:val="center"/>
          </w:tcPr>
          <w:p w:rsidR="00D03FA1" w:rsidRPr="000C0894" w:rsidRDefault="00D03FA1" w:rsidP="000C0894">
            <w:pPr>
              <w:pStyle w:val="Legenda"/>
              <w:jc w:val="center"/>
              <w:rPr>
                <w:rFonts w:cs="Arial"/>
                <w:color w:val="000000" w:themeColor="text1"/>
                <w:szCs w:val="24"/>
              </w:rPr>
            </w:pPr>
            <w:r>
              <w:rPr>
                <w:rFonts w:cs="Arial"/>
                <w:color w:val="000000" w:themeColor="text1"/>
                <w:szCs w:val="24"/>
              </w:rPr>
              <w:t>10. Anexo VII– Cláusula Segunda</w:t>
            </w:r>
          </w:p>
        </w:tc>
        <w:tc>
          <w:tcPr>
            <w:tcW w:w="1941" w:type="pct"/>
            <w:vAlign w:val="center"/>
          </w:tcPr>
          <w:p w:rsidR="00D03FA1" w:rsidRPr="00F250F0" w:rsidRDefault="00D03FA1" w:rsidP="00F250F0">
            <w:pPr>
              <w:pStyle w:val="Corpodetexto3"/>
              <w:spacing w:line="264" w:lineRule="auto"/>
              <w:jc w:val="left"/>
              <w:rPr>
                <w:rFonts w:ascii="Arial" w:hAnsi="Arial" w:cs="Arial"/>
                <w:b w:val="0"/>
                <w:color w:val="000000" w:themeColor="text1"/>
                <w:szCs w:val="24"/>
              </w:rPr>
            </w:pPr>
            <w:r w:rsidRPr="00F250F0">
              <w:rPr>
                <w:rFonts w:ascii="Arial" w:hAnsi="Arial" w:cs="Arial"/>
                <w:b w:val="0"/>
                <w:color w:val="000000" w:themeColor="text1"/>
                <w:szCs w:val="24"/>
              </w:rPr>
              <w:t>Gás Não Contado: Quantidade de Gás referente a erros de medição, computada no curso normal da operação da Instalação de Transporte, calculada conforme item 11.4.1(ii) deste TCG, até o limite definido na Cláusula X do Contrato;</w:t>
            </w:r>
          </w:p>
          <w:p w:rsidR="00D03FA1" w:rsidRPr="000C0894" w:rsidRDefault="00D03FA1" w:rsidP="000C0894">
            <w:pPr>
              <w:pStyle w:val="Legenda"/>
              <w:jc w:val="both"/>
              <w:rPr>
                <w:rFonts w:cs="Arial"/>
                <w:color w:val="000000" w:themeColor="text1"/>
                <w:szCs w:val="24"/>
              </w:rPr>
            </w:pPr>
          </w:p>
        </w:tc>
        <w:tc>
          <w:tcPr>
            <w:tcW w:w="1818" w:type="pct"/>
            <w:vAlign w:val="center"/>
          </w:tcPr>
          <w:p w:rsidR="00D03FA1" w:rsidRPr="000C0894" w:rsidRDefault="00D03FA1" w:rsidP="000C0894">
            <w:pPr>
              <w:pStyle w:val="Legenda"/>
              <w:jc w:val="both"/>
              <w:rPr>
                <w:rFonts w:cs="Arial"/>
                <w:color w:val="000000" w:themeColor="text1"/>
                <w:szCs w:val="24"/>
              </w:rPr>
            </w:pPr>
            <w:r>
              <w:rPr>
                <w:rFonts w:cs="Arial"/>
                <w:color w:val="000000" w:themeColor="text1"/>
                <w:szCs w:val="24"/>
              </w:rPr>
              <w:t>Sugerimos incluir um limite para o gás não contado, como forma de proteger as partes contratantes.</w:t>
            </w:r>
          </w:p>
        </w:tc>
      </w:tr>
      <w:tr w:rsidR="00D03FA1" w:rsidRPr="00932C2C" w:rsidTr="00CC632B">
        <w:trPr>
          <w:trHeight w:val="2268"/>
        </w:trPr>
        <w:tc>
          <w:tcPr>
            <w:tcW w:w="655" w:type="pct"/>
            <w:vAlign w:val="center"/>
          </w:tcPr>
          <w:p w:rsidR="00D03FA1" w:rsidRDefault="00D03FA1" w:rsidP="000C0894">
            <w:pPr>
              <w:pStyle w:val="Legenda"/>
              <w:jc w:val="center"/>
              <w:rPr>
                <w:rFonts w:cs="Arial"/>
                <w:color w:val="000000" w:themeColor="text1"/>
                <w:szCs w:val="24"/>
              </w:rPr>
            </w:pPr>
            <w:r>
              <w:rPr>
                <w:rFonts w:cs="Arial"/>
                <w:color w:val="000000" w:themeColor="text1"/>
                <w:szCs w:val="24"/>
              </w:rPr>
              <w:lastRenderedPageBreak/>
              <w:t>Exclusão</w:t>
            </w:r>
          </w:p>
        </w:tc>
        <w:tc>
          <w:tcPr>
            <w:tcW w:w="586" w:type="pct"/>
            <w:vAlign w:val="center"/>
          </w:tcPr>
          <w:p w:rsidR="00D03FA1" w:rsidRDefault="00D03FA1" w:rsidP="000C0894">
            <w:pPr>
              <w:pStyle w:val="Legenda"/>
              <w:jc w:val="center"/>
              <w:rPr>
                <w:rFonts w:cs="Arial"/>
                <w:color w:val="000000" w:themeColor="text1"/>
                <w:szCs w:val="24"/>
              </w:rPr>
            </w:pPr>
            <w:r>
              <w:rPr>
                <w:rFonts w:cs="Arial"/>
                <w:color w:val="000000" w:themeColor="text1"/>
                <w:szCs w:val="24"/>
              </w:rPr>
              <w:t>10. Anexo VII– Cláusula Segunda</w:t>
            </w:r>
          </w:p>
        </w:tc>
        <w:tc>
          <w:tcPr>
            <w:tcW w:w="1941" w:type="pct"/>
            <w:vAlign w:val="center"/>
          </w:tcPr>
          <w:p w:rsidR="00D03FA1" w:rsidRPr="00FB26CA" w:rsidRDefault="00D03FA1" w:rsidP="00F250F0">
            <w:pPr>
              <w:spacing w:line="264" w:lineRule="auto"/>
              <w:rPr>
                <w:rFonts w:ascii="Arial" w:hAnsi="Arial" w:cs="Arial"/>
                <w:color w:val="000000" w:themeColor="text1"/>
                <w:sz w:val="24"/>
                <w:szCs w:val="24"/>
              </w:rPr>
            </w:pPr>
            <w:r w:rsidRPr="00FB26CA">
              <w:rPr>
                <w:rFonts w:ascii="Arial" w:hAnsi="Arial" w:cs="Arial"/>
                <w:color w:val="000000" w:themeColor="text1"/>
                <w:sz w:val="24"/>
                <w:szCs w:val="24"/>
              </w:rPr>
              <w:t>IGP-M: Índice Geral de Preços do Mercado, calculado e divulgado mensalmente pela Fundação Getúlio Vargas (FGV), ou outro índice que venha a substituí-lo conforme indicação técnica da FGV;</w:t>
            </w:r>
          </w:p>
          <w:p w:rsidR="00D03FA1" w:rsidRPr="00FB26CA" w:rsidRDefault="00D03FA1" w:rsidP="008A1F8E">
            <w:pPr>
              <w:spacing w:line="264" w:lineRule="auto"/>
              <w:ind w:left="720" w:hanging="12"/>
              <w:rPr>
                <w:rFonts w:ascii="Arial" w:hAnsi="Arial" w:cs="Arial"/>
                <w:b/>
                <w:smallCaps/>
                <w:color w:val="FF0000"/>
                <w:sz w:val="22"/>
                <w:szCs w:val="22"/>
              </w:rPr>
            </w:pPr>
          </w:p>
        </w:tc>
        <w:tc>
          <w:tcPr>
            <w:tcW w:w="1818" w:type="pct"/>
            <w:vAlign w:val="center"/>
          </w:tcPr>
          <w:p w:rsidR="00D03FA1" w:rsidRPr="00FB26CA" w:rsidRDefault="00D03FA1" w:rsidP="009748B8">
            <w:pPr>
              <w:pStyle w:val="Legenda"/>
              <w:jc w:val="both"/>
              <w:rPr>
                <w:rFonts w:cs="Arial"/>
                <w:color w:val="000000" w:themeColor="text1"/>
                <w:szCs w:val="24"/>
              </w:rPr>
            </w:pPr>
            <w:r w:rsidRPr="00FB26CA">
              <w:rPr>
                <w:rFonts w:cs="Arial"/>
                <w:color w:val="000000" w:themeColor="text1"/>
                <w:szCs w:val="24"/>
              </w:rPr>
              <w:t>É prudente considerar nos termos contratuais a possibilidade de descontinuidade de publicação do índice de preços.</w:t>
            </w:r>
          </w:p>
        </w:tc>
      </w:tr>
      <w:tr w:rsidR="00D03FA1" w:rsidRPr="00932C2C" w:rsidTr="00CC632B">
        <w:trPr>
          <w:trHeight w:val="2268"/>
        </w:trPr>
        <w:tc>
          <w:tcPr>
            <w:tcW w:w="655" w:type="pct"/>
            <w:vAlign w:val="center"/>
          </w:tcPr>
          <w:p w:rsidR="00D03FA1" w:rsidRDefault="00D03FA1" w:rsidP="000C0894">
            <w:pPr>
              <w:pStyle w:val="Legenda"/>
              <w:jc w:val="center"/>
              <w:rPr>
                <w:rFonts w:cs="Arial"/>
                <w:color w:val="000000" w:themeColor="text1"/>
                <w:szCs w:val="24"/>
              </w:rPr>
            </w:pPr>
            <w:r>
              <w:rPr>
                <w:rFonts w:cs="Arial"/>
                <w:color w:val="000000" w:themeColor="text1"/>
                <w:szCs w:val="24"/>
              </w:rPr>
              <w:t>Inclusão</w:t>
            </w:r>
          </w:p>
        </w:tc>
        <w:tc>
          <w:tcPr>
            <w:tcW w:w="586" w:type="pct"/>
            <w:vAlign w:val="center"/>
          </w:tcPr>
          <w:p w:rsidR="00D03FA1" w:rsidRDefault="00D03FA1" w:rsidP="00A5305C">
            <w:pPr>
              <w:pStyle w:val="Legenda"/>
              <w:jc w:val="center"/>
              <w:rPr>
                <w:rFonts w:cs="Arial"/>
                <w:color w:val="000000" w:themeColor="text1"/>
                <w:szCs w:val="24"/>
              </w:rPr>
            </w:pPr>
            <w:r>
              <w:rPr>
                <w:rFonts w:cs="Arial"/>
                <w:color w:val="000000" w:themeColor="text1"/>
                <w:szCs w:val="24"/>
              </w:rPr>
              <w:t xml:space="preserve">10. Anexo VII Cláusula quinta </w:t>
            </w:r>
          </w:p>
          <w:p w:rsidR="00D03FA1" w:rsidRDefault="00D03FA1" w:rsidP="00A5305C">
            <w:pPr>
              <w:pStyle w:val="Legenda"/>
              <w:jc w:val="center"/>
              <w:rPr>
                <w:rFonts w:cs="Arial"/>
                <w:color w:val="000000" w:themeColor="text1"/>
                <w:szCs w:val="24"/>
              </w:rPr>
            </w:pPr>
            <w:r>
              <w:rPr>
                <w:rFonts w:cs="Arial"/>
                <w:color w:val="000000" w:themeColor="text1"/>
                <w:szCs w:val="24"/>
              </w:rPr>
              <w:t>Item 5.2.1</w:t>
            </w:r>
          </w:p>
        </w:tc>
        <w:tc>
          <w:tcPr>
            <w:tcW w:w="1941" w:type="pct"/>
            <w:vAlign w:val="center"/>
          </w:tcPr>
          <w:p w:rsidR="00D03FA1" w:rsidRDefault="00D03FA1" w:rsidP="00FC1A0A">
            <w:pPr>
              <w:pStyle w:val="Importacao8"/>
              <w:spacing w:after="240" w:line="264" w:lineRule="auto"/>
              <w:jc w:val="both"/>
              <w:rPr>
                <w:rFonts w:cs="Arial"/>
                <w:sz w:val="22"/>
              </w:rPr>
            </w:pPr>
            <w:r w:rsidRPr="00FC1A0A">
              <w:rPr>
                <w:rFonts w:cs="Arial"/>
                <w:color w:val="000000" w:themeColor="text1"/>
                <w:szCs w:val="24"/>
              </w:rPr>
              <w:t>Cláusula Reservada: Os limites mínimos e máximos serão os seguintes:</w:t>
            </w:r>
          </w:p>
          <w:p w:rsidR="00D03FA1" w:rsidRPr="00EF7FDD" w:rsidRDefault="00D03FA1" w:rsidP="00164521">
            <w:pPr>
              <w:pStyle w:val="Importacao8"/>
              <w:spacing w:after="240" w:line="264" w:lineRule="auto"/>
              <w:ind w:left="709" w:hanging="709"/>
              <w:jc w:val="both"/>
              <w:rPr>
                <w:sz w:val="22"/>
                <w:szCs w:val="22"/>
              </w:rPr>
            </w:pPr>
            <w:proofErr w:type="spellStart"/>
            <w:proofErr w:type="gramStart"/>
            <w:r>
              <w:rPr>
                <w:rFonts w:cs="Arial"/>
                <w:sz w:val="22"/>
              </w:rPr>
              <w:t>xxxxxxxxx</w:t>
            </w:r>
            <w:proofErr w:type="spellEnd"/>
            <w:proofErr w:type="gramEnd"/>
          </w:p>
        </w:tc>
        <w:tc>
          <w:tcPr>
            <w:tcW w:w="1818" w:type="pct"/>
            <w:vAlign w:val="center"/>
          </w:tcPr>
          <w:p w:rsidR="00D03FA1" w:rsidRDefault="00D03FA1" w:rsidP="000C0894">
            <w:pPr>
              <w:pStyle w:val="Legenda"/>
              <w:jc w:val="both"/>
              <w:rPr>
                <w:rFonts w:cs="Arial"/>
                <w:color w:val="000000" w:themeColor="text1"/>
                <w:szCs w:val="24"/>
              </w:rPr>
            </w:pPr>
            <w:r>
              <w:rPr>
                <w:rFonts w:cs="Arial"/>
                <w:color w:val="000000" w:themeColor="text1"/>
                <w:szCs w:val="24"/>
              </w:rPr>
              <w:t>Sugerimos incluir uma cláusula reservada para especificação dos limites de pressão mínimos e máximos em cada contrato.</w:t>
            </w:r>
          </w:p>
        </w:tc>
      </w:tr>
      <w:tr w:rsidR="00D03FA1" w:rsidRPr="00932C2C" w:rsidTr="00CC632B">
        <w:trPr>
          <w:trHeight w:val="2268"/>
        </w:trPr>
        <w:tc>
          <w:tcPr>
            <w:tcW w:w="655" w:type="pct"/>
            <w:vAlign w:val="center"/>
          </w:tcPr>
          <w:p w:rsidR="00D03FA1" w:rsidRDefault="00D03FA1" w:rsidP="000C0894">
            <w:pPr>
              <w:pStyle w:val="Legenda"/>
              <w:jc w:val="center"/>
              <w:rPr>
                <w:rFonts w:cs="Arial"/>
                <w:color w:val="000000" w:themeColor="text1"/>
                <w:szCs w:val="24"/>
              </w:rPr>
            </w:pPr>
            <w:r>
              <w:rPr>
                <w:rFonts w:cs="Arial"/>
                <w:color w:val="000000" w:themeColor="text1"/>
                <w:szCs w:val="24"/>
              </w:rPr>
              <w:t xml:space="preserve">Alteração </w:t>
            </w:r>
          </w:p>
        </w:tc>
        <w:tc>
          <w:tcPr>
            <w:tcW w:w="586" w:type="pct"/>
            <w:vAlign w:val="center"/>
          </w:tcPr>
          <w:p w:rsidR="00D03FA1" w:rsidRDefault="00D03FA1" w:rsidP="002F5055">
            <w:pPr>
              <w:pStyle w:val="Legenda"/>
              <w:jc w:val="center"/>
              <w:rPr>
                <w:rFonts w:cs="Arial"/>
                <w:color w:val="000000" w:themeColor="text1"/>
                <w:szCs w:val="24"/>
              </w:rPr>
            </w:pPr>
            <w:r>
              <w:rPr>
                <w:rFonts w:cs="Arial"/>
                <w:color w:val="000000" w:themeColor="text1"/>
                <w:szCs w:val="24"/>
              </w:rPr>
              <w:t>10. Anexo VII Cláusula 13</w:t>
            </w:r>
          </w:p>
          <w:p w:rsidR="00D03FA1" w:rsidRPr="00A5305C" w:rsidRDefault="00D03FA1" w:rsidP="00946CA8">
            <w:pPr>
              <w:rPr>
                <w:rFonts w:ascii="Arial" w:hAnsi="Arial" w:cs="Arial"/>
                <w:color w:val="000000" w:themeColor="text1"/>
                <w:sz w:val="24"/>
                <w:szCs w:val="24"/>
              </w:rPr>
            </w:pPr>
            <w:r w:rsidRPr="00A5305C">
              <w:rPr>
                <w:rFonts w:ascii="Arial" w:hAnsi="Arial" w:cs="Arial"/>
                <w:color w:val="000000" w:themeColor="text1"/>
                <w:sz w:val="24"/>
                <w:szCs w:val="24"/>
              </w:rPr>
              <w:t>Item 13.1</w:t>
            </w:r>
          </w:p>
        </w:tc>
        <w:tc>
          <w:tcPr>
            <w:tcW w:w="1941" w:type="pct"/>
            <w:vAlign w:val="center"/>
          </w:tcPr>
          <w:p w:rsidR="00D03FA1" w:rsidRPr="00FC1A0A" w:rsidRDefault="00D03FA1" w:rsidP="00FC1A0A">
            <w:pPr>
              <w:pStyle w:val="Legenda"/>
              <w:jc w:val="both"/>
              <w:rPr>
                <w:rFonts w:cs="Arial"/>
                <w:color w:val="000000" w:themeColor="text1"/>
                <w:szCs w:val="24"/>
              </w:rPr>
            </w:pPr>
            <w:r w:rsidRPr="00FC1A0A">
              <w:rPr>
                <w:rFonts w:cs="Arial"/>
                <w:color w:val="000000" w:themeColor="text1"/>
                <w:szCs w:val="24"/>
              </w:rPr>
              <w:t xml:space="preserve">O Transportador operará e manterá a Instalação de Transporte utilizando os padrões de operação de gasodutos determinados pelo RTDT, suas revisões ou outra norma que venha substituí-la. </w:t>
            </w:r>
          </w:p>
          <w:p w:rsidR="00D03FA1" w:rsidRDefault="00D03FA1" w:rsidP="00164521">
            <w:pPr>
              <w:pStyle w:val="Importacao8"/>
              <w:spacing w:after="240" w:line="264" w:lineRule="auto"/>
              <w:ind w:left="709" w:hanging="709"/>
              <w:jc w:val="both"/>
              <w:rPr>
                <w:rFonts w:cs="Arial"/>
                <w:sz w:val="22"/>
              </w:rPr>
            </w:pPr>
          </w:p>
        </w:tc>
        <w:tc>
          <w:tcPr>
            <w:tcW w:w="1818" w:type="pct"/>
            <w:vAlign w:val="center"/>
          </w:tcPr>
          <w:p w:rsidR="00D03FA1" w:rsidRDefault="00D03FA1" w:rsidP="005C6313">
            <w:pPr>
              <w:pStyle w:val="Legenda"/>
              <w:jc w:val="both"/>
              <w:rPr>
                <w:rFonts w:cs="Arial"/>
                <w:color w:val="000000" w:themeColor="text1"/>
                <w:szCs w:val="24"/>
              </w:rPr>
            </w:pPr>
            <w:r>
              <w:rPr>
                <w:rFonts w:cs="Arial"/>
                <w:color w:val="000000" w:themeColor="text1"/>
                <w:szCs w:val="24"/>
              </w:rPr>
              <w:t xml:space="preserve">Sugerimos fazer referência ao RTDT, ao invés da norma </w:t>
            </w:r>
            <w:r w:rsidRPr="00EF7FDD">
              <w:rPr>
                <w:sz w:val="22"/>
                <w:szCs w:val="22"/>
              </w:rPr>
              <w:t>ANSI B 31.8</w:t>
            </w:r>
            <w:r>
              <w:rPr>
                <w:sz w:val="22"/>
                <w:szCs w:val="22"/>
              </w:rPr>
              <w:t xml:space="preserve">, </w:t>
            </w:r>
            <w:r>
              <w:rPr>
                <w:rFonts w:cs="Arial"/>
                <w:color w:val="000000" w:themeColor="text1"/>
                <w:szCs w:val="24"/>
              </w:rPr>
              <w:t>por tratar-se do documento mais abrangente e definidor das regras de operação vigentes.</w:t>
            </w:r>
          </w:p>
        </w:tc>
      </w:tr>
      <w:tr w:rsidR="00D03FA1" w:rsidRPr="00932C2C" w:rsidTr="00CC632B">
        <w:trPr>
          <w:trHeight w:val="2268"/>
        </w:trPr>
        <w:tc>
          <w:tcPr>
            <w:tcW w:w="655" w:type="pct"/>
            <w:vAlign w:val="center"/>
          </w:tcPr>
          <w:p w:rsidR="00D03FA1" w:rsidRDefault="00D03FA1" w:rsidP="000C0894">
            <w:pPr>
              <w:pStyle w:val="Legenda"/>
              <w:jc w:val="center"/>
              <w:rPr>
                <w:rFonts w:cs="Arial"/>
                <w:color w:val="000000" w:themeColor="text1"/>
                <w:szCs w:val="24"/>
              </w:rPr>
            </w:pPr>
            <w:r>
              <w:rPr>
                <w:rFonts w:cs="Arial"/>
                <w:color w:val="000000" w:themeColor="text1"/>
                <w:szCs w:val="24"/>
              </w:rPr>
              <w:lastRenderedPageBreak/>
              <w:t>Alteração</w:t>
            </w:r>
          </w:p>
        </w:tc>
        <w:tc>
          <w:tcPr>
            <w:tcW w:w="586" w:type="pct"/>
            <w:vAlign w:val="center"/>
          </w:tcPr>
          <w:p w:rsidR="00D03FA1" w:rsidRPr="00FC1A0A" w:rsidRDefault="00D03FA1" w:rsidP="006E0ADD">
            <w:pPr>
              <w:pStyle w:val="Legenda"/>
              <w:jc w:val="center"/>
              <w:rPr>
                <w:rFonts w:cs="Arial"/>
                <w:color w:val="000000" w:themeColor="text1"/>
                <w:szCs w:val="24"/>
              </w:rPr>
            </w:pPr>
            <w:r w:rsidRPr="00FC1A0A">
              <w:rPr>
                <w:rFonts w:cs="Arial"/>
                <w:color w:val="000000" w:themeColor="text1"/>
                <w:szCs w:val="24"/>
              </w:rPr>
              <w:t>10. Anexo VII</w:t>
            </w:r>
          </w:p>
          <w:p w:rsidR="00D03FA1" w:rsidRPr="00FC1A0A" w:rsidRDefault="00D03FA1" w:rsidP="006E0ADD">
            <w:pPr>
              <w:pStyle w:val="Legenda"/>
              <w:jc w:val="center"/>
              <w:rPr>
                <w:rFonts w:cs="Arial"/>
                <w:color w:val="000000" w:themeColor="text1"/>
                <w:szCs w:val="24"/>
              </w:rPr>
            </w:pPr>
            <w:r w:rsidRPr="00FC1A0A">
              <w:rPr>
                <w:rFonts w:cs="Arial"/>
                <w:color w:val="000000" w:themeColor="text1"/>
                <w:szCs w:val="24"/>
              </w:rPr>
              <w:t>Cláusula 22</w:t>
            </w:r>
          </w:p>
          <w:p w:rsidR="00D03FA1" w:rsidRPr="006E0ADD" w:rsidRDefault="00D03FA1" w:rsidP="006E0ADD">
            <w:pPr>
              <w:pStyle w:val="Legenda"/>
              <w:jc w:val="center"/>
              <w:rPr>
                <w:rFonts w:cs="Arial"/>
                <w:b/>
                <w:smallCaps/>
                <w:color w:val="000000"/>
                <w:sz w:val="22"/>
                <w:szCs w:val="22"/>
              </w:rPr>
            </w:pPr>
            <w:r w:rsidRPr="00FC1A0A">
              <w:rPr>
                <w:rFonts w:cs="Arial"/>
                <w:color w:val="000000" w:themeColor="text1"/>
                <w:szCs w:val="24"/>
              </w:rPr>
              <w:t>Item 22.3.2</w:t>
            </w:r>
          </w:p>
        </w:tc>
        <w:tc>
          <w:tcPr>
            <w:tcW w:w="1941" w:type="pct"/>
            <w:vAlign w:val="center"/>
          </w:tcPr>
          <w:p w:rsidR="00D03FA1" w:rsidRPr="001E2545" w:rsidRDefault="00D03FA1" w:rsidP="006E0ADD">
            <w:pPr>
              <w:pStyle w:val="Corpodetexto3"/>
              <w:spacing w:line="264" w:lineRule="auto"/>
              <w:ind w:left="120" w:hanging="720"/>
              <w:rPr>
                <w:rFonts w:ascii="Arial" w:hAnsi="Arial" w:cs="Arial"/>
                <w:smallCaps/>
                <w:color w:val="000000"/>
                <w:sz w:val="22"/>
                <w:szCs w:val="22"/>
                <w:highlight w:val="yellow"/>
              </w:rPr>
            </w:pPr>
            <w:r w:rsidRPr="001E2545">
              <w:rPr>
                <w:rFonts w:ascii="Arial" w:hAnsi="Arial" w:cs="Arial"/>
                <w:smallCaps/>
                <w:color w:val="000000"/>
                <w:sz w:val="22"/>
                <w:szCs w:val="22"/>
                <w:highlight w:val="yellow"/>
              </w:rPr>
              <w:t xml:space="preserve">A </w:t>
            </w:r>
            <w:proofErr w:type="spellStart"/>
            <w:r w:rsidRPr="001E2545">
              <w:rPr>
                <w:rFonts w:ascii="Arial" w:hAnsi="Arial" w:cs="Arial"/>
                <w:b w:val="0"/>
                <w:color w:val="000000" w:themeColor="text1"/>
                <w:szCs w:val="24"/>
                <w:highlight w:val="yellow"/>
              </w:rPr>
              <w:t>A</w:t>
            </w:r>
            <w:proofErr w:type="spellEnd"/>
            <w:proofErr w:type="gramStart"/>
            <w:r w:rsidRPr="0072452B">
              <w:rPr>
                <w:rFonts w:ascii="Arial" w:hAnsi="Arial" w:cs="Arial"/>
                <w:b w:val="0"/>
                <w:color w:val="000000" w:themeColor="text1"/>
                <w:szCs w:val="24"/>
              </w:rPr>
              <w:t xml:space="preserve">  </w:t>
            </w:r>
            <w:proofErr w:type="spellStart"/>
            <w:proofErr w:type="gramEnd"/>
            <w:r w:rsidR="0072452B" w:rsidRPr="0072452B">
              <w:rPr>
                <w:rFonts w:ascii="Arial" w:hAnsi="Arial" w:cs="Arial"/>
                <w:b w:val="0"/>
                <w:color w:val="000000" w:themeColor="text1"/>
                <w:szCs w:val="24"/>
              </w:rPr>
              <w:t>A</w:t>
            </w:r>
            <w:proofErr w:type="spellEnd"/>
            <w:r w:rsidR="0072452B" w:rsidRPr="0072452B">
              <w:rPr>
                <w:rFonts w:ascii="Arial" w:hAnsi="Arial" w:cs="Arial"/>
                <w:b w:val="0"/>
                <w:color w:val="000000" w:themeColor="text1"/>
                <w:szCs w:val="24"/>
              </w:rPr>
              <w:t xml:space="preserve"> Arbitragem será regida, em todos os seus procedimentos, pelas Regras de Conciliação e Arbitragem da </w:t>
            </w:r>
            <w:proofErr w:type="spellStart"/>
            <w:r w:rsidR="0072452B" w:rsidRPr="0072452B">
              <w:rPr>
                <w:rFonts w:ascii="Arial" w:hAnsi="Arial" w:cs="Arial"/>
                <w:b w:val="0"/>
                <w:color w:val="000000" w:themeColor="text1"/>
                <w:szCs w:val="24"/>
              </w:rPr>
              <w:t>United</w:t>
            </w:r>
            <w:proofErr w:type="spellEnd"/>
            <w:r w:rsidR="0072452B" w:rsidRPr="0072452B">
              <w:rPr>
                <w:rFonts w:ascii="Arial" w:hAnsi="Arial" w:cs="Arial"/>
                <w:b w:val="0"/>
                <w:color w:val="000000" w:themeColor="text1"/>
                <w:szCs w:val="24"/>
              </w:rPr>
              <w:t xml:space="preserve"> </w:t>
            </w:r>
            <w:proofErr w:type="spellStart"/>
            <w:r w:rsidR="0072452B" w:rsidRPr="0072452B">
              <w:rPr>
                <w:rFonts w:ascii="Arial" w:hAnsi="Arial" w:cs="Arial"/>
                <w:b w:val="0"/>
                <w:color w:val="000000" w:themeColor="text1"/>
                <w:szCs w:val="24"/>
              </w:rPr>
              <w:t>Nations</w:t>
            </w:r>
            <w:proofErr w:type="spellEnd"/>
            <w:r w:rsidR="0072452B" w:rsidRPr="0072452B">
              <w:rPr>
                <w:rFonts w:ascii="Arial" w:hAnsi="Arial" w:cs="Arial"/>
                <w:b w:val="0"/>
                <w:color w:val="000000" w:themeColor="text1"/>
                <w:szCs w:val="24"/>
              </w:rPr>
              <w:t xml:space="preserve"> </w:t>
            </w:r>
            <w:proofErr w:type="spellStart"/>
            <w:r w:rsidR="0072452B" w:rsidRPr="0072452B">
              <w:rPr>
                <w:rFonts w:ascii="Arial" w:hAnsi="Arial" w:cs="Arial"/>
                <w:b w:val="0"/>
                <w:color w:val="000000" w:themeColor="text1"/>
                <w:szCs w:val="24"/>
              </w:rPr>
              <w:t>Commission</w:t>
            </w:r>
            <w:proofErr w:type="spellEnd"/>
            <w:r w:rsidR="0072452B" w:rsidRPr="0072452B">
              <w:rPr>
                <w:rFonts w:ascii="Arial" w:hAnsi="Arial" w:cs="Arial"/>
                <w:b w:val="0"/>
                <w:color w:val="000000" w:themeColor="text1"/>
                <w:szCs w:val="24"/>
              </w:rPr>
              <w:t xml:space="preserve"> </w:t>
            </w:r>
            <w:proofErr w:type="spellStart"/>
            <w:r w:rsidR="0072452B" w:rsidRPr="0072452B">
              <w:rPr>
                <w:rFonts w:ascii="Arial" w:hAnsi="Arial" w:cs="Arial"/>
                <w:b w:val="0"/>
                <w:color w:val="000000" w:themeColor="text1"/>
                <w:szCs w:val="24"/>
              </w:rPr>
              <w:t>on</w:t>
            </w:r>
            <w:proofErr w:type="spellEnd"/>
            <w:r w:rsidR="0072452B" w:rsidRPr="0072452B">
              <w:rPr>
                <w:rFonts w:ascii="Arial" w:hAnsi="Arial" w:cs="Arial"/>
                <w:b w:val="0"/>
                <w:color w:val="000000" w:themeColor="text1"/>
                <w:szCs w:val="24"/>
              </w:rPr>
              <w:t xml:space="preserve"> </w:t>
            </w:r>
            <w:proofErr w:type="spellStart"/>
            <w:r w:rsidR="0072452B" w:rsidRPr="0072452B">
              <w:rPr>
                <w:rFonts w:ascii="Arial" w:hAnsi="Arial" w:cs="Arial"/>
                <w:b w:val="0"/>
                <w:color w:val="000000" w:themeColor="text1"/>
                <w:szCs w:val="24"/>
              </w:rPr>
              <w:t>International</w:t>
            </w:r>
            <w:proofErr w:type="spellEnd"/>
            <w:r w:rsidR="0072452B" w:rsidRPr="0072452B">
              <w:rPr>
                <w:rFonts w:ascii="Arial" w:hAnsi="Arial" w:cs="Arial"/>
                <w:b w:val="0"/>
                <w:color w:val="000000" w:themeColor="text1"/>
                <w:szCs w:val="24"/>
              </w:rPr>
              <w:t xml:space="preserve"> Trade Law (“UNCITRAL”), exceto na hipótese </w:t>
            </w:r>
            <w:bookmarkStart w:id="11" w:name="_GoBack"/>
            <w:bookmarkEnd w:id="11"/>
            <w:r w:rsidR="0072452B" w:rsidRPr="0072452B">
              <w:rPr>
                <w:rFonts w:ascii="Arial" w:hAnsi="Arial" w:cs="Arial"/>
                <w:b w:val="0"/>
                <w:color w:val="000000" w:themeColor="text1"/>
                <w:szCs w:val="24"/>
              </w:rPr>
              <w:t xml:space="preserve">de tais regras estarem em conflito com qualquer disposição do Contrato, hipótese na qual prevalecerão as disposições do Contrato, e será realizada na Cidade do Rio de </w:t>
            </w:r>
            <w:proofErr w:type="spellStart"/>
            <w:r w:rsidR="0072452B" w:rsidRPr="0072452B">
              <w:rPr>
                <w:rFonts w:ascii="Arial" w:hAnsi="Arial" w:cs="Arial"/>
                <w:b w:val="0"/>
                <w:color w:val="000000" w:themeColor="text1"/>
                <w:szCs w:val="24"/>
              </w:rPr>
              <w:t>Janeiroe</w:t>
            </w:r>
            <w:proofErr w:type="spellEnd"/>
            <w:r w:rsidR="0072452B" w:rsidRPr="0072452B">
              <w:rPr>
                <w:rFonts w:ascii="Arial" w:hAnsi="Arial" w:cs="Arial"/>
                <w:b w:val="0"/>
                <w:color w:val="000000" w:themeColor="text1"/>
                <w:szCs w:val="24"/>
              </w:rPr>
              <w:t xml:space="preserve"> São Paulo, Estado do Rio de </w:t>
            </w:r>
            <w:proofErr w:type="spellStart"/>
            <w:r w:rsidR="0072452B" w:rsidRPr="0072452B">
              <w:rPr>
                <w:rFonts w:ascii="Arial" w:hAnsi="Arial" w:cs="Arial"/>
                <w:b w:val="0"/>
                <w:color w:val="000000" w:themeColor="text1"/>
                <w:szCs w:val="24"/>
              </w:rPr>
              <w:t>Janeiroe</w:t>
            </w:r>
            <w:proofErr w:type="spellEnd"/>
            <w:r w:rsidR="0072452B" w:rsidRPr="0072452B">
              <w:rPr>
                <w:rFonts w:ascii="Arial" w:hAnsi="Arial" w:cs="Arial"/>
                <w:b w:val="0"/>
                <w:color w:val="000000" w:themeColor="text1"/>
                <w:szCs w:val="24"/>
              </w:rPr>
              <w:t xml:space="preserve"> São Paulo, Brasil, sendo que a administração da Arbitragem caberá ao Centro de Arbitragem e Mediação da Câmara de Comércio Brasil-Canadá, salvo se as Partes, de comum acordo, elegerem outro órgão para administrar a Arbitragem.</w:t>
            </w:r>
          </w:p>
        </w:tc>
        <w:tc>
          <w:tcPr>
            <w:tcW w:w="1818" w:type="pct"/>
            <w:vAlign w:val="center"/>
          </w:tcPr>
          <w:p w:rsidR="0072452B" w:rsidRPr="0072452B" w:rsidRDefault="0072452B" w:rsidP="0072452B">
            <w:pPr>
              <w:pStyle w:val="Legenda"/>
              <w:jc w:val="both"/>
              <w:rPr>
                <w:rFonts w:cs="Arial"/>
                <w:color w:val="000000" w:themeColor="text1"/>
                <w:szCs w:val="24"/>
              </w:rPr>
            </w:pPr>
            <w:r w:rsidRPr="0072452B">
              <w:rPr>
                <w:rFonts w:cs="Arial"/>
                <w:color w:val="000000" w:themeColor="text1"/>
                <w:szCs w:val="24"/>
              </w:rPr>
              <w:t>Sugerimos um organismo internacional para regras de resolução de arbitragem.</w:t>
            </w:r>
          </w:p>
          <w:p w:rsidR="0072452B" w:rsidRPr="0072452B" w:rsidRDefault="0072452B" w:rsidP="0072452B">
            <w:pPr>
              <w:pStyle w:val="Legenda"/>
              <w:jc w:val="both"/>
              <w:rPr>
                <w:rFonts w:cs="Arial"/>
                <w:color w:val="000000" w:themeColor="text1"/>
                <w:szCs w:val="24"/>
              </w:rPr>
            </w:pPr>
          </w:p>
          <w:p w:rsidR="0072452B" w:rsidRPr="0072452B" w:rsidRDefault="0072452B" w:rsidP="0072452B">
            <w:pPr>
              <w:pStyle w:val="Legenda"/>
              <w:jc w:val="both"/>
              <w:rPr>
                <w:rFonts w:cs="Arial"/>
                <w:color w:val="000000" w:themeColor="text1"/>
                <w:szCs w:val="24"/>
              </w:rPr>
            </w:pPr>
            <w:r w:rsidRPr="0072452B">
              <w:rPr>
                <w:rFonts w:cs="Arial"/>
                <w:color w:val="000000" w:themeColor="text1"/>
                <w:szCs w:val="24"/>
              </w:rPr>
              <w:t xml:space="preserve">Isso pelo fato de que a arbitragem é instituto de amplo uso na experiência internacional, especialmente em tema de contratos da indústria do petróleo, a exemplo do discutido, entre outros, em Arábia Saudita vs. </w:t>
            </w:r>
            <w:proofErr w:type="spellStart"/>
            <w:r w:rsidRPr="0072452B">
              <w:rPr>
                <w:rFonts w:cs="Arial"/>
                <w:color w:val="000000" w:themeColor="text1"/>
                <w:szCs w:val="24"/>
              </w:rPr>
              <w:t>American</w:t>
            </w:r>
            <w:proofErr w:type="spellEnd"/>
            <w:r w:rsidRPr="0072452B">
              <w:rPr>
                <w:rFonts w:cs="Arial"/>
                <w:color w:val="000000" w:themeColor="text1"/>
                <w:szCs w:val="24"/>
              </w:rPr>
              <w:t xml:space="preserve"> </w:t>
            </w:r>
            <w:proofErr w:type="spellStart"/>
            <w:r w:rsidRPr="0072452B">
              <w:rPr>
                <w:rFonts w:cs="Arial"/>
                <w:color w:val="000000" w:themeColor="text1"/>
                <w:szCs w:val="24"/>
              </w:rPr>
              <w:t>Oil</w:t>
            </w:r>
            <w:proofErr w:type="spellEnd"/>
            <w:r w:rsidRPr="0072452B">
              <w:rPr>
                <w:rFonts w:cs="Arial"/>
                <w:color w:val="000000" w:themeColor="text1"/>
                <w:szCs w:val="24"/>
              </w:rPr>
              <w:t xml:space="preserve"> </w:t>
            </w:r>
            <w:proofErr w:type="spellStart"/>
            <w:r w:rsidRPr="0072452B">
              <w:rPr>
                <w:rFonts w:cs="Arial"/>
                <w:color w:val="000000" w:themeColor="text1"/>
                <w:szCs w:val="24"/>
              </w:rPr>
              <w:t>Company</w:t>
            </w:r>
            <w:proofErr w:type="spellEnd"/>
            <w:r w:rsidRPr="0072452B">
              <w:rPr>
                <w:rFonts w:cs="Arial"/>
                <w:color w:val="000000" w:themeColor="text1"/>
                <w:szCs w:val="24"/>
              </w:rPr>
              <w:t xml:space="preserve"> (ARAMCO), Texaco (TOPCO) vs. Líbia, </w:t>
            </w:r>
            <w:proofErr w:type="spellStart"/>
            <w:r w:rsidRPr="0072452B">
              <w:rPr>
                <w:rFonts w:cs="Arial"/>
                <w:color w:val="000000" w:themeColor="text1"/>
                <w:szCs w:val="24"/>
              </w:rPr>
              <w:t>Wintershall</w:t>
            </w:r>
            <w:proofErr w:type="spellEnd"/>
            <w:r w:rsidRPr="0072452B">
              <w:rPr>
                <w:rFonts w:cs="Arial"/>
                <w:color w:val="000000" w:themeColor="text1"/>
                <w:szCs w:val="24"/>
              </w:rPr>
              <w:t xml:space="preserve">, </w:t>
            </w:r>
            <w:proofErr w:type="spellStart"/>
            <w:r w:rsidRPr="0072452B">
              <w:rPr>
                <w:rFonts w:cs="Arial"/>
                <w:color w:val="000000" w:themeColor="text1"/>
                <w:szCs w:val="24"/>
              </w:rPr>
              <w:t>A.G.</w:t>
            </w:r>
            <w:proofErr w:type="spellEnd"/>
            <w:r w:rsidRPr="0072452B">
              <w:rPr>
                <w:rFonts w:cs="Arial"/>
                <w:color w:val="000000" w:themeColor="text1"/>
                <w:szCs w:val="24"/>
              </w:rPr>
              <w:t xml:space="preserve"> vs. Qatar, </w:t>
            </w:r>
            <w:proofErr w:type="spellStart"/>
            <w:r w:rsidRPr="0072452B">
              <w:rPr>
                <w:rFonts w:cs="Arial"/>
                <w:color w:val="000000" w:themeColor="text1"/>
                <w:szCs w:val="24"/>
              </w:rPr>
              <w:t>British</w:t>
            </w:r>
            <w:proofErr w:type="spellEnd"/>
            <w:r w:rsidRPr="0072452B">
              <w:rPr>
                <w:rFonts w:cs="Arial"/>
                <w:color w:val="000000" w:themeColor="text1"/>
                <w:szCs w:val="24"/>
              </w:rPr>
              <w:t xml:space="preserve"> </w:t>
            </w:r>
            <w:proofErr w:type="spellStart"/>
            <w:r w:rsidRPr="0072452B">
              <w:rPr>
                <w:rFonts w:cs="Arial"/>
                <w:color w:val="000000" w:themeColor="text1"/>
                <w:szCs w:val="24"/>
              </w:rPr>
              <w:t>Petroleum</w:t>
            </w:r>
            <w:proofErr w:type="spellEnd"/>
            <w:r w:rsidRPr="0072452B">
              <w:rPr>
                <w:rFonts w:cs="Arial"/>
                <w:color w:val="000000" w:themeColor="text1"/>
                <w:szCs w:val="24"/>
              </w:rPr>
              <w:t xml:space="preserve"> vs. Líbia, </w:t>
            </w:r>
            <w:proofErr w:type="spellStart"/>
            <w:r w:rsidRPr="0072452B">
              <w:rPr>
                <w:rFonts w:cs="Arial"/>
                <w:color w:val="000000" w:themeColor="text1"/>
                <w:szCs w:val="24"/>
              </w:rPr>
              <w:t>Algerian</w:t>
            </w:r>
            <w:proofErr w:type="spellEnd"/>
            <w:r w:rsidRPr="0072452B">
              <w:rPr>
                <w:rFonts w:cs="Arial"/>
                <w:color w:val="000000" w:themeColor="text1"/>
                <w:szCs w:val="24"/>
              </w:rPr>
              <w:t xml:space="preserve"> </w:t>
            </w:r>
            <w:proofErr w:type="spellStart"/>
            <w:r w:rsidRPr="0072452B">
              <w:rPr>
                <w:rFonts w:cs="Arial"/>
                <w:color w:val="000000" w:themeColor="text1"/>
                <w:szCs w:val="24"/>
              </w:rPr>
              <w:t>State</w:t>
            </w:r>
            <w:proofErr w:type="spellEnd"/>
            <w:r w:rsidRPr="0072452B">
              <w:rPr>
                <w:rFonts w:cs="Arial"/>
                <w:color w:val="000000" w:themeColor="text1"/>
                <w:szCs w:val="24"/>
              </w:rPr>
              <w:t xml:space="preserve"> </w:t>
            </w:r>
            <w:proofErr w:type="spellStart"/>
            <w:r w:rsidRPr="0072452B">
              <w:rPr>
                <w:rFonts w:cs="Arial"/>
                <w:color w:val="000000" w:themeColor="text1"/>
                <w:szCs w:val="24"/>
              </w:rPr>
              <w:t>Interprise</w:t>
            </w:r>
            <w:proofErr w:type="spellEnd"/>
            <w:r w:rsidRPr="0072452B">
              <w:rPr>
                <w:rFonts w:cs="Arial"/>
                <w:color w:val="000000" w:themeColor="text1"/>
                <w:szCs w:val="24"/>
              </w:rPr>
              <w:t xml:space="preserve"> vs. </w:t>
            </w:r>
            <w:proofErr w:type="spellStart"/>
            <w:r w:rsidRPr="0072452B">
              <w:rPr>
                <w:rFonts w:cs="Arial"/>
                <w:color w:val="000000" w:themeColor="text1"/>
                <w:szCs w:val="24"/>
              </w:rPr>
              <w:t>African</w:t>
            </w:r>
            <w:proofErr w:type="spellEnd"/>
            <w:r w:rsidRPr="0072452B">
              <w:rPr>
                <w:rFonts w:cs="Arial"/>
                <w:color w:val="000000" w:themeColor="text1"/>
                <w:szCs w:val="24"/>
              </w:rPr>
              <w:t xml:space="preserve"> </w:t>
            </w:r>
            <w:proofErr w:type="spellStart"/>
            <w:r w:rsidRPr="0072452B">
              <w:rPr>
                <w:rFonts w:cs="Arial"/>
                <w:color w:val="000000" w:themeColor="text1"/>
                <w:szCs w:val="24"/>
              </w:rPr>
              <w:t>State</w:t>
            </w:r>
            <w:proofErr w:type="spellEnd"/>
            <w:r w:rsidRPr="0072452B">
              <w:rPr>
                <w:rFonts w:cs="Arial"/>
                <w:color w:val="000000" w:themeColor="text1"/>
                <w:szCs w:val="24"/>
              </w:rPr>
              <w:t xml:space="preserve"> </w:t>
            </w:r>
            <w:proofErr w:type="spellStart"/>
            <w:r w:rsidRPr="0072452B">
              <w:rPr>
                <w:rFonts w:cs="Arial"/>
                <w:color w:val="000000" w:themeColor="text1"/>
                <w:szCs w:val="24"/>
              </w:rPr>
              <w:t>Interprise</w:t>
            </w:r>
            <w:proofErr w:type="spellEnd"/>
            <w:r w:rsidRPr="0072452B">
              <w:rPr>
                <w:rFonts w:cs="Arial"/>
                <w:color w:val="000000" w:themeColor="text1"/>
                <w:szCs w:val="24"/>
              </w:rPr>
              <w:t xml:space="preserve">, </w:t>
            </w:r>
            <w:proofErr w:type="spellStart"/>
            <w:r w:rsidRPr="0072452B">
              <w:rPr>
                <w:rFonts w:cs="Arial"/>
                <w:color w:val="000000" w:themeColor="text1"/>
                <w:szCs w:val="24"/>
              </w:rPr>
              <w:t>Kwait</w:t>
            </w:r>
            <w:proofErr w:type="spellEnd"/>
            <w:r w:rsidRPr="0072452B">
              <w:rPr>
                <w:rFonts w:cs="Arial"/>
                <w:color w:val="000000" w:themeColor="text1"/>
                <w:szCs w:val="24"/>
              </w:rPr>
              <w:t xml:space="preserve"> vs. </w:t>
            </w:r>
            <w:proofErr w:type="spellStart"/>
            <w:r w:rsidRPr="0072452B">
              <w:rPr>
                <w:rFonts w:cs="Arial"/>
                <w:color w:val="000000" w:themeColor="text1"/>
                <w:szCs w:val="24"/>
              </w:rPr>
              <w:t>Aminoil</w:t>
            </w:r>
            <w:proofErr w:type="spellEnd"/>
            <w:r w:rsidRPr="0072452B">
              <w:rPr>
                <w:rFonts w:cs="Arial"/>
                <w:color w:val="000000" w:themeColor="text1"/>
                <w:szCs w:val="24"/>
              </w:rPr>
              <w:t xml:space="preserve">, e </w:t>
            </w:r>
            <w:proofErr w:type="spellStart"/>
            <w:r w:rsidRPr="0072452B">
              <w:rPr>
                <w:rFonts w:cs="Arial"/>
                <w:color w:val="000000" w:themeColor="text1"/>
                <w:szCs w:val="24"/>
              </w:rPr>
              <w:t>Sojuznefteexport</w:t>
            </w:r>
            <w:proofErr w:type="spellEnd"/>
            <w:r w:rsidRPr="0072452B">
              <w:rPr>
                <w:rFonts w:cs="Arial"/>
                <w:color w:val="000000" w:themeColor="text1"/>
                <w:szCs w:val="24"/>
              </w:rPr>
              <w:t xml:space="preserve"> vs. </w:t>
            </w:r>
            <w:proofErr w:type="spellStart"/>
            <w:r w:rsidRPr="0072452B">
              <w:rPr>
                <w:rFonts w:cs="Arial"/>
                <w:color w:val="000000" w:themeColor="text1"/>
                <w:szCs w:val="24"/>
              </w:rPr>
              <w:t>Joc</w:t>
            </w:r>
            <w:proofErr w:type="spellEnd"/>
            <w:r w:rsidRPr="0072452B">
              <w:rPr>
                <w:rFonts w:cs="Arial"/>
                <w:color w:val="000000" w:themeColor="text1"/>
                <w:szCs w:val="24"/>
              </w:rPr>
              <w:t xml:space="preserve"> </w:t>
            </w:r>
            <w:proofErr w:type="spellStart"/>
            <w:r w:rsidRPr="0072452B">
              <w:rPr>
                <w:rFonts w:cs="Arial"/>
                <w:color w:val="000000" w:themeColor="text1"/>
                <w:szCs w:val="24"/>
              </w:rPr>
              <w:t>Oil</w:t>
            </w:r>
            <w:proofErr w:type="spellEnd"/>
            <w:r w:rsidRPr="0072452B">
              <w:rPr>
                <w:rFonts w:cs="Arial"/>
                <w:color w:val="000000" w:themeColor="text1"/>
                <w:szCs w:val="24"/>
              </w:rPr>
              <w:t xml:space="preserve"> Ltda.</w:t>
            </w:r>
          </w:p>
          <w:p w:rsidR="0072452B" w:rsidRPr="0072452B" w:rsidRDefault="0072452B" w:rsidP="0072452B">
            <w:pPr>
              <w:pStyle w:val="Legenda"/>
              <w:jc w:val="both"/>
              <w:rPr>
                <w:rFonts w:cs="Arial"/>
                <w:color w:val="000000" w:themeColor="text1"/>
                <w:szCs w:val="24"/>
              </w:rPr>
            </w:pPr>
          </w:p>
          <w:p w:rsidR="00D03FA1" w:rsidRPr="001E2545" w:rsidRDefault="0072452B" w:rsidP="0072452B">
            <w:pPr>
              <w:pStyle w:val="Legenda"/>
              <w:jc w:val="both"/>
              <w:rPr>
                <w:rFonts w:cs="Arial"/>
                <w:color w:val="000000" w:themeColor="text1"/>
                <w:szCs w:val="24"/>
                <w:highlight w:val="yellow"/>
              </w:rPr>
            </w:pPr>
            <w:r w:rsidRPr="0072452B">
              <w:rPr>
                <w:rFonts w:cs="Arial"/>
                <w:color w:val="000000" w:themeColor="text1"/>
                <w:szCs w:val="24"/>
              </w:rPr>
              <w:t>Desta forma, considerando a experiência e imparcialidade da UNCITRAL em matérias que envolvem a indústria do Petróleo e Gás Natural, e não havendo nenhum óbice legal para indicação deste órgão internacional para dirimir tais controvérsias, somos do entendimento de que a sua indicação no contrato atende plenamente à solução de futuras controvérsias contratuais.</w:t>
            </w:r>
          </w:p>
        </w:tc>
      </w:tr>
      <w:tr w:rsidR="00D03FA1" w:rsidRPr="00932C2C" w:rsidTr="00CC632B">
        <w:trPr>
          <w:trHeight w:val="2268"/>
        </w:trPr>
        <w:tc>
          <w:tcPr>
            <w:tcW w:w="655" w:type="pct"/>
            <w:vAlign w:val="center"/>
          </w:tcPr>
          <w:p w:rsidR="00D03FA1" w:rsidRDefault="00D03FA1" w:rsidP="000C0894">
            <w:pPr>
              <w:pStyle w:val="Legenda"/>
              <w:jc w:val="center"/>
              <w:rPr>
                <w:rFonts w:cs="Arial"/>
                <w:color w:val="000000" w:themeColor="text1"/>
                <w:szCs w:val="24"/>
              </w:rPr>
            </w:pPr>
            <w:r>
              <w:rPr>
                <w:rFonts w:cs="Arial"/>
                <w:color w:val="000000" w:themeColor="text1"/>
                <w:szCs w:val="24"/>
              </w:rPr>
              <w:t>Alteração</w:t>
            </w:r>
          </w:p>
        </w:tc>
        <w:tc>
          <w:tcPr>
            <w:tcW w:w="586" w:type="pct"/>
            <w:vAlign w:val="center"/>
          </w:tcPr>
          <w:p w:rsidR="00D03FA1" w:rsidRPr="00FC1A0A" w:rsidRDefault="00D03FA1" w:rsidP="009338B1">
            <w:pPr>
              <w:pStyle w:val="Legenda"/>
              <w:jc w:val="center"/>
              <w:rPr>
                <w:rFonts w:cs="Arial"/>
                <w:color w:val="000000" w:themeColor="text1"/>
                <w:szCs w:val="24"/>
              </w:rPr>
            </w:pPr>
            <w:r w:rsidRPr="00FC1A0A">
              <w:rPr>
                <w:rFonts w:cs="Arial"/>
                <w:color w:val="000000" w:themeColor="text1"/>
                <w:szCs w:val="24"/>
              </w:rPr>
              <w:t>10. Anexo VII</w:t>
            </w:r>
          </w:p>
          <w:p w:rsidR="00D03FA1" w:rsidRPr="00FC1A0A" w:rsidRDefault="00D03FA1" w:rsidP="009338B1">
            <w:pPr>
              <w:pStyle w:val="Legenda"/>
              <w:jc w:val="center"/>
              <w:rPr>
                <w:rFonts w:cs="Arial"/>
                <w:color w:val="000000" w:themeColor="text1"/>
                <w:szCs w:val="24"/>
              </w:rPr>
            </w:pPr>
            <w:r w:rsidRPr="00FC1A0A">
              <w:rPr>
                <w:rFonts w:cs="Arial"/>
                <w:color w:val="000000" w:themeColor="text1"/>
                <w:szCs w:val="24"/>
              </w:rPr>
              <w:t>Cláusula 22</w:t>
            </w:r>
          </w:p>
          <w:p w:rsidR="00D03FA1" w:rsidRPr="006E0ADD" w:rsidRDefault="00D03FA1" w:rsidP="009338B1">
            <w:pPr>
              <w:pStyle w:val="Legenda"/>
              <w:jc w:val="center"/>
              <w:rPr>
                <w:rFonts w:cs="Arial"/>
                <w:b/>
                <w:smallCaps/>
                <w:color w:val="000000"/>
                <w:sz w:val="22"/>
                <w:szCs w:val="22"/>
              </w:rPr>
            </w:pPr>
            <w:r w:rsidRPr="00FC1A0A">
              <w:rPr>
                <w:rFonts w:cs="Arial"/>
                <w:color w:val="000000" w:themeColor="text1"/>
                <w:szCs w:val="24"/>
              </w:rPr>
              <w:t>Item 22.3.5</w:t>
            </w:r>
          </w:p>
        </w:tc>
        <w:tc>
          <w:tcPr>
            <w:tcW w:w="1941" w:type="pct"/>
            <w:vAlign w:val="center"/>
          </w:tcPr>
          <w:p w:rsidR="00D03FA1" w:rsidRPr="001E2545" w:rsidRDefault="00D03FA1" w:rsidP="009338B1">
            <w:pPr>
              <w:pStyle w:val="Corpodetexto3"/>
              <w:spacing w:line="264" w:lineRule="auto"/>
              <w:ind w:left="120" w:hanging="720"/>
              <w:rPr>
                <w:rFonts w:ascii="Arial" w:hAnsi="Arial" w:cs="Arial"/>
                <w:smallCaps/>
                <w:color w:val="000000"/>
                <w:sz w:val="22"/>
                <w:szCs w:val="22"/>
                <w:highlight w:val="yellow"/>
              </w:rPr>
            </w:pPr>
            <w:r w:rsidRPr="001E2545">
              <w:rPr>
                <w:rFonts w:ascii="Arial" w:hAnsi="Arial"/>
                <w:color w:val="000000"/>
                <w:sz w:val="22"/>
                <w:highlight w:val="yellow"/>
              </w:rPr>
              <w:t>Na</w:t>
            </w:r>
            <w:proofErr w:type="gramStart"/>
            <w:r w:rsidRPr="001E2545">
              <w:rPr>
                <w:rFonts w:ascii="Arial" w:hAnsi="Arial"/>
                <w:color w:val="000000"/>
                <w:sz w:val="22"/>
                <w:highlight w:val="yellow"/>
              </w:rPr>
              <w:t xml:space="preserve"> </w:t>
            </w:r>
            <w:r w:rsidRPr="001E2545">
              <w:rPr>
                <w:rFonts w:ascii="Arial" w:hAnsi="Arial" w:cs="Arial"/>
                <w:b w:val="0"/>
                <w:color w:val="000000" w:themeColor="text1"/>
                <w:szCs w:val="24"/>
                <w:highlight w:val="yellow"/>
              </w:rPr>
              <w:t xml:space="preserve"> </w:t>
            </w:r>
            <w:proofErr w:type="spellStart"/>
            <w:proofErr w:type="gramEnd"/>
            <w:r w:rsidRPr="001E2545">
              <w:rPr>
                <w:rFonts w:ascii="Arial" w:hAnsi="Arial" w:cs="Arial"/>
                <w:b w:val="0"/>
                <w:color w:val="000000" w:themeColor="text1"/>
                <w:szCs w:val="24"/>
                <w:highlight w:val="yellow"/>
              </w:rPr>
              <w:t>Na</w:t>
            </w:r>
            <w:proofErr w:type="spellEnd"/>
            <w:r w:rsidRPr="001E2545">
              <w:rPr>
                <w:rFonts w:ascii="Arial" w:hAnsi="Arial" w:cs="Arial"/>
                <w:b w:val="0"/>
                <w:color w:val="000000" w:themeColor="text1"/>
                <w:szCs w:val="24"/>
                <w:highlight w:val="yellow"/>
              </w:rPr>
              <w:t xml:space="preserve"> hipótese das Regras de Conciliação e Arbitragem da UNCITRAL serem omissas quanto a quaisquer aspectos procedimentais, as omissões serão supridas pelos Árbitros por referência, nesta ordem:</w:t>
            </w:r>
          </w:p>
        </w:tc>
        <w:tc>
          <w:tcPr>
            <w:tcW w:w="1818" w:type="pct"/>
            <w:vAlign w:val="center"/>
          </w:tcPr>
          <w:p w:rsidR="00D03FA1" w:rsidRPr="001E2545" w:rsidRDefault="00D03FA1" w:rsidP="00A45683">
            <w:pPr>
              <w:pStyle w:val="Legenda"/>
              <w:jc w:val="both"/>
              <w:rPr>
                <w:rFonts w:cs="Arial"/>
                <w:color w:val="000000" w:themeColor="text1"/>
                <w:szCs w:val="24"/>
                <w:highlight w:val="yellow"/>
              </w:rPr>
            </w:pPr>
            <w:r w:rsidRPr="001E2545">
              <w:rPr>
                <w:rFonts w:cs="Arial"/>
                <w:color w:val="000000" w:themeColor="text1"/>
                <w:szCs w:val="24"/>
                <w:highlight w:val="yellow"/>
              </w:rPr>
              <w:t>Sugerimos organismo internacional para regras de resolução de arbitragem.</w:t>
            </w:r>
          </w:p>
        </w:tc>
      </w:tr>
      <w:tr w:rsidR="00D03FA1" w:rsidRPr="00932C2C" w:rsidTr="00CC632B">
        <w:trPr>
          <w:trHeight w:val="2268"/>
        </w:trPr>
        <w:tc>
          <w:tcPr>
            <w:tcW w:w="655" w:type="pct"/>
            <w:vAlign w:val="center"/>
          </w:tcPr>
          <w:p w:rsidR="00D03FA1" w:rsidRDefault="00D03FA1" w:rsidP="000C0894">
            <w:pPr>
              <w:pStyle w:val="Legenda"/>
              <w:jc w:val="center"/>
              <w:rPr>
                <w:rFonts w:cs="Arial"/>
                <w:color w:val="000000" w:themeColor="text1"/>
                <w:szCs w:val="24"/>
              </w:rPr>
            </w:pPr>
            <w:r>
              <w:rPr>
                <w:rFonts w:cs="Arial"/>
                <w:color w:val="000000" w:themeColor="text1"/>
                <w:szCs w:val="24"/>
              </w:rPr>
              <w:lastRenderedPageBreak/>
              <w:t>Alteração</w:t>
            </w:r>
          </w:p>
        </w:tc>
        <w:tc>
          <w:tcPr>
            <w:tcW w:w="586" w:type="pct"/>
            <w:vAlign w:val="center"/>
          </w:tcPr>
          <w:p w:rsidR="00D03FA1" w:rsidRPr="00FC1A0A" w:rsidRDefault="00D03FA1" w:rsidP="009338B1">
            <w:pPr>
              <w:pStyle w:val="Legenda"/>
              <w:jc w:val="center"/>
              <w:rPr>
                <w:rFonts w:cs="Arial"/>
                <w:color w:val="000000" w:themeColor="text1"/>
                <w:szCs w:val="24"/>
              </w:rPr>
            </w:pPr>
            <w:r w:rsidRPr="00FC1A0A">
              <w:rPr>
                <w:rFonts w:cs="Arial"/>
                <w:color w:val="000000" w:themeColor="text1"/>
                <w:szCs w:val="24"/>
              </w:rPr>
              <w:t>10. Anexo VII</w:t>
            </w:r>
          </w:p>
          <w:p w:rsidR="00D03FA1" w:rsidRPr="00FC1A0A" w:rsidRDefault="00D03FA1" w:rsidP="009338B1">
            <w:pPr>
              <w:pStyle w:val="Legenda"/>
              <w:jc w:val="center"/>
              <w:rPr>
                <w:rFonts w:cs="Arial"/>
                <w:color w:val="000000" w:themeColor="text1"/>
                <w:szCs w:val="24"/>
              </w:rPr>
            </w:pPr>
            <w:r w:rsidRPr="00FC1A0A">
              <w:rPr>
                <w:rFonts w:cs="Arial"/>
                <w:color w:val="000000" w:themeColor="text1"/>
                <w:szCs w:val="24"/>
              </w:rPr>
              <w:t>Cláusula 22</w:t>
            </w:r>
          </w:p>
          <w:p w:rsidR="00D03FA1" w:rsidRPr="006E0ADD" w:rsidRDefault="00D03FA1" w:rsidP="009338B1">
            <w:pPr>
              <w:pStyle w:val="Legenda"/>
              <w:jc w:val="center"/>
              <w:rPr>
                <w:rFonts w:cs="Arial"/>
                <w:b/>
                <w:smallCaps/>
                <w:color w:val="000000"/>
                <w:sz w:val="22"/>
                <w:szCs w:val="22"/>
              </w:rPr>
            </w:pPr>
            <w:r w:rsidRPr="00FC1A0A">
              <w:rPr>
                <w:rFonts w:cs="Arial"/>
                <w:color w:val="000000" w:themeColor="text1"/>
                <w:szCs w:val="24"/>
              </w:rPr>
              <w:t>Item 22.3.13</w:t>
            </w:r>
          </w:p>
        </w:tc>
        <w:tc>
          <w:tcPr>
            <w:tcW w:w="1941" w:type="pct"/>
            <w:vAlign w:val="center"/>
          </w:tcPr>
          <w:p w:rsidR="00D03FA1" w:rsidRPr="001E2545" w:rsidRDefault="00D03FA1" w:rsidP="009338B1">
            <w:pPr>
              <w:pStyle w:val="Corpodetexto3"/>
              <w:spacing w:line="264" w:lineRule="auto"/>
              <w:ind w:left="120" w:hanging="720"/>
              <w:rPr>
                <w:rFonts w:ascii="Arial" w:hAnsi="Arial"/>
                <w:color w:val="000000"/>
                <w:sz w:val="22"/>
                <w:highlight w:val="yellow"/>
              </w:rPr>
            </w:pPr>
            <w:r w:rsidRPr="001E2545">
              <w:rPr>
                <w:rFonts w:ascii="Arial" w:hAnsi="Arial" w:cs="Arial"/>
                <w:sz w:val="22"/>
                <w:szCs w:val="22"/>
                <w:highlight w:val="yellow"/>
              </w:rPr>
              <w:t xml:space="preserve">A </w:t>
            </w:r>
            <w:proofErr w:type="spellStart"/>
            <w:r w:rsidRPr="001E2545">
              <w:rPr>
                <w:rFonts w:ascii="Arial" w:hAnsi="Arial" w:cs="Arial"/>
                <w:sz w:val="22"/>
                <w:szCs w:val="22"/>
                <w:highlight w:val="yellow"/>
              </w:rPr>
              <w:t>A</w:t>
            </w:r>
            <w:proofErr w:type="spellEnd"/>
            <w:proofErr w:type="gramStart"/>
            <w:r w:rsidRPr="001E2545">
              <w:rPr>
                <w:rFonts w:ascii="Arial" w:hAnsi="Arial" w:cs="Arial"/>
                <w:sz w:val="22"/>
                <w:szCs w:val="22"/>
                <w:highlight w:val="yellow"/>
              </w:rPr>
              <w:t xml:space="preserve">   </w:t>
            </w:r>
            <w:proofErr w:type="spellStart"/>
            <w:proofErr w:type="gramEnd"/>
            <w:r w:rsidRPr="001E2545">
              <w:rPr>
                <w:rFonts w:ascii="Arial" w:hAnsi="Arial" w:cs="Arial"/>
                <w:b w:val="0"/>
                <w:color w:val="000000" w:themeColor="text1"/>
                <w:szCs w:val="24"/>
                <w:highlight w:val="yellow"/>
              </w:rPr>
              <w:t>A</w:t>
            </w:r>
            <w:proofErr w:type="spellEnd"/>
            <w:r w:rsidRPr="001E2545">
              <w:rPr>
                <w:rFonts w:ascii="Arial" w:hAnsi="Arial" w:cs="Arial"/>
                <w:b w:val="0"/>
                <w:color w:val="000000" w:themeColor="text1"/>
                <w:szCs w:val="24"/>
                <w:highlight w:val="yellow"/>
              </w:rPr>
              <w:t xml:space="preserve"> instauração de Arbitragem não suspenderá o cumprimento de qualquer obrigação do Contrato, exceto daquela que tenha sido objeto da controvérsia submetida à Arbitragem.</w:t>
            </w:r>
          </w:p>
        </w:tc>
        <w:tc>
          <w:tcPr>
            <w:tcW w:w="1818" w:type="pct"/>
            <w:vAlign w:val="center"/>
          </w:tcPr>
          <w:p w:rsidR="00D03FA1" w:rsidRPr="001E2545" w:rsidRDefault="00D03FA1" w:rsidP="006E0ADD">
            <w:pPr>
              <w:pStyle w:val="Legenda"/>
              <w:jc w:val="both"/>
              <w:rPr>
                <w:rFonts w:cs="Arial"/>
                <w:color w:val="000000" w:themeColor="text1"/>
                <w:szCs w:val="24"/>
                <w:highlight w:val="yellow"/>
              </w:rPr>
            </w:pPr>
            <w:r w:rsidRPr="001E2545">
              <w:rPr>
                <w:rFonts w:cs="Arial"/>
                <w:color w:val="000000" w:themeColor="text1"/>
                <w:szCs w:val="24"/>
                <w:highlight w:val="yellow"/>
              </w:rPr>
              <w:t>Entendemos que o objeto da controvérsia não deve ser cumprido enquanto durar o período de arbitragem, embora qualquer outra obrigação contratual deva ser cumprida.</w:t>
            </w:r>
          </w:p>
        </w:tc>
      </w:tr>
      <w:tr w:rsidR="00D03FA1" w:rsidRPr="00932C2C" w:rsidTr="00CC632B">
        <w:trPr>
          <w:trHeight w:val="2268"/>
        </w:trPr>
        <w:tc>
          <w:tcPr>
            <w:tcW w:w="655" w:type="pct"/>
            <w:vAlign w:val="center"/>
          </w:tcPr>
          <w:p w:rsidR="00D03FA1" w:rsidRDefault="00D03FA1" w:rsidP="000C0894">
            <w:pPr>
              <w:pStyle w:val="Legenda"/>
              <w:jc w:val="center"/>
              <w:rPr>
                <w:rFonts w:cs="Arial"/>
                <w:color w:val="000000" w:themeColor="text1"/>
                <w:szCs w:val="24"/>
              </w:rPr>
            </w:pPr>
            <w:r>
              <w:rPr>
                <w:rFonts w:cs="Arial"/>
                <w:color w:val="000000" w:themeColor="text1"/>
                <w:szCs w:val="24"/>
              </w:rPr>
              <w:t>Alteração</w:t>
            </w:r>
          </w:p>
        </w:tc>
        <w:tc>
          <w:tcPr>
            <w:tcW w:w="586" w:type="pct"/>
            <w:vAlign w:val="center"/>
          </w:tcPr>
          <w:p w:rsidR="00D03FA1" w:rsidRPr="00FC1A0A" w:rsidRDefault="00D03FA1" w:rsidP="00FC1A0A">
            <w:pPr>
              <w:pStyle w:val="Legenda"/>
              <w:jc w:val="both"/>
              <w:rPr>
                <w:rFonts w:cs="Arial"/>
                <w:color w:val="000000" w:themeColor="text1"/>
                <w:szCs w:val="24"/>
              </w:rPr>
            </w:pPr>
            <w:r w:rsidRPr="00FC1A0A">
              <w:rPr>
                <w:rFonts w:cs="Arial"/>
                <w:color w:val="000000" w:themeColor="text1"/>
                <w:szCs w:val="24"/>
              </w:rPr>
              <w:t>10. Anexo VII</w:t>
            </w:r>
          </w:p>
          <w:p w:rsidR="00D03FA1" w:rsidRPr="00FC1A0A" w:rsidRDefault="00D03FA1" w:rsidP="00FC1A0A">
            <w:pPr>
              <w:pStyle w:val="Legenda"/>
              <w:jc w:val="both"/>
              <w:rPr>
                <w:rFonts w:cs="Arial"/>
                <w:color w:val="000000" w:themeColor="text1"/>
                <w:szCs w:val="24"/>
              </w:rPr>
            </w:pPr>
            <w:r w:rsidRPr="00FC1A0A">
              <w:rPr>
                <w:rFonts w:cs="Arial"/>
                <w:color w:val="000000" w:themeColor="text1"/>
                <w:szCs w:val="24"/>
              </w:rPr>
              <w:t>Cláusula 22</w:t>
            </w:r>
          </w:p>
          <w:p w:rsidR="00D03FA1" w:rsidRPr="006E0ADD" w:rsidRDefault="00D03FA1" w:rsidP="00FC1A0A">
            <w:pPr>
              <w:pStyle w:val="Legenda"/>
              <w:jc w:val="both"/>
              <w:rPr>
                <w:rFonts w:cs="Arial"/>
                <w:b/>
                <w:smallCaps/>
                <w:color w:val="000000"/>
                <w:sz w:val="22"/>
                <w:szCs w:val="22"/>
              </w:rPr>
            </w:pPr>
            <w:r w:rsidRPr="00FC1A0A">
              <w:rPr>
                <w:rFonts w:cs="Arial"/>
                <w:color w:val="000000" w:themeColor="text1"/>
                <w:szCs w:val="24"/>
              </w:rPr>
              <w:t>Item 22.4.4</w:t>
            </w:r>
          </w:p>
        </w:tc>
        <w:tc>
          <w:tcPr>
            <w:tcW w:w="1941" w:type="pct"/>
            <w:vAlign w:val="center"/>
          </w:tcPr>
          <w:p w:rsidR="00D03FA1" w:rsidRPr="001E2545" w:rsidRDefault="00D03FA1" w:rsidP="00BC5307">
            <w:pPr>
              <w:pStyle w:val="Legenda"/>
              <w:jc w:val="both"/>
              <w:rPr>
                <w:b/>
                <w:highlight w:val="yellow"/>
              </w:rPr>
            </w:pPr>
            <w:r w:rsidRPr="001E2545">
              <w:rPr>
                <w:rFonts w:cs="Arial"/>
                <w:color w:val="000000" w:themeColor="text1"/>
                <w:szCs w:val="24"/>
                <w:highlight w:val="yellow"/>
              </w:rPr>
              <w:t>O laudo pericial a ser proferido pelo Perito deverá conter os elementos abaixo listados e terá efeitos de sentença arbitral nos termos da Lei 9.307, de 23 de setembro de 1996, só podendo ser questionado nas hipóteses previstas na referida Lei:</w:t>
            </w:r>
          </w:p>
        </w:tc>
        <w:tc>
          <w:tcPr>
            <w:tcW w:w="1818" w:type="pct"/>
            <w:vAlign w:val="center"/>
          </w:tcPr>
          <w:p w:rsidR="00D03FA1" w:rsidRPr="001E2545" w:rsidRDefault="00D03FA1" w:rsidP="006E0ADD">
            <w:pPr>
              <w:pStyle w:val="Legenda"/>
              <w:jc w:val="both"/>
              <w:rPr>
                <w:rFonts w:cs="Arial"/>
                <w:color w:val="000000" w:themeColor="text1"/>
                <w:szCs w:val="24"/>
                <w:highlight w:val="yellow"/>
              </w:rPr>
            </w:pPr>
            <w:r w:rsidRPr="001E2545">
              <w:rPr>
                <w:rFonts w:cs="Arial"/>
                <w:color w:val="000000" w:themeColor="text1"/>
                <w:szCs w:val="24"/>
                <w:highlight w:val="yellow"/>
              </w:rPr>
              <w:t>Sugerimos a citação da referida Lei e suas hipóteses.</w:t>
            </w:r>
          </w:p>
        </w:tc>
      </w:tr>
      <w:tr w:rsidR="00D03FA1" w:rsidRPr="00932C2C" w:rsidTr="00CC632B">
        <w:trPr>
          <w:trHeight w:val="2268"/>
        </w:trPr>
        <w:tc>
          <w:tcPr>
            <w:tcW w:w="655" w:type="pct"/>
            <w:vAlign w:val="center"/>
          </w:tcPr>
          <w:p w:rsidR="00D03FA1" w:rsidRDefault="00D03FA1" w:rsidP="000C0894">
            <w:pPr>
              <w:pStyle w:val="Legenda"/>
              <w:jc w:val="center"/>
              <w:rPr>
                <w:rFonts w:cs="Arial"/>
                <w:color w:val="000000" w:themeColor="text1"/>
                <w:szCs w:val="24"/>
              </w:rPr>
            </w:pPr>
            <w:r>
              <w:rPr>
                <w:rFonts w:cs="Arial"/>
                <w:color w:val="000000" w:themeColor="text1"/>
                <w:szCs w:val="24"/>
              </w:rPr>
              <w:t>Alteração</w:t>
            </w:r>
          </w:p>
        </w:tc>
        <w:tc>
          <w:tcPr>
            <w:tcW w:w="586" w:type="pct"/>
            <w:vAlign w:val="center"/>
          </w:tcPr>
          <w:p w:rsidR="00D03FA1" w:rsidRPr="00FC1A0A" w:rsidRDefault="00D03FA1" w:rsidP="009338B1">
            <w:pPr>
              <w:pStyle w:val="Legenda"/>
              <w:jc w:val="center"/>
              <w:rPr>
                <w:rFonts w:cs="Arial"/>
                <w:color w:val="000000" w:themeColor="text1"/>
                <w:szCs w:val="24"/>
              </w:rPr>
            </w:pPr>
            <w:r w:rsidRPr="00FC1A0A">
              <w:rPr>
                <w:rFonts w:cs="Arial"/>
                <w:color w:val="000000" w:themeColor="text1"/>
                <w:szCs w:val="24"/>
              </w:rPr>
              <w:t>10. Anexo VII</w:t>
            </w:r>
          </w:p>
          <w:p w:rsidR="00D03FA1" w:rsidRPr="00FC1A0A" w:rsidRDefault="00D03FA1" w:rsidP="009338B1">
            <w:pPr>
              <w:pStyle w:val="Legenda"/>
              <w:jc w:val="center"/>
              <w:rPr>
                <w:rFonts w:cs="Arial"/>
                <w:color w:val="000000" w:themeColor="text1"/>
                <w:szCs w:val="24"/>
              </w:rPr>
            </w:pPr>
            <w:r w:rsidRPr="00FC1A0A">
              <w:rPr>
                <w:rFonts w:cs="Arial"/>
                <w:color w:val="000000" w:themeColor="text1"/>
                <w:szCs w:val="24"/>
              </w:rPr>
              <w:t>Cláusula 22</w:t>
            </w:r>
          </w:p>
          <w:p w:rsidR="00D03FA1" w:rsidRPr="006E0ADD" w:rsidRDefault="00D03FA1" w:rsidP="009338B1">
            <w:pPr>
              <w:pStyle w:val="Legenda"/>
              <w:jc w:val="center"/>
              <w:rPr>
                <w:rFonts w:cs="Arial"/>
                <w:b/>
                <w:smallCaps/>
                <w:color w:val="000000"/>
                <w:sz w:val="22"/>
                <w:szCs w:val="22"/>
              </w:rPr>
            </w:pPr>
            <w:r w:rsidRPr="00FC1A0A">
              <w:rPr>
                <w:rFonts w:cs="Arial"/>
                <w:color w:val="000000" w:themeColor="text1"/>
                <w:szCs w:val="24"/>
              </w:rPr>
              <w:t>Item 22.4.8</w:t>
            </w:r>
          </w:p>
        </w:tc>
        <w:tc>
          <w:tcPr>
            <w:tcW w:w="1941" w:type="pct"/>
            <w:vAlign w:val="center"/>
          </w:tcPr>
          <w:p w:rsidR="00D03FA1" w:rsidRPr="001E2545" w:rsidRDefault="0072452B" w:rsidP="009338B1">
            <w:pPr>
              <w:rPr>
                <w:rFonts w:ascii="Arial" w:hAnsi="Arial" w:cs="Arial"/>
                <w:color w:val="000000" w:themeColor="text1"/>
                <w:sz w:val="24"/>
                <w:szCs w:val="24"/>
                <w:highlight w:val="yellow"/>
              </w:rPr>
            </w:pPr>
            <w:r w:rsidRPr="0072452B">
              <w:rPr>
                <w:rFonts w:ascii="Arial" w:hAnsi="Arial" w:cs="Arial"/>
                <w:color w:val="000000" w:themeColor="text1"/>
                <w:sz w:val="24"/>
                <w:szCs w:val="24"/>
              </w:rPr>
              <w:t>O laudo pericial a ser proferido pelo Perito, que terá efeitos de sentença arbitral nos termos da Lei 9.307, de 23 de setembro de 1996, só podendo ser questionado nas hipóteses previstas na referida Lei, deverá conter os elementos abaixo listados</w:t>
            </w:r>
            <w:proofErr w:type="gramStart"/>
            <w:r w:rsidRPr="0072452B">
              <w:rPr>
                <w:rFonts w:ascii="Arial" w:hAnsi="Arial" w:cs="Arial"/>
                <w:color w:val="000000" w:themeColor="text1"/>
                <w:sz w:val="24"/>
                <w:szCs w:val="24"/>
              </w:rPr>
              <w:t>:,</w:t>
            </w:r>
            <w:proofErr w:type="gramEnd"/>
            <w:r w:rsidRPr="0072452B">
              <w:rPr>
                <w:rFonts w:ascii="Arial" w:hAnsi="Arial" w:cs="Arial"/>
                <w:color w:val="000000" w:themeColor="text1"/>
                <w:sz w:val="24"/>
                <w:szCs w:val="24"/>
              </w:rPr>
              <w:t xml:space="preserve"> e terá efeitos de sentença arbitral nos termos da Lei 9.307, de 23 de setembro de 1996, só podendo ser questionado nas hipóteses previstas na referida Lei:</w:t>
            </w:r>
          </w:p>
        </w:tc>
        <w:tc>
          <w:tcPr>
            <w:tcW w:w="1818" w:type="pct"/>
            <w:vAlign w:val="center"/>
          </w:tcPr>
          <w:p w:rsidR="00D03FA1" w:rsidRPr="001E2545" w:rsidRDefault="0072452B" w:rsidP="006E0ADD">
            <w:pPr>
              <w:pStyle w:val="Legenda"/>
              <w:jc w:val="both"/>
              <w:rPr>
                <w:rFonts w:cs="Arial"/>
                <w:color w:val="000000" w:themeColor="text1"/>
                <w:szCs w:val="24"/>
                <w:highlight w:val="yellow"/>
              </w:rPr>
            </w:pPr>
            <w:r w:rsidRPr="0072452B">
              <w:rPr>
                <w:rFonts w:cs="Arial"/>
                <w:color w:val="000000" w:themeColor="text1"/>
                <w:szCs w:val="24"/>
              </w:rPr>
              <w:t>Sugerimos a citação da referida Lei e suas hipóteses.</w:t>
            </w:r>
          </w:p>
        </w:tc>
      </w:tr>
      <w:tr w:rsidR="00D03FA1" w:rsidRPr="00932C2C" w:rsidTr="00CC632B">
        <w:trPr>
          <w:trHeight w:val="2268"/>
        </w:trPr>
        <w:tc>
          <w:tcPr>
            <w:tcW w:w="655" w:type="pct"/>
            <w:vAlign w:val="center"/>
          </w:tcPr>
          <w:p w:rsidR="00D03FA1" w:rsidRDefault="00D03FA1" w:rsidP="000C0894">
            <w:pPr>
              <w:pStyle w:val="Legenda"/>
              <w:jc w:val="center"/>
              <w:rPr>
                <w:rFonts w:cs="Arial"/>
                <w:color w:val="000000" w:themeColor="text1"/>
                <w:szCs w:val="24"/>
              </w:rPr>
            </w:pPr>
            <w:r>
              <w:rPr>
                <w:rFonts w:cs="Arial"/>
                <w:color w:val="000000" w:themeColor="text1"/>
                <w:szCs w:val="24"/>
              </w:rPr>
              <w:lastRenderedPageBreak/>
              <w:t>Alteração</w:t>
            </w:r>
          </w:p>
        </w:tc>
        <w:tc>
          <w:tcPr>
            <w:tcW w:w="586" w:type="pct"/>
            <w:vAlign w:val="center"/>
          </w:tcPr>
          <w:p w:rsidR="00D03FA1" w:rsidRPr="00FC1A0A" w:rsidRDefault="00D03FA1" w:rsidP="00D84B5D">
            <w:pPr>
              <w:pStyle w:val="Legenda"/>
              <w:jc w:val="center"/>
              <w:rPr>
                <w:rFonts w:cs="Arial"/>
                <w:color w:val="000000" w:themeColor="text1"/>
                <w:szCs w:val="24"/>
              </w:rPr>
            </w:pPr>
            <w:r w:rsidRPr="00FC1A0A">
              <w:rPr>
                <w:rFonts w:cs="Arial"/>
                <w:color w:val="000000" w:themeColor="text1"/>
                <w:szCs w:val="24"/>
              </w:rPr>
              <w:t>10. Anexo VII</w:t>
            </w:r>
          </w:p>
          <w:p w:rsidR="00D03FA1" w:rsidRPr="00FC1A0A" w:rsidRDefault="00D03FA1" w:rsidP="00D84B5D">
            <w:pPr>
              <w:pStyle w:val="Legenda"/>
              <w:jc w:val="center"/>
              <w:rPr>
                <w:rFonts w:cs="Arial"/>
                <w:color w:val="000000" w:themeColor="text1"/>
                <w:szCs w:val="24"/>
              </w:rPr>
            </w:pPr>
            <w:r w:rsidRPr="00FC1A0A">
              <w:rPr>
                <w:rFonts w:cs="Arial"/>
                <w:color w:val="000000" w:themeColor="text1"/>
                <w:szCs w:val="24"/>
              </w:rPr>
              <w:t>Cláusula 23</w:t>
            </w:r>
          </w:p>
          <w:p w:rsidR="00D03FA1" w:rsidRPr="006E0ADD" w:rsidRDefault="00D03FA1" w:rsidP="00D84B5D">
            <w:pPr>
              <w:pStyle w:val="Legenda"/>
              <w:jc w:val="center"/>
              <w:rPr>
                <w:rFonts w:cs="Arial"/>
                <w:b/>
                <w:smallCaps/>
                <w:color w:val="000000"/>
                <w:sz w:val="22"/>
                <w:szCs w:val="22"/>
              </w:rPr>
            </w:pPr>
            <w:r w:rsidRPr="00FC1A0A">
              <w:rPr>
                <w:rFonts w:cs="Arial"/>
                <w:color w:val="000000" w:themeColor="text1"/>
                <w:szCs w:val="24"/>
              </w:rPr>
              <w:t>Item 23.1.3</w:t>
            </w:r>
          </w:p>
        </w:tc>
        <w:tc>
          <w:tcPr>
            <w:tcW w:w="1941" w:type="pct"/>
            <w:vAlign w:val="center"/>
          </w:tcPr>
          <w:p w:rsidR="00D03FA1" w:rsidRPr="001E2545" w:rsidRDefault="00D03FA1" w:rsidP="00E2386E">
            <w:pPr>
              <w:pStyle w:val="Legenda"/>
              <w:jc w:val="both"/>
              <w:rPr>
                <w:rFonts w:cs="Arial"/>
                <w:color w:val="000000" w:themeColor="text1"/>
                <w:szCs w:val="24"/>
                <w:highlight w:val="yellow"/>
              </w:rPr>
            </w:pPr>
            <w:r w:rsidRPr="001E2545">
              <w:rPr>
                <w:rFonts w:cs="Arial"/>
                <w:color w:val="000000" w:themeColor="text1"/>
                <w:szCs w:val="24"/>
                <w:highlight w:val="yellow"/>
              </w:rPr>
              <w:t>Durante as negociações para a cessão do Contrato a Parte que pretende ceder o Contrato prestará à outra Parte todas as informações de que disponha sobre o potencial cessionário, bem como prestará os esclarecimentos necessários sobre as consequências da cessão.</w:t>
            </w:r>
          </w:p>
        </w:tc>
        <w:tc>
          <w:tcPr>
            <w:tcW w:w="1818" w:type="pct"/>
            <w:vAlign w:val="center"/>
          </w:tcPr>
          <w:p w:rsidR="00D03FA1" w:rsidRPr="001E2545" w:rsidRDefault="00D03FA1" w:rsidP="006E0ADD">
            <w:pPr>
              <w:pStyle w:val="Legenda"/>
              <w:jc w:val="both"/>
              <w:rPr>
                <w:rFonts w:cs="Arial"/>
                <w:color w:val="000000" w:themeColor="text1"/>
                <w:szCs w:val="24"/>
                <w:highlight w:val="yellow"/>
              </w:rPr>
            </w:pPr>
            <w:r w:rsidRPr="001E2545">
              <w:rPr>
                <w:rFonts w:cs="Arial"/>
                <w:color w:val="000000" w:themeColor="text1"/>
                <w:szCs w:val="24"/>
                <w:highlight w:val="yellow"/>
              </w:rPr>
              <w:t>Entendemos que esta obrigação é restrita ao período de negociações para a cessão do Contrato</w:t>
            </w:r>
          </w:p>
        </w:tc>
      </w:tr>
    </w:tbl>
    <w:p w:rsidR="00764EB1" w:rsidRDefault="00764EB1" w:rsidP="0098717F">
      <w:pPr>
        <w:pStyle w:val="Legenda"/>
        <w:spacing w:line="360" w:lineRule="auto"/>
        <w:jc w:val="both"/>
        <w:rPr>
          <w:rFonts w:cs="Arial"/>
          <w:szCs w:val="24"/>
          <w:u w:val="single"/>
        </w:rPr>
      </w:pPr>
    </w:p>
    <w:sectPr w:rsidR="00764EB1" w:rsidSect="00FB378C">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077" w:right="1440" w:bottom="992" w:left="1440" w:header="51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545" w:rsidRDefault="001E2545" w:rsidP="00842086">
      <w:r>
        <w:separator/>
      </w:r>
    </w:p>
  </w:endnote>
  <w:endnote w:type="continuationSeparator" w:id="0">
    <w:p w:rsidR="001E2545" w:rsidRDefault="001E2545" w:rsidP="008420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Erie">
    <w:altName w:val="Georgia"/>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8D3" w:rsidRDefault="000038D3">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545" w:rsidRDefault="00A824BE">
    <w:pPr>
      <w:pStyle w:val="Rodap"/>
      <w:jc w:val="right"/>
    </w:pPr>
    <w:r>
      <w:fldChar w:fldCharType="begin"/>
    </w:r>
    <w:r w:rsidR="001E2545">
      <w:instrText xml:space="preserve"> PAGE   \* MERGEFORMAT </w:instrText>
    </w:r>
    <w:r>
      <w:fldChar w:fldCharType="separate"/>
    </w:r>
    <w:r w:rsidR="000038D3">
      <w:rPr>
        <w:noProof/>
      </w:rPr>
      <w:t>17</w:t>
    </w:r>
    <w:r>
      <w:rPr>
        <w:noProof/>
      </w:rPr>
      <w:fldChar w:fldCharType="end"/>
    </w:r>
  </w:p>
  <w:p w:rsidR="001E2545" w:rsidRDefault="001E2545">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545" w:rsidRDefault="00A824BE">
    <w:pPr>
      <w:pStyle w:val="Rodap"/>
      <w:jc w:val="right"/>
    </w:pPr>
    <w:r>
      <w:fldChar w:fldCharType="begin"/>
    </w:r>
    <w:r w:rsidR="001E2545">
      <w:instrText xml:space="preserve"> PAGE   \* MERGEFORMAT </w:instrText>
    </w:r>
    <w:r>
      <w:fldChar w:fldCharType="separate"/>
    </w:r>
    <w:r w:rsidR="000038D3">
      <w:rPr>
        <w:noProof/>
      </w:rPr>
      <w:t>1</w:t>
    </w:r>
    <w:r>
      <w:rPr>
        <w:noProof/>
      </w:rPr>
      <w:fldChar w:fldCharType="end"/>
    </w:r>
  </w:p>
  <w:p w:rsidR="001E2545" w:rsidRDefault="001E254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545" w:rsidRDefault="001E2545" w:rsidP="00842086">
      <w:r>
        <w:separator/>
      </w:r>
    </w:p>
  </w:footnote>
  <w:footnote w:type="continuationSeparator" w:id="0">
    <w:p w:rsidR="001E2545" w:rsidRDefault="001E2545" w:rsidP="008420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8D3" w:rsidRDefault="000038D3">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545" w:rsidRDefault="001E2545" w:rsidP="00842086">
    <w:pPr>
      <w:pStyle w:val="Cabealho"/>
      <w:tabs>
        <w:tab w:val="clear" w:pos="8504"/>
        <w:tab w:val="right" w:pos="9923"/>
      </w:tabs>
      <w:ind w:left="-142"/>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39" w:type="pct"/>
      <w:tblBorders>
        <w:top w:val="single" w:sz="4" w:space="0" w:color="808080" w:themeColor="background1" w:themeShade="80"/>
        <w:bottom w:val="single" w:sz="4" w:space="0" w:color="808080" w:themeColor="background1" w:themeShade="80"/>
      </w:tblBorders>
      <w:tblLayout w:type="fixed"/>
      <w:tblLook w:val="04A0"/>
    </w:tblPr>
    <w:tblGrid>
      <w:gridCol w:w="3221"/>
      <w:gridCol w:w="4967"/>
      <w:gridCol w:w="6099"/>
    </w:tblGrid>
    <w:tr w:rsidR="001E2545" w:rsidRPr="00B27481" w:rsidTr="00B27481">
      <w:tc>
        <w:tcPr>
          <w:tcW w:w="1127" w:type="pct"/>
          <w:tcBorders>
            <w:top w:val="single" w:sz="4" w:space="0" w:color="808080" w:themeColor="background1" w:themeShade="80"/>
            <w:bottom w:val="single" w:sz="4" w:space="0" w:color="808080" w:themeColor="background1" w:themeShade="80"/>
          </w:tcBorders>
          <w:vAlign w:val="center"/>
        </w:tcPr>
        <w:p w:rsidR="001E2545" w:rsidRDefault="001E2545" w:rsidP="00B27481">
          <w:pPr>
            <w:pStyle w:val="Cabealho"/>
            <w:spacing w:before="240" w:after="240"/>
            <w:jc w:val="center"/>
          </w:pPr>
          <w:r>
            <w:rPr>
              <w:noProof/>
            </w:rPr>
            <w:drawing>
              <wp:inline distT="0" distB="0" distL="0" distR="0">
                <wp:extent cx="2057400" cy="828675"/>
                <wp:effectExtent l="19050" t="0" r="0" b="0"/>
                <wp:docPr id="2" name="Imagem 0" descr="logoANP_h_versao_p_reduc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ANP_h_versao_p_reducao.jpg"/>
                        <pic:cNvPicPr>
                          <a:picLocks noChangeAspect="1" noChangeArrowheads="1"/>
                        </pic:cNvPicPr>
                      </pic:nvPicPr>
                      <pic:blipFill>
                        <a:blip r:embed="rId1"/>
                        <a:srcRect/>
                        <a:stretch>
                          <a:fillRect/>
                        </a:stretch>
                      </pic:blipFill>
                      <pic:spPr bwMode="auto">
                        <a:xfrm>
                          <a:off x="0" y="0"/>
                          <a:ext cx="2057400" cy="828675"/>
                        </a:xfrm>
                        <a:prstGeom prst="rect">
                          <a:avLst/>
                        </a:prstGeom>
                        <a:noFill/>
                        <a:ln w="9525">
                          <a:noFill/>
                          <a:miter lim="800000"/>
                          <a:headEnd/>
                          <a:tailEnd/>
                        </a:ln>
                      </pic:spPr>
                    </pic:pic>
                  </a:graphicData>
                </a:graphic>
              </wp:inline>
            </w:drawing>
          </w:r>
        </w:p>
      </w:tc>
      <w:tc>
        <w:tcPr>
          <w:tcW w:w="1738" w:type="pct"/>
          <w:tcBorders>
            <w:top w:val="single" w:sz="4" w:space="0" w:color="808080" w:themeColor="background1" w:themeShade="80"/>
            <w:bottom w:val="single" w:sz="4" w:space="0" w:color="808080" w:themeColor="background1" w:themeShade="80"/>
          </w:tcBorders>
          <w:vAlign w:val="center"/>
        </w:tcPr>
        <w:p w:rsidR="001E2545" w:rsidRPr="0036380F" w:rsidRDefault="001E2545" w:rsidP="00B27481">
          <w:pPr>
            <w:pStyle w:val="Cabealho"/>
            <w:spacing w:before="240" w:after="240"/>
            <w:jc w:val="center"/>
            <w:rPr>
              <w:rFonts w:ascii="Arial" w:hAnsi="Arial" w:cs="Arial"/>
              <w:sz w:val="24"/>
              <w:szCs w:val="24"/>
            </w:rPr>
          </w:pPr>
        </w:p>
      </w:tc>
      <w:tc>
        <w:tcPr>
          <w:tcW w:w="2134" w:type="pct"/>
          <w:tcBorders>
            <w:top w:val="single" w:sz="4" w:space="0" w:color="808080" w:themeColor="background1" w:themeShade="80"/>
            <w:bottom w:val="single" w:sz="4" w:space="0" w:color="808080" w:themeColor="background1" w:themeShade="80"/>
          </w:tcBorders>
          <w:vAlign w:val="center"/>
        </w:tcPr>
        <w:p w:rsidR="001E2545" w:rsidRPr="00B27481" w:rsidRDefault="000038D3" w:rsidP="00B27481">
          <w:pPr>
            <w:pStyle w:val="Cabealho"/>
            <w:spacing w:before="240" w:after="240"/>
            <w:jc w:val="right"/>
            <w:rPr>
              <w:rFonts w:ascii="Arial" w:hAnsi="Arial" w:cs="Arial"/>
              <w:b/>
              <w:sz w:val="28"/>
              <w:szCs w:val="28"/>
            </w:rPr>
          </w:pPr>
          <w:r>
            <w:rPr>
              <w:rFonts w:ascii="Arial" w:hAnsi="Arial" w:cs="Arial"/>
              <w:b/>
              <w:sz w:val="28"/>
              <w:szCs w:val="28"/>
            </w:rPr>
            <w:t xml:space="preserve">CONSULTA PÚBLICA Nº </w:t>
          </w:r>
          <w:r>
            <w:rPr>
              <w:rFonts w:ascii="Arial" w:hAnsi="Arial" w:cs="Arial"/>
              <w:b/>
              <w:sz w:val="28"/>
              <w:szCs w:val="28"/>
            </w:rPr>
            <w:t>08</w:t>
          </w:r>
          <w:r w:rsidR="001E2545" w:rsidRPr="00B27481">
            <w:rPr>
              <w:rFonts w:ascii="Arial" w:hAnsi="Arial" w:cs="Arial"/>
              <w:b/>
              <w:sz w:val="28"/>
              <w:szCs w:val="28"/>
            </w:rPr>
            <w:t>/201</w:t>
          </w:r>
          <w:r w:rsidR="001E2545">
            <w:rPr>
              <w:rFonts w:ascii="Arial" w:hAnsi="Arial" w:cs="Arial"/>
              <w:b/>
              <w:sz w:val="28"/>
              <w:szCs w:val="28"/>
            </w:rPr>
            <w:t>4</w:t>
          </w:r>
        </w:p>
        <w:p w:rsidR="001E2545" w:rsidRPr="00B27481" w:rsidRDefault="001E2545" w:rsidP="00B27481">
          <w:pPr>
            <w:pStyle w:val="Cabealho"/>
            <w:spacing w:before="240" w:after="240"/>
            <w:jc w:val="right"/>
            <w:rPr>
              <w:rFonts w:ascii="Arial" w:hAnsi="Arial" w:cs="Arial"/>
              <w:sz w:val="28"/>
              <w:szCs w:val="28"/>
            </w:rPr>
          </w:pPr>
          <w:r w:rsidRPr="00B27481">
            <w:rPr>
              <w:rFonts w:ascii="Arial" w:hAnsi="Arial" w:cs="Arial"/>
              <w:sz w:val="28"/>
              <w:szCs w:val="28"/>
            </w:rPr>
            <w:t>Formulário de comentários e sugestões</w:t>
          </w:r>
        </w:p>
      </w:tc>
    </w:tr>
  </w:tbl>
  <w:p w:rsidR="001E2545" w:rsidRPr="0036380F" w:rsidRDefault="001E2545" w:rsidP="006E3142">
    <w:pPr>
      <w:pStyle w:val="Cabealho"/>
    </w:pPr>
  </w:p>
  <w:p w:rsidR="001E2545" w:rsidRDefault="001E254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95212"/>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42DA54ED"/>
    <w:multiLevelType w:val="hybridMultilevel"/>
    <w:tmpl w:val="A38A6F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0C843CF"/>
    <w:multiLevelType w:val="hybridMultilevel"/>
    <w:tmpl w:val="6AACDF14"/>
    <w:lvl w:ilvl="0" w:tplc="2D3CC52A">
      <w:start w:val="1"/>
      <w:numFmt w:val="lowerRoman"/>
      <w:lvlText w:val="(%1)"/>
      <w:lvlJc w:val="left"/>
      <w:pPr>
        <w:tabs>
          <w:tab w:val="num" w:pos="1428"/>
        </w:tabs>
        <w:ind w:left="1428" w:hanging="72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3">
    <w:nsid w:val="7A44429A"/>
    <w:multiLevelType w:val="multilevel"/>
    <w:tmpl w:val="A2A8B380"/>
    <w:lvl w:ilvl="0">
      <w:start w:val="1"/>
      <w:numFmt w:val="decimal"/>
      <w:lvlText w:val="%1."/>
      <w:lvlJc w:val="left"/>
      <w:pPr>
        <w:ind w:left="720" w:hanging="360"/>
      </w:pPr>
      <w:rPr>
        <w:rFonts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7A862E16"/>
    <w:multiLevelType w:val="multilevel"/>
    <w:tmpl w:val="9F88B3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tu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4"/>
  </w:num>
  <w:num w:numId="4">
    <w:abstractNumId w:val="0"/>
  </w:num>
  <w:num w:numId="5">
    <w:abstractNumId w:val="1"/>
  </w:num>
  <w:num w:numId="6">
    <w:abstractNumId w:val="4"/>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842086"/>
    <w:rsid w:val="000038D3"/>
    <w:rsid w:val="000428B8"/>
    <w:rsid w:val="00051BF6"/>
    <w:rsid w:val="00053723"/>
    <w:rsid w:val="00066A3F"/>
    <w:rsid w:val="000B1ADA"/>
    <w:rsid w:val="000C0894"/>
    <w:rsid w:val="000C719F"/>
    <w:rsid w:val="000C7F3F"/>
    <w:rsid w:val="000E6393"/>
    <w:rsid w:val="00103946"/>
    <w:rsid w:val="00132EAD"/>
    <w:rsid w:val="0013319A"/>
    <w:rsid w:val="001626AC"/>
    <w:rsid w:val="00164521"/>
    <w:rsid w:val="001779C8"/>
    <w:rsid w:val="00190D47"/>
    <w:rsid w:val="00193747"/>
    <w:rsid w:val="001965B6"/>
    <w:rsid w:val="001A50D6"/>
    <w:rsid w:val="001B5A30"/>
    <w:rsid w:val="001C370B"/>
    <w:rsid w:val="001E2545"/>
    <w:rsid w:val="001E3E24"/>
    <w:rsid w:val="001F7D00"/>
    <w:rsid w:val="00213A84"/>
    <w:rsid w:val="002158EA"/>
    <w:rsid w:val="0022423B"/>
    <w:rsid w:val="00242A12"/>
    <w:rsid w:val="0024354D"/>
    <w:rsid w:val="002519B8"/>
    <w:rsid w:val="00256685"/>
    <w:rsid w:val="00264138"/>
    <w:rsid w:val="00291030"/>
    <w:rsid w:val="002F5055"/>
    <w:rsid w:val="00303ED5"/>
    <w:rsid w:val="003118CA"/>
    <w:rsid w:val="003126DD"/>
    <w:rsid w:val="00314BDB"/>
    <w:rsid w:val="0031685E"/>
    <w:rsid w:val="00325374"/>
    <w:rsid w:val="00327F69"/>
    <w:rsid w:val="003423E0"/>
    <w:rsid w:val="0035053D"/>
    <w:rsid w:val="0036380F"/>
    <w:rsid w:val="003B7B4E"/>
    <w:rsid w:val="003D32D7"/>
    <w:rsid w:val="003D73A8"/>
    <w:rsid w:val="003E67D5"/>
    <w:rsid w:val="003F402F"/>
    <w:rsid w:val="0040140A"/>
    <w:rsid w:val="00412AA7"/>
    <w:rsid w:val="00471ADB"/>
    <w:rsid w:val="004743B7"/>
    <w:rsid w:val="004873F0"/>
    <w:rsid w:val="004A005A"/>
    <w:rsid w:val="004C0021"/>
    <w:rsid w:val="004D421E"/>
    <w:rsid w:val="004E2512"/>
    <w:rsid w:val="0052234D"/>
    <w:rsid w:val="00531DE0"/>
    <w:rsid w:val="005600AD"/>
    <w:rsid w:val="00560A0A"/>
    <w:rsid w:val="0056683F"/>
    <w:rsid w:val="005B3CEF"/>
    <w:rsid w:val="005B7D75"/>
    <w:rsid w:val="005C4925"/>
    <w:rsid w:val="005C5B4E"/>
    <w:rsid w:val="005C6313"/>
    <w:rsid w:val="005D7856"/>
    <w:rsid w:val="005E21CC"/>
    <w:rsid w:val="005F63AA"/>
    <w:rsid w:val="00605710"/>
    <w:rsid w:val="00615A71"/>
    <w:rsid w:val="0062557C"/>
    <w:rsid w:val="00675939"/>
    <w:rsid w:val="00681D9C"/>
    <w:rsid w:val="006B5310"/>
    <w:rsid w:val="006E0ADD"/>
    <w:rsid w:val="006E3142"/>
    <w:rsid w:val="006E7756"/>
    <w:rsid w:val="006F2035"/>
    <w:rsid w:val="006F3664"/>
    <w:rsid w:val="006F3A7E"/>
    <w:rsid w:val="00700EB7"/>
    <w:rsid w:val="007129F6"/>
    <w:rsid w:val="007178AA"/>
    <w:rsid w:val="0072452B"/>
    <w:rsid w:val="0073098E"/>
    <w:rsid w:val="00733A91"/>
    <w:rsid w:val="00750574"/>
    <w:rsid w:val="0075625B"/>
    <w:rsid w:val="00764EB1"/>
    <w:rsid w:val="007662D7"/>
    <w:rsid w:val="007772BF"/>
    <w:rsid w:val="007C5E72"/>
    <w:rsid w:val="007E2560"/>
    <w:rsid w:val="007F7936"/>
    <w:rsid w:val="0083277E"/>
    <w:rsid w:val="008351D4"/>
    <w:rsid w:val="00842086"/>
    <w:rsid w:val="00842D11"/>
    <w:rsid w:val="008500E0"/>
    <w:rsid w:val="00854EE5"/>
    <w:rsid w:val="008577A0"/>
    <w:rsid w:val="008662E8"/>
    <w:rsid w:val="008675C5"/>
    <w:rsid w:val="0088379D"/>
    <w:rsid w:val="008979E9"/>
    <w:rsid w:val="008A1F8E"/>
    <w:rsid w:val="008A590E"/>
    <w:rsid w:val="008B4AE8"/>
    <w:rsid w:val="008C48BA"/>
    <w:rsid w:val="008C62CA"/>
    <w:rsid w:val="008C7956"/>
    <w:rsid w:val="008E7D7F"/>
    <w:rsid w:val="009008B1"/>
    <w:rsid w:val="00913328"/>
    <w:rsid w:val="0092578B"/>
    <w:rsid w:val="009271A8"/>
    <w:rsid w:val="0093043A"/>
    <w:rsid w:val="00932C2C"/>
    <w:rsid w:val="009338B1"/>
    <w:rsid w:val="00933D58"/>
    <w:rsid w:val="00946CA8"/>
    <w:rsid w:val="00961F43"/>
    <w:rsid w:val="009748B8"/>
    <w:rsid w:val="0098717F"/>
    <w:rsid w:val="00990E49"/>
    <w:rsid w:val="0099566E"/>
    <w:rsid w:val="009C3C15"/>
    <w:rsid w:val="009D2602"/>
    <w:rsid w:val="009F7F3F"/>
    <w:rsid w:val="00A20B9D"/>
    <w:rsid w:val="00A45683"/>
    <w:rsid w:val="00A45CED"/>
    <w:rsid w:val="00A5305C"/>
    <w:rsid w:val="00A621DA"/>
    <w:rsid w:val="00A74504"/>
    <w:rsid w:val="00A824BE"/>
    <w:rsid w:val="00A83578"/>
    <w:rsid w:val="00A91CC2"/>
    <w:rsid w:val="00AA379E"/>
    <w:rsid w:val="00AC3176"/>
    <w:rsid w:val="00AC75F7"/>
    <w:rsid w:val="00AC7BE3"/>
    <w:rsid w:val="00AE02B1"/>
    <w:rsid w:val="00AE12FC"/>
    <w:rsid w:val="00AE4DDE"/>
    <w:rsid w:val="00AF4936"/>
    <w:rsid w:val="00B0244C"/>
    <w:rsid w:val="00B05316"/>
    <w:rsid w:val="00B13EFD"/>
    <w:rsid w:val="00B25C8F"/>
    <w:rsid w:val="00B27481"/>
    <w:rsid w:val="00B43186"/>
    <w:rsid w:val="00B618F0"/>
    <w:rsid w:val="00B720A9"/>
    <w:rsid w:val="00B86889"/>
    <w:rsid w:val="00B86F0B"/>
    <w:rsid w:val="00BA4C9C"/>
    <w:rsid w:val="00BA7695"/>
    <w:rsid w:val="00BC0EEB"/>
    <w:rsid w:val="00BC1BBC"/>
    <w:rsid w:val="00BC5307"/>
    <w:rsid w:val="00BE0221"/>
    <w:rsid w:val="00BE7D52"/>
    <w:rsid w:val="00C102D5"/>
    <w:rsid w:val="00C13DC4"/>
    <w:rsid w:val="00C16990"/>
    <w:rsid w:val="00C24F21"/>
    <w:rsid w:val="00C44A37"/>
    <w:rsid w:val="00C470D9"/>
    <w:rsid w:val="00C5285C"/>
    <w:rsid w:val="00C57F32"/>
    <w:rsid w:val="00C85228"/>
    <w:rsid w:val="00C855A3"/>
    <w:rsid w:val="00CA289A"/>
    <w:rsid w:val="00CB2275"/>
    <w:rsid w:val="00CC632B"/>
    <w:rsid w:val="00CE7A79"/>
    <w:rsid w:val="00CF02E6"/>
    <w:rsid w:val="00CF2944"/>
    <w:rsid w:val="00CF4789"/>
    <w:rsid w:val="00D03FA1"/>
    <w:rsid w:val="00D2631D"/>
    <w:rsid w:val="00D27009"/>
    <w:rsid w:val="00D7419B"/>
    <w:rsid w:val="00D80467"/>
    <w:rsid w:val="00D84AB1"/>
    <w:rsid w:val="00D84B5D"/>
    <w:rsid w:val="00D93212"/>
    <w:rsid w:val="00DE3FFC"/>
    <w:rsid w:val="00DF611E"/>
    <w:rsid w:val="00E2386E"/>
    <w:rsid w:val="00E32096"/>
    <w:rsid w:val="00E548B4"/>
    <w:rsid w:val="00E736B6"/>
    <w:rsid w:val="00E91A45"/>
    <w:rsid w:val="00E95C13"/>
    <w:rsid w:val="00EA1DC4"/>
    <w:rsid w:val="00EB0D64"/>
    <w:rsid w:val="00ED1233"/>
    <w:rsid w:val="00ED28BC"/>
    <w:rsid w:val="00EF4AFC"/>
    <w:rsid w:val="00EF7DA8"/>
    <w:rsid w:val="00F250F0"/>
    <w:rsid w:val="00F503A5"/>
    <w:rsid w:val="00F63177"/>
    <w:rsid w:val="00F637D7"/>
    <w:rsid w:val="00F91015"/>
    <w:rsid w:val="00F94F1B"/>
    <w:rsid w:val="00F959F9"/>
    <w:rsid w:val="00FA2A0C"/>
    <w:rsid w:val="00FB26CA"/>
    <w:rsid w:val="00FB378C"/>
    <w:rsid w:val="00FC1A0A"/>
    <w:rsid w:val="00FD1404"/>
    <w:rsid w:val="00FD6760"/>
    <w:rsid w:val="00FE083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086"/>
    <w:pPr>
      <w:jc w:val="left"/>
    </w:pPr>
    <w:rPr>
      <w:sz w:val="20"/>
      <w:szCs w:val="20"/>
      <w:lang w:eastAsia="pt-BR"/>
    </w:rPr>
  </w:style>
  <w:style w:type="paragraph" w:styleId="Ttulo3">
    <w:name w:val="heading 3"/>
    <w:basedOn w:val="Normal"/>
    <w:next w:val="Normal"/>
    <w:link w:val="Ttulo3Char"/>
    <w:unhideWhenUsed/>
    <w:qFormat/>
    <w:rsid w:val="00750574"/>
    <w:pPr>
      <w:keepNext/>
      <w:numPr>
        <w:ilvl w:val="2"/>
        <w:numId w:val="3"/>
      </w:numPr>
      <w:spacing w:before="240" w:after="60"/>
      <w:jc w:val="both"/>
      <w:outlineLvl w:val="2"/>
    </w:pPr>
    <w:rPr>
      <w:bCs/>
      <w:sz w:val="22"/>
      <w:szCs w:val="26"/>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uiPriority w:val="35"/>
    <w:qFormat/>
    <w:rsid w:val="00842086"/>
    <w:rPr>
      <w:rFonts w:ascii="Arial" w:hAnsi="Arial"/>
      <w:sz w:val="24"/>
    </w:rPr>
  </w:style>
  <w:style w:type="table" w:styleId="Tabelacomgrade">
    <w:name w:val="Table Grid"/>
    <w:basedOn w:val="Tabelanormal"/>
    <w:uiPriority w:val="59"/>
    <w:rsid w:val="00842086"/>
    <w:pPr>
      <w:jc w:val="left"/>
    </w:pPr>
    <w:rPr>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842086"/>
    <w:pPr>
      <w:tabs>
        <w:tab w:val="center" w:pos="4252"/>
        <w:tab w:val="right" w:pos="8504"/>
      </w:tabs>
    </w:pPr>
  </w:style>
  <w:style w:type="character" w:customStyle="1" w:styleId="CabealhoChar">
    <w:name w:val="Cabeçalho Char"/>
    <w:basedOn w:val="Fontepargpadro"/>
    <w:link w:val="Cabealho"/>
    <w:uiPriority w:val="99"/>
    <w:locked/>
    <w:rsid w:val="00842086"/>
    <w:rPr>
      <w:rFonts w:eastAsia="Times New Roman" w:cs="Times New Roman"/>
      <w:sz w:val="20"/>
      <w:szCs w:val="20"/>
      <w:lang w:eastAsia="pt-BR"/>
    </w:rPr>
  </w:style>
  <w:style w:type="paragraph" w:styleId="Rodap">
    <w:name w:val="footer"/>
    <w:basedOn w:val="Normal"/>
    <w:link w:val="RodapChar"/>
    <w:uiPriority w:val="99"/>
    <w:unhideWhenUsed/>
    <w:rsid w:val="00842086"/>
    <w:pPr>
      <w:tabs>
        <w:tab w:val="center" w:pos="4252"/>
        <w:tab w:val="right" w:pos="8504"/>
      </w:tabs>
    </w:pPr>
  </w:style>
  <w:style w:type="character" w:customStyle="1" w:styleId="RodapChar">
    <w:name w:val="Rodapé Char"/>
    <w:basedOn w:val="Fontepargpadro"/>
    <w:link w:val="Rodap"/>
    <w:uiPriority w:val="99"/>
    <w:locked/>
    <w:rsid w:val="00842086"/>
    <w:rPr>
      <w:rFonts w:eastAsia="Times New Roman" w:cs="Times New Roman"/>
      <w:sz w:val="20"/>
      <w:szCs w:val="20"/>
      <w:lang w:eastAsia="pt-BR"/>
    </w:rPr>
  </w:style>
  <w:style w:type="paragraph" w:styleId="Textodebalo">
    <w:name w:val="Balloon Text"/>
    <w:basedOn w:val="Normal"/>
    <w:link w:val="TextodebaloChar"/>
    <w:uiPriority w:val="99"/>
    <w:semiHidden/>
    <w:unhideWhenUsed/>
    <w:rsid w:val="00842086"/>
    <w:rPr>
      <w:rFonts w:ascii="Tahoma" w:hAnsi="Tahoma" w:cs="Tahoma"/>
      <w:sz w:val="16"/>
      <w:szCs w:val="16"/>
    </w:rPr>
  </w:style>
  <w:style w:type="character" w:customStyle="1" w:styleId="TextodebaloChar">
    <w:name w:val="Texto de balão Char"/>
    <w:basedOn w:val="Fontepargpadro"/>
    <w:link w:val="Textodebalo"/>
    <w:uiPriority w:val="99"/>
    <w:semiHidden/>
    <w:locked/>
    <w:rsid w:val="00842086"/>
    <w:rPr>
      <w:rFonts w:ascii="Tahoma" w:hAnsi="Tahoma" w:cs="Tahoma"/>
      <w:sz w:val="16"/>
      <w:szCs w:val="16"/>
      <w:lang w:eastAsia="pt-BR"/>
    </w:rPr>
  </w:style>
  <w:style w:type="character" w:styleId="TextodoEspaoReservado">
    <w:name w:val="Placeholder Text"/>
    <w:basedOn w:val="Fontepargpadro"/>
    <w:uiPriority w:val="99"/>
    <w:semiHidden/>
    <w:rsid w:val="00A91CC2"/>
    <w:rPr>
      <w:rFonts w:cs="Times New Roman"/>
      <w:color w:val="808080"/>
    </w:rPr>
  </w:style>
  <w:style w:type="paragraph" w:styleId="Textodenotaderodap">
    <w:name w:val="footnote text"/>
    <w:basedOn w:val="Normal"/>
    <w:link w:val="TextodenotaderodapChar"/>
    <w:uiPriority w:val="99"/>
    <w:semiHidden/>
    <w:unhideWhenUsed/>
    <w:rsid w:val="0040140A"/>
  </w:style>
  <w:style w:type="character" w:customStyle="1" w:styleId="TextodenotaderodapChar">
    <w:name w:val="Texto de nota de rodapé Char"/>
    <w:basedOn w:val="Fontepargpadro"/>
    <w:link w:val="Textodenotaderodap"/>
    <w:uiPriority w:val="99"/>
    <w:semiHidden/>
    <w:locked/>
    <w:rsid w:val="0040140A"/>
    <w:rPr>
      <w:rFonts w:eastAsia="Times New Roman" w:cs="Times New Roman"/>
      <w:sz w:val="20"/>
      <w:szCs w:val="20"/>
      <w:lang w:eastAsia="pt-BR"/>
    </w:rPr>
  </w:style>
  <w:style w:type="character" w:styleId="Refdenotaderodap">
    <w:name w:val="footnote reference"/>
    <w:basedOn w:val="Fontepargpadro"/>
    <w:uiPriority w:val="99"/>
    <w:semiHidden/>
    <w:unhideWhenUsed/>
    <w:rsid w:val="0040140A"/>
    <w:rPr>
      <w:rFonts w:cs="Times New Roman"/>
      <w:vertAlign w:val="superscript"/>
    </w:rPr>
  </w:style>
  <w:style w:type="paragraph" w:styleId="PargrafodaLista">
    <w:name w:val="List Paragraph"/>
    <w:basedOn w:val="Normal"/>
    <w:uiPriority w:val="34"/>
    <w:qFormat/>
    <w:rsid w:val="0036380F"/>
    <w:pPr>
      <w:ind w:left="720"/>
      <w:contextualSpacing/>
    </w:pPr>
  </w:style>
  <w:style w:type="character" w:styleId="Hyperlink">
    <w:name w:val="Hyperlink"/>
    <w:basedOn w:val="Fontepargpadro"/>
    <w:uiPriority w:val="99"/>
    <w:unhideWhenUsed/>
    <w:rsid w:val="00932C2C"/>
    <w:rPr>
      <w:rFonts w:cs="Times New Roman"/>
      <w:color w:val="0000FF" w:themeColor="hyperlink"/>
      <w:u w:val="single"/>
    </w:rPr>
  </w:style>
  <w:style w:type="paragraph" w:styleId="Corpodetexto3">
    <w:name w:val="Body Text 3"/>
    <w:basedOn w:val="Normal"/>
    <w:link w:val="Corpodetexto3Char"/>
    <w:unhideWhenUsed/>
    <w:rsid w:val="00053723"/>
    <w:pPr>
      <w:spacing w:line="360" w:lineRule="auto"/>
      <w:jc w:val="both"/>
    </w:pPr>
    <w:rPr>
      <w:rFonts w:ascii="Erie" w:hAnsi="Erie"/>
      <w:b/>
      <w:sz w:val="24"/>
    </w:rPr>
  </w:style>
  <w:style w:type="character" w:customStyle="1" w:styleId="Corpodetexto3Char">
    <w:name w:val="Corpo de texto 3 Char"/>
    <w:basedOn w:val="Fontepargpadro"/>
    <w:link w:val="Corpodetexto3"/>
    <w:semiHidden/>
    <w:rsid w:val="00053723"/>
    <w:rPr>
      <w:rFonts w:ascii="Erie" w:hAnsi="Erie"/>
      <w:b/>
      <w:szCs w:val="20"/>
      <w:lang w:eastAsia="pt-BR"/>
    </w:rPr>
  </w:style>
  <w:style w:type="paragraph" w:customStyle="1" w:styleId="Importacao8">
    <w:name w:val="Importacao 8"/>
    <w:basedOn w:val="Normal"/>
    <w:link w:val="Importacao8Char"/>
    <w:qFormat/>
    <w:rsid w:val="00213A84"/>
    <w:rPr>
      <w:rFonts w:ascii="Arial" w:hAnsi="Arial"/>
      <w:sz w:val="24"/>
    </w:rPr>
  </w:style>
  <w:style w:type="character" w:customStyle="1" w:styleId="Importacao8Char">
    <w:name w:val="Importacao 8 Char"/>
    <w:basedOn w:val="Fontepargpadro"/>
    <w:link w:val="Importacao8"/>
    <w:rsid w:val="00213A84"/>
    <w:rPr>
      <w:rFonts w:ascii="Arial" w:hAnsi="Arial"/>
      <w:szCs w:val="20"/>
      <w:lang w:eastAsia="pt-BR"/>
    </w:rPr>
  </w:style>
  <w:style w:type="character" w:customStyle="1" w:styleId="Ttulo3Char">
    <w:name w:val="Título 3 Char"/>
    <w:basedOn w:val="Fontepargpadro"/>
    <w:link w:val="Ttulo3"/>
    <w:rsid w:val="00750574"/>
    <w:rPr>
      <w:bCs/>
      <w:sz w:val="22"/>
      <w:szCs w:val="26"/>
    </w:rPr>
  </w:style>
  <w:style w:type="paragraph" w:styleId="Recuodecorpodetexto">
    <w:name w:val="Body Text Indent"/>
    <w:basedOn w:val="Normal"/>
    <w:link w:val="RecuodecorpodetextoChar"/>
    <w:uiPriority w:val="99"/>
    <w:semiHidden/>
    <w:unhideWhenUsed/>
    <w:rsid w:val="004E2512"/>
    <w:pPr>
      <w:spacing w:after="120"/>
      <w:ind w:left="283"/>
    </w:pPr>
  </w:style>
  <w:style w:type="character" w:customStyle="1" w:styleId="RecuodecorpodetextoChar">
    <w:name w:val="Recuo de corpo de texto Char"/>
    <w:basedOn w:val="Fontepargpadro"/>
    <w:link w:val="Recuodecorpodetexto"/>
    <w:uiPriority w:val="99"/>
    <w:semiHidden/>
    <w:rsid w:val="004E2512"/>
    <w:rPr>
      <w:sz w:val="20"/>
      <w:szCs w:val="20"/>
      <w:lang w:eastAsia="pt-BR"/>
    </w:rPr>
  </w:style>
  <w:style w:type="character" w:customStyle="1" w:styleId="highlight">
    <w:name w:val="highlight"/>
    <w:basedOn w:val="Fontepargpadro"/>
    <w:rsid w:val="00B86F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086"/>
    <w:pPr>
      <w:jc w:val="left"/>
    </w:pPr>
    <w:rPr>
      <w:sz w:val="20"/>
      <w:szCs w:val="20"/>
      <w:lang w:eastAsia="pt-BR"/>
    </w:rPr>
  </w:style>
  <w:style w:type="paragraph" w:styleId="Ttulo3">
    <w:name w:val="heading 3"/>
    <w:basedOn w:val="Normal"/>
    <w:next w:val="Normal"/>
    <w:link w:val="Ttulo3Char"/>
    <w:unhideWhenUsed/>
    <w:qFormat/>
    <w:rsid w:val="00750574"/>
    <w:pPr>
      <w:keepNext/>
      <w:numPr>
        <w:ilvl w:val="2"/>
        <w:numId w:val="3"/>
      </w:numPr>
      <w:spacing w:before="240" w:after="60"/>
      <w:jc w:val="both"/>
      <w:outlineLvl w:val="2"/>
    </w:pPr>
    <w:rPr>
      <w:bCs/>
      <w:sz w:val="22"/>
      <w:szCs w:val="26"/>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uiPriority w:val="35"/>
    <w:qFormat/>
    <w:rsid w:val="00842086"/>
    <w:rPr>
      <w:rFonts w:ascii="Arial" w:hAnsi="Arial"/>
      <w:sz w:val="24"/>
    </w:rPr>
  </w:style>
  <w:style w:type="table" w:styleId="Tabelacomgrade">
    <w:name w:val="Table Grid"/>
    <w:basedOn w:val="Tabelanormal"/>
    <w:uiPriority w:val="59"/>
    <w:rsid w:val="00842086"/>
    <w:pPr>
      <w:jc w:val="left"/>
    </w:pPr>
    <w:rPr>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842086"/>
    <w:pPr>
      <w:tabs>
        <w:tab w:val="center" w:pos="4252"/>
        <w:tab w:val="right" w:pos="8504"/>
      </w:tabs>
    </w:pPr>
  </w:style>
  <w:style w:type="character" w:customStyle="1" w:styleId="CabealhoChar">
    <w:name w:val="Cabeçalho Char"/>
    <w:basedOn w:val="Fontepargpadro"/>
    <w:link w:val="Cabealho"/>
    <w:uiPriority w:val="99"/>
    <w:locked/>
    <w:rsid w:val="00842086"/>
    <w:rPr>
      <w:rFonts w:eastAsia="Times New Roman" w:cs="Times New Roman"/>
      <w:sz w:val="20"/>
      <w:szCs w:val="20"/>
      <w:lang w:eastAsia="pt-BR"/>
    </w:rPr>
  </w:style>
  <w:style w:type="paragraph" w:styleId="Rodap">
    <w:name w:val="footer"/>
    <w:basedOn w:val="Normal"/>
    <w:link w:val="RodapChar"/>
    <w:uiPriority w:val="99"/>
    <w:unhideWhenUsed/>
    <w:rsid w:val="00842086"/>
    <w:pPr>
      <w:tabs>
        <w:tab w:val="center" w:pos="4252"/>
        <w:tab w:val="right" w:pos="8504"/>
      </w:tabs>
    </w:pPr>
  </w:style>
  <w:style w:type="character" w:customStyle="1" w:styleId="RodapChar">
    <w:name w:val="Rodapé Char"/>
    <w:basedOn w:val="Fontepargpadro"/>
    <w:link w:val="Rodap"/>
    <w:uiPriority w:val="99"/>
    <w:locked/>
    <w:rsid w:val="00842086"/>
    <w:rPr>
      <w:rFonts w:eastAsia="Times New Roman" w:cs="Times New Roman"/>
      <w:sz w:val="20"/>
      <w:szCs w:val="20"/>
      <w:lang w:eastAsia="pt-BR"/>
    </w:rPr>
  </w:style>
  <w:style w:type="paragraph" w:styleId="Textodebalo">
    <w:name w:val="Balloon Text"/>
    <w:basedOn w:val="Normal"/>
    <w:link w:val="TextodebaloChar"/>
    <w:uiPriority w:val="99"/>
    <w:semiHidden/>
    <w:unhideWhenUsed/>
    <w:rsid w:val="00842086"/>
    <w:rPr>
      <w:rFonts w:ascii="Tahoma" w:hAnsi="Tahoma" w:cs="Tahoma"/>
      <w:sz w:val="16"/>
      <w:szCs w:val="16"/>
    </w:rPr>
  </w:style>
  <w:style w:type="character" w:customStyle="1" w:styleId="TextodebaloChar">
    <w:name w:val="Texto de balão Char"/>
    <w:basedOn w:val="Fontepargpadro"/>
    <w:link w:val="Textodebalo"/>
    <w:uiPriority w:val="99"/>
    <w:semiHidden/>
    <w:locked/>
    <w:rsid w:val="00842086"/>
    <w:rPr>
      <w:rFonts w:ascii="Tahoma" w:hAnsi="Tahoma" w:cs="Tahoma"/>
      <w:sz w:val="16"/>
      <w:szCs w:val="16"/>
      <w:lang w:eastAsia="pt-BR"/>
    </w:rPr>
  </w:style>
  <w:style w:type="character" w:styleId="TextodoEspaoReservado">
    <w:name w:val="Placeholder Text"/>
    <w:basedOn w:val="Fontepargpadro"/>
    <w:uiPriority w:val="99"/>
    <w:semiHidden/>
    <w:rsid w:val="00A91CC2"/>
    <w:rPr>
      <w:rFonts w:cs="Times New Roman"/>
      <w:color w:val="808080"/>
    </w:rPr>
  </w:style>
  <w:style w:type="paragraph" w:styleId="Textodenotaderodap">
    <w:name w:val="footnote text"/>
    <w:basedOn w:val="Normal"/>
    <w:link w:val="TextodenotaderodapChar"/>
    <w:uiPriority w:val="99"/>
    <w:semiHidden/>
    <w:unhideWhenUsed/>
    <w:rsid w:val="0040140A"/>
  </w:style>
  <w:style w:type="character" w:customStyle="1" w:styleId="TextodenotaderodapChar">
    <w:name w:val="Texto de nota de rodapé Char"/>
    <w:basedOn w:val="Fontepargpadro"/>
    <w:link w:val="Textodenotaderodap"/>
    <w:uiPriority w:val="99"/>
    <w:semiHidden/>
    <w:locked/>
    <w:rsid w:val="0040140A"/>
    <w:rPr>
      <w:rFonts w:eastAsia="Times New Roman" w:cs="Times New Roman"/>
      <w:sz w:val="20"/>
      <w:szCs w:val="20"/>
      <w:lang w:eastAsia="pt-BR"/>
    </w:rPr>
  </w:style>
  <w:style w:type="character" w:styleId="Refdenotaderodap">
    <w:name w:val="footnote reference"/>
    <w:basedOn w:val="Fontepargpadro"/>
    <w:uiPriority w:val="99"/>
    <w:semiHidden/>
    <w:unhideWhenUsed/>
    <w:rsid w:val="0040140A"/>
    <w:rPr>
      <w:rFonts w:cs="Times New Roman"/>
      <w:vertAlign w:val="superscript"/>
    </w:rPr>
  </w:style>
  <w:style w:type="paragraph" w:styleId="PargrafodaLista">
    <w:name w:val="List Paragraph"/>
    <w:basedOn w:val="Normal"/>
    <w:uiPriority w:val="34"/>
    <w:qFormat/>
    <w:rsid w:val="0036380F"/>
    <w:pPr>
      <w:ind w:left="720"/>
      <w:contextualSpacing/>
    </w:pPr>
  </w:style>
  <w:style w:type="character" w:styleId="Hyperlink">
    <w:name w:val="Hyperlink"/>
    <w:basedOn w:val="Fontepargpadro"/>
    <w:uiPriority w:val="99"/>
    <w:unhideWhenUsed/>
    <w:rsid w:val="00932C2C"/>
    <w:rPr>
      <w:rFonts w:cs="Times New Roman"/>
      <w:color w:val="0000FF" w:themeColor="hyperlink"/>
      <w:u w:val="single"/>
    </w:rPr>
  </w:style>
  <w:style w:type="paragraph" w:styleId="Corpodetexto3">
    <w:name w:val="Body Text 3"/>
    <w:basedOn w:val="Normal"/>
    <w:link w:val="Corpodetexto3Char"/>
    <w:unhideWhenUsed/>
    <w:rsid w:val="00053723"/>
    <w:pPr>
      <w:spacing w:line="360" w:lineRule="auto"/>
      <w:jc w:val="both"/>
    </w:pPr>
    <w:rPr>
      <w:rFonts w:ascii="Erie" w:hAnsi="Erie"/>
      <w:b/>
      <w:sz w:val="24"/>
    </w:rPr>
  </w:style>
  <w:style w:type="character" w:customStyle="1" w:styleId="Corpodetexto3Char">
    <w:name w:val="Corpo de texto 3 Char"/>
    <w:basedOn w:val="Fontepargpadro"/>
    <w:link w:val="Corpodetexto3"/>
    <w:semiHidden/>
    <w:rsid w:val="00053723"/>
    <w:rPr>
      <w:rFonts w:ascii="Erie" w:hAnsi="Erie"/>
      <w:b/>
      <w:szCs w:val="20"/>
      <w:lang w:eastAsia="pt-BR"/>
    </w:rPr>
  </w:style>
  <w:style w:type="paragraph" w:customStyle="1" w:styleId="Importacao8">
    <w:name w:val="Importacao 8"/>
    <w:basedOn w:val="Normal"/>
    <w:link w:val="Importacao8Char"/>
    <w:qFormat/>
    <w:rsid w:val="00213A84"/>
    <w:rPr>
      <w:rFonts w:ascii="Arial" w:hAnsi="Arial"/>
      <w:sz w:val="24"/>
    </w:rPr>
  </w:style>
  <w:style w:type="character" w:customStyle="1" w:styleId="Importacao8Char">
    <w:name w:val="Importacao 8 Char"/>
    <w:basedOn w:val="Fontepargpadro"/>
    <w:link w:val="Importacao8"/>
    <w:rsid w:val="00213A84"/>
    <w:rPr>
      <w:rFonts w:ascii="Arial" w:hAnsi="Arial"/>
      <w:szCs w:val="20"/>
      <w:lang w:eastAsia="pt-BR"/>
    </w:rPr>
  </w:style>
  <w:style w:type="character" w:customStyle="1" w:styleId="Ttulo3Char">
    <w:name w:val="Título 3 Char"/>
    <w:basedOn w:val="Fontepargpadro"/>
    <w:link w:val="Ttulo3"/>
    <w:rsid w:val="00750574"/>
    <w:rPr>
      <w:bCs/>
      <w:sz w:val="22"/>
      <w:szCs w:val="26"/>
    </w:rPr>
  </w:style>
  <w:style w:type="paragraph" w:styleId="Recuodecorpodetexto">
    <w:name w:val="Body Text Indent"/>
    <w:basedOn w:val="Normal"/>
    <w:link w:val="RecuodecorpodetextoChar"/>
    <w:uiPriority w:val="99"/>
    <w:semiHidden/>
    <w:unhideWhenUsed/>
    <w:rsid w:val="004E2512"/>
    <w:pPr>
      <w:spacing w:after="120"/>
      <w:ind w:left="283"/>
    </w:pPr>
  </w:style>
  <w:style w:type="character" w:customStyle="1" w:styleId="RecuodecorpodetextoChar">
    <w:name w:val="Recuo de corpo de texto Char"/>
    <w:basedOn w:val="Fontepargpadro"/>
    <w:link w:val="Recuodecorpodetexto"/>
    <w:uiPriority w:val="99"/>
    <w:semiHidden/>
    <w:rsid w:val="004E2512"/>
    <w:rPr>
      <w:sz w:val="20"/>
      <w:szCs w:val="20"/>
      <w:lang w:eastAsia="pt-BR"/>
    </w:rPr>
  </w:style>
  <w:style w:type="character" w:customStyle="1" w:styleId="highlight">
    <w:name w:val="highlight"/>
    <w:basedOn w:val="Fontepargpadro"/>
    <w:rsid w:val="00B86F0B"/>
  </w:style>
</w:styles>
</file>

<file path=word/webSettings.xml><?xml version="1.0" encoding="utf-8"?>
<w:webSettings xmlns:r="http://schemas.openxmlformats.org/officeDocument/2006/relationships" xmlns:w="http://schemas.openxmlformats.org/wordprocessingml/2006/main">
  <w:divs>
    <w:div w:id="445927927">
      <w:bodyDiv w:val="1"/>
      <w:marLeft w:val="0"/>
      <w:marRight w:val="0"/>
      <w:marTop w:val="0"/>
      <w:marBottom w:val="0"/>
      <w:divBdr>
        <w:top w:val="none" w:sz="0" w:space="0" w:color="auto"/>
        <w:left w:val="none" w:sz="0" w:space="0" w:color="auto"/>
        <w:bottom w:val="none" w:sz="0" w:space="0" w:color="auto"/>
        <w:right w:val="none" w:sz="0" w:space="0" w:color="auto"/>
      </w:divBdr>
    </w:div>
    <w:div w:id="153199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B960D-9C9F-4BA0-89E6-4880A3CCB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3247</Words>
  <Characters>17650</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ANP</Company>
  <LinksUpToDate>false</LinksUpToDate>
  <CharactersWithSpaces>20856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Peçanha</dc:creator>
  <cp:lastModifiedBy>Administrador</cp:lastModifiedBy>
  <cp:revision>3</cp:revision>
  <cp:lastPrinted>2014-06-26T19:43:00Z</cp:lastPrinted>
  <dcterms:created xsi:type="dcterms:W3CDTF">2014-06-26T19:59:00Z</dcterms:created>
  <dcterms:modified xsi:type="dcterms:W3CDTF">2014-06-27T15:13:00Z</dcterms:modified>
</cp:coreProperties>
</file>