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0F" w:rsidRPr="000C0894" w:rsidRDefault="006E3142" w:rsidP="00B27481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C0894">
        <w:rPr>
          <w:rFonts w:ascii="Arial" w:hAnsi="Arial" w:cs="Arial"/>
          <w:b/>
          <w:sz w:val="24"/>
          <w:szCs w:val="24"/>
        </w:rPr>
        <w:t>I</w:t>
      </w:r>
      <w:r w:rsidR="0036380F" w:rsidRPr="000C0894">
        <w:rPr>
          <w:rFonts w:ascii="Arial" w:hAnsi="Arial" w:cs="Arial"/>
          <w:b/>
          <w:sz w:val="24"/>
          <w:szCs w:val="24"/>
        </w:rPr>
        <w:t>nstruç</w:t>
      </w:r>
      <w:r w:rsidR="008A590E" w:rsidRPr="000C0894">
        <w:rPr>
          <w:rFonts w:ascii="Arial" w:hAnsi="Arial" w:cs="Arial"/>
          <w:b/>
          <w:sz w:val="24"/>
          <w:szCs w:val="24"/>
        </w:rPr>
        <w:t>ões para</w:t>
      </w:r>
      <w:r w:rsidR="0036380F" w:rsidRPr="000C0894">
        <w:rPr>
          <w:rFonts w:ascii="Arial" w:hAnsi="Arial" w:cs="Arial"/>
          <w:b/>
          <w:sz w:val="24"/>
          <w:szCs w:val="24"/>
        </w:rPr>
        <w:t xml:space="preserve"> preenchimento do formulário:</w:t>
      </w:r>
    </w:p>
    <w:p w:rsidR="008C62CA" w:rsidRDefault="008C62C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campo </w:t>
      </w:r>
      <w:r w:rsidRPr="008C62CA">
        <w:rPr>
          <w:rFonts w:ascii="Arial" w:hAnsi="Arial" w:cs="Arial"/>
          <w:sz w:val="24"/>
          <w:szCs w:val="24"/>
          <w:u w:val="single"/>
        </w:rPr>
        <w:t xml:space="preserve">Nome </w:t>
      </w:r>
      <w:r>
        <w:rPr>
          <w:rFonts w:ascii="Arial" w:hAnsi="Arial" w:cs="Arial"/>
          <w:sz w:val="24"/>
          <w:szCs w:val="24"/>
          <w:u w:val="single"/>
        </w:rPr>
        <w:t xml:space="preserve">completo </w:t>
      </w:r>
      <w:r w:rsidRPr="008C62CA">
        <w:rPr>
          <w:rFonts w:ascii="Arial" w:hAnsi="Arial" w:cs="Arial"/>
          <w:sz w:val="24"/>
          <w:szCs w:val="24"/>
          <w:u w:val="single"/>
        </w:rPr>
        <w:t>ou Instituição</w:t>
      </w:r>
      <w:r>
        <w:rPr>
          <w:rFonts w:ascii="Arial" w:hAnsi="Arial" w:cs="Arial"/>
          <w:sz w:val="24"/>
          <w:szCs w:val="24"/>
        </w:rPr>
        <w:t xml:space="preserve">, inserir o nome completo, caso os comentários ou sugestões </w:t>
      </w:r>
      <w:r w:rsidR="001F7D00">
        <w:rPr>
          <w:rFonts w:ascii="Arial" w:hAnsi="Arial" w:cs="Arial"/>
          <w:sz w:val="24"/>
          <w:szCs w:val="24"/>
        </w:rPr>
        <w:t xml:space="preserve">reflitam opinião pessoal, </w:t>
      </w:r>
      <w:r>
        <w:rPr>
          <w:rFonts w:ascii="Arial" w:hAnsi="Arial" w:cs="Arial"/>
          <w:sz w:val="24"/>
          <w:szCs w:val="24"/>
        </w:rPr>
        <w:t xml:space="preserve">ou inserir o nome da instituição, caso as contribuições </w:t>
      </w:r>
      <w:r w:rsidR="001F7D00">
        <w:rPr>
          <w:rFonts w:ascii="Arial" w:hAnsi="Arial" w:cs="Arial"/>
          <w:sz w:val="24"/>
          <w:szCs w:val="24"/>
        </w:rPr>
        <w:t>indiquem</w:t>
      </w:r>
      <w:r>
        <w:rPr>
          <w:rFonts w:ascii="Arial" w:hAnsi="Arial" w:cs="Arial"/>
          <w:sz w:val="24"/>
          <w:szCs w:val="24"/>
        </w:rPr>
        <w:t xml:space="preserve"> posição institucional;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Natureza da sugestão</w:t>
      </w:r>
      <w:r w:rsidR="00EA1DC4" w:rsidRPr="000C0894">
        <w:rPr>
          <w:rFonts w:ascii="Arial" w:hAnsi="Arial" w:cs="Arial"/>
          <w:sz w:val="24"/>
          <w:szCs w:val="24"/>
        </w:rPr>
        <w:t>, deve ser indicado</w:t>
      </w:r>
      <w:r w:rsidRPr="000C0894">
        <w:rPr>
          <w:rFonts w:ascii="Arial" w:hAnsi="Arial" w:cs="Arial"/>
          <w:sz w:val="24"/>
          <w:szCs w:val="24"/>
        </w:rPr>
        <w:t xml:space="preserve"> se a sugestão proposta é </w:t>
      </w:r>
      <w:r w:rsidR="006E7756">
        <w:rPr>
          <w:rFonts w:ascii="Arial" w:hAnsi="Arial" w:cs="Arial"/>
          <w:sz w:val="24"/>
          <w:szCs w:val="24"/>
        </w:rPr>
        <w:t xml:space="preserve">de </w:t>
      </w:r>
      <w:r w:rsidRPr="000C0894">
        <w:rPr>
          <w:rFonts w:ascii="Arial" w:hAnsi="Arial" w:cs="Arial"/>
          <w:sz w:val="24"/>
          <w:szCs w:val="24"/>
          <w:u w:val="single"/>
        </w:rPr>
        <w:t>Inclusão</w:t>
      </w:r>
      <w:r w:rsidRPr="000C0894">
        <w:rPr>
          <w:rFonts w:ascii="Arial" w:hAnsi="Arial" w:cs="Arial"/>
          <w:sz w:val="24"/>
          <w:szCs w:val="24"/>
        </w:rPr>
        <w:t xml:space="preserve">, </w:t>
      </w:r>
      <w:r w:rsidRPr="000C0894">
        <w:rPr>
          <w:rFonts w:ascii="Arial" w:hAnsi="Arial" w:cs="Arial"/>
          <w:sz w:val="24"/>
          <w:szCs w:val="24"/>
          <w:u w:val="single"/>
        </w:rPr>
        <w:t>Alteração</w:t>
      </w:r>
      <w:r w:rsidRPr="000C0894">
        <w:rPr>
          <w:rFonts w:ascii="Arial" w:hAnsi="Arial" w:cs="Arial"/>
          <w:sz w:val="24"/>
          <w:szCs w:val="24"/>
        </w:rPr>
        <w:t xml:space="preserve"> ou </w:t>
      </w:r>
      <w:r w:rsidRPr="000C0894">
        <w:rPr>
          <w:rFonts w:ascii="Arial" w:hAnsi="Arial" w:cs="Arial"/>
          <w:sz w:val="24"/>
          <w:szCs w:val="24"/>
          <w:u w:val="single"/>
        </w:rPr>
        <w:t>Exclusão</w:t>
      </w:r>
      <w:r w:rsidRPr="000C0894">
        <w:rPr>
          <w:rFonts w:ascii="Arial" w:hAnsi="Arial" w:cs="Arial"/>
          <w:sz w:val="24"/>
          <w:szCs w:val="24"/>
        </w:rPr>
        <w:t>;</w:t>
      </w:r>
    </w:p>
    <w:p w:rsidR="008A590E" w:rsidRPr="000C0894" w:rsidRDefault="0036380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Item</w:t>
      </w:r>
      <w:r w:rsidR="006E7756">
        <w:rPr>
          <w:rFonts w:ascii="Arial" w:hAnsi="Arial" w:cs="Arial"/>
          <w:sz w:val="24"/>
          <w:szCs w:val="24"/>
        </w:rPr>
        <w:t>, deve ser discriminado</w:t>
      </w:r>
      <w:r w:rsidRPr="000C0894">
        <w:rPr>
          <w:rFonts w:ascii="Arial" w:hAnsi="Arial" w:cs="Arial"/>
          <w:sz w:val="24"/>
          <w:szCs w:val="24"/>
        </w:rPr>
        <w:t xml:space="preserve"> </w:t>
      </w:r>
      <w:r w:rsidR="0024354D">
        <w:rPr>
          <w:rFonts w:ascii="Arial" w:hAnsi="Arial" w:cs="Arial"/>
          <w:sz w:val="24"/>
          <w:szCs w:val="24"/>
        </w:rPr>
        <w:t xml:space="preserve">o </w:t>
      </w:r>
      <w:r w:rsidR="00FD1404">
        <w:rPr>
          <w:rFonts w:ascii="Arial" w:hAnsi="Arial" w:cs="Arial"/>
          <w:sz w:val="24"/>
          <w:szCs w:val="24"/>
        </w:rPr>
        <w:t>artigo, o parágrafo e o inciso a que se refere o comentário ou a sugestão</w:t>
      </w:r>
      <w:r w:rsidR="008A590E" w:rsidRPr="000C0894">
        <w:rPr>
          <w:rFonts w:ascii="Arial" w:hAnsi="Arial" w:cs="Arial"/>
          <w:sz w:val="24"/>
          <w:szCs w:val="24"/>
        </w:rPr>
        <w:t xml:space="preserve">, </w:t>
      </w:r>
      <w:r w:rsidR="00FD1404">
        <w:rPr>
          <w:rFonts w:ascii="Arial" w:hAnsi="Arial" w:cs="Arial"/>
          <w:sz w:val="24"/>
          <w:szCs w:val="24"/>
        </w:rPr>
        <w:t>s</w:t>
      </w:r>
      <w:r w:rsidR="008A590E" w:rsidRPr="000C0894">
        <w:rPr>
          <w:rFonts w:ascii="Arial" w:hAnsi="Arial" w:cs="Arial"/>
          <w:sz w:val="24"/>
          <w:szCs w:val="24"/>
        </w:rPr>
        <w:t xml:space="preserve">em detalhar o seu </w:t>
      </w:r>
      <w:r w:rsidR="00FD1404">
        <w:rPr>
          <w:rFonts w:ascii="Arial" w:hAnsi="Arial" w:cs="Arial"/>
          <w:sz w:val="24"/>
          <w:szCs w:val="24"/>
        </w:rPr>
        <w:t xml:space="preserve">conteúdo (exemplo: </w:t>
      </w:r>
      <w:r w:rsidR="001A50D6">
        <w:rPr>
          <w:rFonts w:ascii="Arial" w:hAnsi="Arial" w:cs="Arial"/>
          <w:sz w:val="24"/>
          <w:szCs w:val="24"/>
        </w:rPr>
        <w:t>A</w:t>
      </w:r>
      <w:r w:rsidR="00FD1404">
        <w:rPr>
          <w:rFonts w:ascii="Arial" w:hAnsi="Arial" w:cs="Arial"/>
          <w:sz w:val="24"/>
          <w:szCs w:val="24"/>
        </w:rPr>
        <w:t>rt. 1º, §1º; Art. 6º, inciso I)</w:t>
      </w:r>
      <w:r w:rsidR="000C7F3F" w:rsidRPr="000C0894">
        <w:rPr>
          <w:rFonts w:ascii="Arial" w:hAnsi="Arial" w:cs="Arial"/>
          <w:sz w:val="24"/>
          <w:szCs w:val="24"/>
        </w:rPr>
        <w:t xml:space="preserve">. </w:t>
      </w:r>
      <w:r w:rsidR="002158EA" w:rsidRPr="000C0894">
        <w:rPr>
          <w:rFonts w:ascii="Arial" w:hAnsi="Arial" w:cs="Arial"/>
          <w:sz w:val="24"/>
          <w:szCs w:val="24"/>
        </w:rPr>
        <w:t xml:space="preserve">Caso a sugestão seja de </w:t>
      </w:r>
      <w:r w:rsidR="002158EA" w:rsidRPr="000C0894">
        <w:rPr>
          <w:rFonts w:ascii="Arial" w:hAnsi="Arial" w:cs="Arial"/>
          <w:sz w:val="24"/>
          <w:szCs w:val="24"/>
          <w:u w:val="single"/>
        </w:rPr>
        <w:t>Inclusão</w:t>
      </w:r>
      <w:r w:rsidR="002158EA" w:rsidRPr="000C0894">
        <w:rPr>
          <w:rFonts w:ascii="Arial" w:hAnsi="Arial" w:cs="Arial"/>
          <w:sz w:val="24"/>
          <w:szCs w:val="24"/>
        </w:rPr>
        <w:t>, deve-se es</w:t>
      </w:r>
      <w:r w:rsidR="00264138">
        <w:rPr>
          <w:rFonts w:ascii="Arial" w:hAnsi="Arial" w:cs="Arial"/>
          <w:sz w:val="24"/>
          <w:szCs w:val="24"/>
        </w:rPr>
        <w:t xml:space="preserve">pecificar o número que o </w:t>
      </w:r>
      <w:r w:rsidR="00FD1404">
        <w:rPr>
          <w:rFonts w:ascii="Arial" w:hAnsi="Arial" w:cs="Arial"/>
          <w:sz w:val="24"/>
          <w:szCs w:val="24"/>
        </w:rPr>
        <w:t xml:space="preserve">artigo, o parágrafo </w:t>
      </w:r>
      <w:r w:rsidR="003D73A8">
        <w:rPr>
          <w:rFonts w:ascii="Arial" w:hAnsi="Arial" w:cs="Arial"/>
          <w:sz w:val="24"/>
          <w:szCs w:val="24"/>
        </w:rPr>
        <w:t>e</w:t>
      </w:r>
      <w:r w:rsidR="00FD1404">
        <w:rPr>
          <w:rFonts w:ascii="Arial" w:hAnsi="Arial" w:cs="Arial"/>
          <w:sz w:val="24"/>
          <w:szCs w:val="24"/>
        </w:rPr>
        <w:t xml:space="preserve"> o inciso teriam, </w:t>
      </w:r>
      <w:r w:rsidR="000C7F3F" w:rsidRPr="000C0894">
        <w:rPr>
          <w:rFonts w:ascii="Arial" w:hAnsi="Arial" w:cs="Arial"/>
          <w:sz w:val="24"/>
          <w:szCs w:val="24"/>
        </w:rPr>
        <w:t>caso</w:t>
      </w:r>
      <w:r w:rsidR="002158EA" w:rsidRPr="000C0894">
        <w:rPr>
          <w:rFonts w:ascii="Arial" w:hAnsi="Arial" w:cs="Arial"/>
          <w:sz w:val="24"/>
          <w:szCs w:val="24"/>
        </w:rPr>
        <w:t xml:space="preserve"> a sugestão fosse acatada pela ANP;</w:t>
      </w:r>
    </w:p>
    <w:p w:rsidR="002158EA" w:rsidRPr="000C0894" w:rsidRDefault="002158EA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="00BA4C9C" w:rsidRPr="000C0894">
        <w:rPr>
          <w:rFonts w:ascii="Arial" w:hAnsi="Arial" w:cs="Arial"/>
          <w:sz w:val="24"/>
          <w:szCs w:val="24"/>
          <w:u w:val="single"/>
        </w:rPr>
        <w:t>Proposta de alteração</w:t>
      </w:r>
      <w:r w:rsidR="00BA4C9C" w:rsidRPr="000C0894">
        <w:rPr>
          <w:rFonts w:ascii="Arial" w:hAnsi="Arial" w:cs="Arial"/>
          <w:sz w:val="24"/>
          <w:szCs w:val="24"/>
        </w:rPr>
        <w:t xml:space="preserve">, </w:t>
      </w:r>
      <w:r w:rsidR="000C7F3F" w:rsidRPr="000C0894">
        <w:rPr>
          <w:rFonts w:ascii="Arial" w:hAnsi="Arial" w:cs="Arial"/>
          <w:sz w:val="24"/>
          <w:szCs w:val="24"/>
        </w:rPr>
        <w:t xml:space="preserve">deve ser redigida a redação proposta para o item, em sua versão final. Não se deve usar texto tachado, negrito, sublinhado ou destacado em cores. Caso a sugestão seja de </w:t>
      </w:r>
      <w:r w:rsidR="000C7F3F" w:rsidRPr="000C0894">
        <w:rPr>
          <w:rFonts w:ascii="Arial" w:hAnsi="Arial" w:cs="Arial"/>
          <w:sz w:val="24"/>
          <w:szCs w:val="24"/>
          <w:u w:val="single"/>
        </w:rPr>
        <w:t>Exclusão</w:t>
      </w:r>
      <w:r w:rsidR="00932C2C" w:rsidRPr="000C0894">
        <w:rPr>
          <w:rFonts w:ascii="Arial" w:hAnsi="Arial" w:cs="Arial"/>
          <w:sz w:val="24"/>
          <w:szCs w:val="24"/>
        </w:rPr>
        <w:t>, deve-</w:t>
      </w:r>
      <w:r w:rsidR="000C7F3F" w:rsidRPr="000C0894">
        <w:rPr>
          <w:rFonts w:ascii="Arial" w:hAnsi="Arial" w:cs="Arial"/>
          <w:sz w:val="24"/>
          <w:szCs w:val="24"/>
        </w:rPr>
        <w:t>se deixar o campo em branco;</w:t>
      </w:r>
    </w:p>
    <w:p w:rsidR="000C7F3F" w:rsidRPr="000C0894" w:rsidRDefault="000C7F3F" w:rsidP="00B27481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C0894">
        <w:rPr>
          <w:rFonts w:ascii="Arial" w:hAnsi="Arial" w:cs="Arial"/>
          <w:sz w:val="24"/>
          <w:szCs w:val="24"/>
        </w:rPr>
        <w:t xml:space="preserve">No campo </w:t>
      </w:r>
      <w:r w:rsidRPr="000C0894">
        <w:rPr>
          <w:rFonts w:ascii="Arial" w:hAnsi="Arial" w:cs="Arial"/>
          <w:sz w:val="24"/>
          <w:szCs w:val="24"/>
          <w:u w:val="single"/>
        </w:rPr>
        <w:t>Justificativa</w:t>
      </w:r>
      <w:r w:rsidRPr="000C0894">
        <w:rPr>
          <w:rFonts w:ascii="Arial" w:hAnsi="Arial" w:cs="Arial"/>
          <w:sz w:val="24"/>
          <w:szCs w:val="24"/>
        </w:rPr>
        <w:t xml:space="preserve">, deve ser descrita </w:t>
      </w:r>
      <w:r w:rsidR="00EA1DC4" w:rsidRPr="000C0894">
        <w:rPr>
          <w:rFonts w:ascii="Arial" w:hAnsi="Arial" w:cs="Arial"/>
          <w:sz w:val="24"/>
          <w:szCs w:val="24"/>
        </w:rPr>
        <w:t xml:space="preserve">a </w:t>
      </w:r>
      <w:r w:rsidRPr="000C0894">
        <w:rPr>
          <w:rFonts w:ascii="Arial" w:hAnsi="Arial" w:cs="Arial"/>
          <w:sz w:val="24"/>
          <w:szCs w:val="24"/>
        </w:rPr>
        <w:t xml:space="preserve">justificativa </w:t>
      </w:r>
      <w:r w:rsidR="00EA1DC4" w:rsidRPr="000C0894">
        <w:rPr>
          <w:rFonts w:ascii="Arial" w:hAnsi="Arial" w:cs="Arial"/>
          <w:sz w:val="24"/>
          <w:szCs w:val="24"/>
        </w:rPr>
        <w:t>para a sugestã</w:t>
      </w:r>
      <w:r w:rsidR="008351D4">
        <w:rPr>
          <w:rFonts w:ascii="Arial" w:hAnsi="Arial" w:cs="Arial"/>
          <w:sz w:val="24"/>
          <w:szCs w:val="24"/>
        </w:rPr>
        <w:t>o proposta.</w:t>
      </w:r>
    </w:p>
    <w:p w:rsidR="006E7756" w:rsidRDefault="006E7756" w:rsidP="008A590E">
      <w:pPr>
        <w:rPr>
          <w:rFonts w:ascii="Arial" w:hAnsi="Arial" w:cs="Arial"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24354D" w:rsidRDefault="0024354D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FB378C" w:rsidRDefault="00FB378C" w:rsidP="008A590E">
      <w:pPr>
        <w:rPr>
          <w:rFonts w:ascii="Arial" w:hAnsi="Arial" w:cs="Arial"/>
          <w:b/>
          <w:sz w:val="24"/>
          <w:szCs w:val="24"/>
        </w:rPr>
      </w:pPr>
    </w:p>
    <w:p w:rsidR="008A590E" w:rsidRPr="00FB378C" w:rsidRDefault="008A590E" w:rsidP="00FB378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FB378C">
        <w:rPr>
          <w:rFonts w:ascii="Arial" w:hAnsi="Arial" w:cs="Arial"/>
          <w:b/>
          <w:sz w:val="24"/>
          <w:szCs w:val="24"/>
        </w:rPr>
        <w:t>E</w:t>
      </w:r>
      <w:r w:rsidR="00932C2C" w:rsidRPr="00FB378C">
        <w:rPr>
          <w:rFonts w:ascii="Arial" w:hAnsi="Arial" w:cs="Arial"/>
          <w:b/>
          <w:sz w:val="24"/>
          <w:szCs w:val="24"/>
        </w:rPr>
        <w:t>xemplo de preenchimento do formulário de comentários e sugestões:</w:t>
      </w:r>
    </w:p>
    <w:tbl>
      <w:tblPr>
        <w:tblStyle w:val="Tabelacomgrade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710"/>
        <w:gridCol w:w="2084"/>
        <w:gridCol w:w="5177"/>
        <w:gridCol w:w="5205"/>
      </w:tblGrid>
      <w:tr w:rsidR="004873F0" w:rsidRPr="000C0894" w:rsidTr="00242A12">
        <w:trPr>
          <w:trHeight w:val="1474"/>
          <w:tblHeader/>
        </w:trPr>
        <w:tc>
          <w:tcPr>
            <w:tcW w:w="603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735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826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836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0C0894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4873F0" w:rsidRPr="000C0894" w:rsidTr="00242A12">
        <w:trPr>
          <w:trHeight w:val="1474"/>
        </w:trPr>
        <w:tc>
          <w:tcPr>
            <w:tcW w:w="603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735" w:type="pct"/>
            <w:vAlign w:val="center"/>
          </w:tcPr>
          <w:p w:rsidR="004873F0" w:rsidRPr="000C0894" w:rsidRDefault="001A50D6" w:rsidP="00615A71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szCs w:val="24"/>
              </w:rPr>
              <w:t>Art. 1º, §1º</w:t>
            </w:r>
          </w:p>
        </w:tc>
        <w:tc>
          <w:tcPr>
            <w:tcW w:w="1826" w:type="pct"/>
            <w:vAlign w:val="center"/>
          </w:tcPr>
          <w:p w:rsidR="004873F0" w:rsidRPr="000C0894" w:rsidRDefault="00A20B9D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(Texto proposto)</w:t>
            </w:r>
          </w:p>
        </w:tc>
        <w:tc>
          <w:tcPr>
            <w:tcW w:w="1836" w:type="pct"/>
            <w:vAlign w:val="center"/>
          </w:tcPr>
          <w:p w:rsidR="004873F0" w:rsidRPr="000C0894" w:rsidRDefault="00A20B9D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(Justificativa)</w:t>
            </w:r>
          </w:p>
        </w:tc>
      </w:tr>
      <w:tr w:rsidR="004873F0" w:rsidRPr="000C0894" w:rsidTr="00242A12">
        <w:trPr>
          <w:trHeight w:val="1474"/>
        </w:trPr>
        <w:tc>
          <w:tcPr>
            <w:tcW w:w="603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 w:rsidRPr="000C0894"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735" w:type="pct"/>
            <w:vAlign w:val="center"/>
          </w:tcPr>
          <w:p w:rsidR="004873F0" w:rsidRPr="000C0894" w:rsidRDefault="001A50D6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szCs w:val="24"/>
              </w:rPr>
              <w:t>Art. 6º, inciso I</w:t>
            </w:r>
          </w:p>
        </w:tc>
        <w:tc>
          <w:tcPr>
            <w:tcW w:w="1826" w:type="pct"/>
            <w:vAlign w:val="center"/>
          </w:tcPr>
          <w:p w:rsidR="004873F0" w:rsidRPr="000C0894" w:rsidRDefault="004873F0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36" w:type="pct"/>
            <w:vAlign w:val="center"/>
          </w:tcPr>
          <w:p w:rsidR="004873F0" w:rsidRPr="000C0894" w:rsidRDefault="00A20B9D" w:rsidP="00FB378C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</w:t>
            </w:r>
            <w:r w:rsidR="004873F0" w:rsidRPr="000C0894">
              <w:rPr>
                <w:rFonts w:cs="Arial"/>
                <w:color w:val="000000" w:themeColor="text1"/>
                <w:szCs w:val="24"/>
              </w:rPr>
              <w:t>Justificativa</w:t>
            </w:r>
            <w:r>
              <w:rPr>
                <w:rFonts w:cs="Arial"/>
                <w:color w:val="000000" w:themeColor="text1"/>
                <w:szCs w:val="24"/>
              </w:rPr>
              <w:t>)</w:t>
            </w:r>
          </w:p>
        </w:tc>
      </w:tr>
    </w:tbl>
    <w:p w:rsidR="006E3142" w:rsidRPr="000C0894" w:rsidRDefault="006E3142" w:rsidP="00FB378C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</w:p>
    <w:p w:rsidR="006E3142" w:rsidRPr="000C0894" w:rsidRDefault="006E3142" w:rsidP="00242A12">
      <w:pPr>
        <w:pStyle w:val="Legenda"/>
        <w:spacing w:before="120" w:after="120" w:line="360" w:lineRule="auto"/>
        <w:jc w:val="both"/>
        <w:rPr>
          <w:rFonts w:cs="Arial"/>
          <w:b/>
          <w:szCs w:val="24"/>
        </w:rPr>
      </w:pPr>
      <w:r w:rsidRPr="000C0894">
        <w:rPr>
          <w:rFonts w:cs="Arial"/>
          <w:b/>
          <w:szCs w:val="24"/>
        </w:rPr>
        <w:t>Instruções para envio do formulário:</w:t>
      </w:r>
    </w:p>
    <w:p w:rsidR="006E3142" w:rsidRDefault="006E3142" w:rsidP="00242A12">
      <w:pPr>
        <w:pStyle w:val="Legenda"/>
        <w:spacing w:before="120" w:after="120" w:line="360" w:lineRule="auto"/>
        <w:jc w:val="both"/>
        <w:rPr>
          <w:rFonts w:cs="Arial"/>
          <w:snapToGrid w:val="0"/>
          <w:color w:val="000000"/>
          <w:szCs w:val="24"/>
        </w:rPr>
      </w:pPr>
      <w:r w:rsidRPr="000C0894">
        <w:rPr>
          <w:rFonts w:cs="Arial"/>
          <w:szCs w:val="24"/>
        </w:rPr>
        <w:t xml:space="preserve">Após o preenchimento deste formulário, remeta-o à Agência Nacional do Petróleo, Gás Natural e Biocombustíveis (ANP) até </w:t>
      </w:r>
      <w:r w:rsidR="00531DE0">
        <w:rPr>
          <w:rFonts w:eastAsia="PMingLiU" w:cs="Arial"/>
          <w:color w:val="000000"/>
          <w:szCs w:val="24"/>
        </w:rPr>
        <w:t xml:space="preserve">às </w:t>
      </w:r>
      <w:r w:rsidR="00531DE0" w:rsidRPr="00531DE0">
        <w:rPr>
          <w:rFonts w:eastAsia="PMingLiU" w:cs="Arial"/>
          <w:b/>
          <w:color w:val="000000"/>
          <w:szCs w:val="24"/>
        </w:rPr>
        <w:t>17 horas do</w:t>
      </w:r>
      <w:r w:rsidRPr="00531DE0">
        <w:rPr>
          <w:rFonts w:eastAsia="PMingLiU" w:cs="Arial"/>
          <w:b/>
          <w:color w:val="000000"/>
          <w:szCs w:val="24"/>
        </w:rPr>
        <w:t xml:space="preserve"> dia </w:t>
      </w:r>
      <w:r w:rsidR="00B720A9">
        <w:rPr>
          <w:rFonts w:eastAsia="PMingLiU" w:cs="Arial"/>
          <w:b/>
          <w:color w:val="000000"/>
          <w:szCs w:val="24"/>
        </w:rPr>
        <w:t>26</w:t>
      </w:r>
      <w:r w:rsidRPr="00531DE0">
        <w:rPr>
          <w:rFonts w:eastAsia="PMingLiU" w:cs="Arial"/>
          <w:b/>
          <w:color w:val="000000"/>
          <w:szCs w:val="24"/>
        </w:rPr>
        <w:t xml:space="preserve"> de </w:t>
      </w:r>
      <w:r w:rsidR="00531DE0" w:rsidRPr="00531DE0">
        <w:rPr>
          <w:rFonts w:eastAsia="PMingLiU" w:cs="Arial"/>
          <w:b/>
          <w:color w:val="000000"/>
          <w:szCs w:val="24"/>
        </w:rPr>
        <w:t>junho</w:t>
      </w:r>
      <w:r w:rsidRPr="00531DE0">
        <w:rPr>
          <w:rFonts w:eastAsia="PMingLiU" w:cs="Arial"/>
          <w:b/>
          <w:color w:val="000000"/>
          <w:szCs w:val="24"/>
        </w:rPr>
        <w:t xml:space="preserve"> de 201</w:t>
      </w:r>
      <w:r w:rsidR="00531DE0" w:rsidRPr="00531DE0">
        <w:rPr>
          <w:rFonts w:eastAsia="PMingLiU" w:cs="Arial"/>
          <w:b/>
          <w:color w:val="000000"/>
          <w:szCs w:val="24"/>
        </w:rPr>
        <w:t>4</w:t>
      </w:r>
      <w:r w:rsidRPr="000C0894">
        <w:rPr>
          <w:rFonts w:eastAsia="PMingLiU" w:cs="Arial"/>
          <w:color w:val="000000"/>
          <w:szCs w:val="24"/>
        </w:rPr>
        <w:t xml:space="preserve"> </w:t>
      </w:r>
      <w:r w:rsidRPr="000C0894">
        <w:rPr>
          <w:rFonts w:cs="Arial"/>
          <w:szCs w:val="24"/>
        </w:rPr>
        <w:t>pelo</w:t>
      </w:r>
      <w:r w:rsidRPr="000C0894">
        <w:rPr>
          <w:rFonts w:cs="Arial"/>
          <w:b/>
          <w:szCs w:val="24"/>
        </w:rPr>
        <w:t xml:space="preserve"> </w:t>
      </w:r>
      <w:r w:rsidRPr="000C0894">
        <w:rPr>
          <w:rFonts w:cs="Arial"/>
          <w:szCs w:val="24"/>
        </w:rPr>
        <w:t xml:space="preserve">e-mail </w:t>
      </w:r>
      <w:hyperlink r:id="rId8" w:history="1">
        <w:r w:rsidR="00B720A9" w:rsidRPr="007A2820">
          <w:rPr>
            <w:rStyle w:val="Hyperlink"/>
            <w:rFonts w:cs="Arial"/>
            <w:szCs w:val="24"/>
          </w:rPr>
          <w:t>scm@anp.gov.br</w:t>
        </w:r>
      </w:hyperlink>
      <w:r w:rsidRPr="000C0894">
        <w:rPr>
          <w:rFonts w:cs="Arial"/>
          <w:szCs w:val="24"/>
        </w:rPr>
        <w:t xml:space="preserve">. </w:t>
      </w:r>
      <w:r w:rsidRPr="000C0894">
        <w:rPr>
          <w:rFonts w:cs="Arial"/>
          <w:snapToGrid w:val="0"/>
          <w:color w:val="000000"/>
          <w:szCs w:val="24"/>
        </w:rPr>
        <w:t>A utilização deste formulário é obrigatória. Não serão aceitas sugestões e comentários fora do padrão deste formulário.</w:t>
      </w:r>
    </w:p>
    <w:p w:rsidR="00242A12" w:rsidRPr="00242A12" w:rsidRDefault="00242A12" w:rsidP="00242A1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42A12">
        <w:rPr>
          <w:rFonts w:ascii="Arial" w:hAnsi="Arial" w:cs="Arial"/>
          <w:b/>
          <w:sz w:val="24"/>
          <w:szCs w:val="24"/>
        </w:rPr>
        <w:t>Observação:</w:t>
      </w:r>
      <w:r>
        <w:rPr>
          <w:rFonts w:ascii="Arial" w:hAnsi="Arial" w:cs="Arial"/>
          <w:sz w:val="24"/>
          <w:szCs w:val="24"/>
        </w:rPr>
        <w:t xml:space="preserve"> o</w:t>
      </w:r>
      <w:r w:rsidRPr="00242A12">
        <w:rPr>
          <w:rFonts w:ascii="Arial" w:hAnsi="Arial" w:cs="Arial"/>
          <w:sz w:val="24"/>
          <w:szCs w:val="24"/>
        </w:rPr>
        <w:t xml:space="preserve">s formulários enviados à ANP serão disponibilizados na íntegra no sítio </w:t>
      </w:r>
      <w:hyperlink r:id="rId9" w:history="1">
        <w:r w:rsidR="00AA379E" w:rsidRPr="00291030">
          <w:rPr>
            <w:rStyle w:val="Hyperlink"/>
            <w:rFonts w:ascii="Arial" w:hAnsi="Arial" w:cs="Arial"/>
            <w:sz w:val="24"/>
            <w:szCs w:val="24"/>
          </w:rPr>
          <w:t>http://www.anp.gov.br</w:t>
        </w:r>
      </w:hyperlink>
      <w:r>
        <w:rPr>
          <w:rFonts w:ascii="Arial" w:hAnsi="Arial" w:cs="Arial"/>
          <w:sz w:val="24"/>
          <w:szCs w:val="24"/>
        </w:rPr>
        <w:t>, após o fim do período de Consulta P</w:t>
      </w:r>
      <w:r w:rsidR="00AA379E">
        <w:rPr>
          <w:rFonts w:ascii="Arial" w:hAnsi="Arial" w:cs="Arial"/>
          <w:sz w:val="24"/>
          <w:szCs w:val="24"/>
        </w:rPr>
        <w:t>ública.</w:t>
      </w:r>
    </w:p>
    <w:p w:rsidR="00242A12" w:rsidRDefault="00242A12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6E3142" w:rsidRPr="00C855A3" w:rsidRDefault="006E3142" w:rsidP="00615A71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C855A3">
        <w:rPr>
          <w:rFonts w:ascii="Arial" w:hAnsi="Arial" w:cs="Arial"/>
          <w:b/>
          <w:sz w:val="28"/>
        </w:rPr>
        <w:t xml:space="preserve">FORMULÁRIO DE </w:t>
      </w:r>
      <w:r>
        <w:rPr>
          <w:rFonts w:ascii="Arial" w:hAnsi="Arial" w:cs="Arial"/>
          <w:b/>
          <w:sz w:val="28"/>
        </w:rPr>
        <w:t>COMENTÁRIOS E SUGESTÕES</w:t>
      </w:r>
    </w:p>
    <w:p w:rsidR="006E3142" w:rsidRDefault="006E3142" w:rsidP="001779C8">
      <w:pPr>
        <w:pStyle w:val="Legenda"/>
        <w:spacing w:before="120" w:after="120" w:line="360" w:lineRule="auto"/>
        <w:jc w:val="center"/>
        <w:rPr>
          <w:rFonts w:cs="Arial"/>
        </w:rPr>
      </w:pPr>
      <w:r>
        <w:rPr>
          <w:rFonts w:cs="Arial"/>
        </w:rPr>
        <w:t>CONSULTA</w:t>
      </w:r>
      <w:r w:rsidRPr="0062557C">
        <w:rPr>
          <w:rFonts w:cs="Arial"/>
        </w:rPr>
        <w:t xml:space="preserve"> PÚBLICA Nº </w:t>
      </w:r>
      <w:r w:rsidR="00700EB7">
        <w:rPr>
          <w:rFonts w:cs="Arial"/>
        </w:rPr>
        <w:t>8</w:t>
      </w:r>
      <w:r w:rsidRPr="0062557C">
        <w:rPr>
          <w:rFonts w:cs="Arial"/>
        </w:rPr>
        <w:t>/</w:t>
      </w:r>
      <w:r>
        <w:rPr>
          <w:rFonts w:cs="Arial"/>
        </w:rPr>
        <w:t>201</w:t>
      </w:r>
      <w:r w:rsidR="004873F0">
        <w:rPr>
          <w:rFonts w:cs="Arial"/>
        </w:rPr>
        <w:t>4</w:t>
      </w:r>
      <w:r w:rsidRPr="0062557C">
        <w:rPr>
          <w:rFonts w:cs="Arial"/>
        </w:rPr>
        <w:t xml:space="preserve"> </w:t>
      </w:r>
      <w:r>
        <w:rPr>
          <w:rFonts w:cs="Arial"/>
        </w:rPr>
        <w:t>–</w:t>
      </w:r>
      <w:r w:rsidRPr="0062557C">
        <w:rPr>
          <w:rFonts w:cs="Arial"/>
        </w:rPr>
        <w:t xml:space="preserve"> </w:t>
      </w:r>
      <w:r w:rsidR="00B720A9">
        <w:rPr>
          <w:rFonts w:cs="Arial"/>
        </w:rPr>
        <w:t>0</w:t>
      </w:r>
      <w:r w:rsidR="001779C8">
        <w:rPr>
          <w:rFonts w:cs="Arial"/>
        </w:rPr>
        <w:t>6</w:t>
      </w:r>
      <w:r>
        <w:rPr>
          <w:rFonts w:cs="Arial"/>
        </w:rPr>
        <w:t>/0</w:t>
      </w:r>
      <w:r w:rsidR="00B720A9">
        <w:rPr>
          <w:rFonts w:cs="Arial"/>
        </w:rPr>
        <w:t>6</w:t>
      </w:r>
      <w:r w:rsidR="001779C8">
        <w:rPr>
          <w:rFonts w:cs="Arial"/>
        </w:rPr>
        <w:t>/2014</w:t>
      </w:r>
      <w:r>
        <w:rPr>
          <w:rFonts w:cs="Arial"/>
        </w:rPr>
        <w:t xml:space="preserve"> a </w:t>
      </w:r>
      <w:r w:rsidR="00B720A9">
        <w:rPr>
          <w:rFonts w:cs="Arial"/>
        </w:rPr>
        <w:t>26</w:t>
      </w:r>
      <w:r>
        <w:rPr>
          <w:rFonts w:cs="Arial"/>
        </w:rPr>
        <w:t>/0</w:t>
      </w:r>
      <w:r w:rsidR="001779C8">
        <w:rPr>
          <w:rFonts w:cs="Arial"/>
        </w:rPr>
        <w:t>6</w:t>
      </w:r>
      <w:r>
        <w:rPr>
          <w:rFonts w:cs="Arial"/>
        </w:rPr>
        <w:t>/201</w:t>
      </w:r>
      <w:r w:rsidR="001779C8">
        <w:rPr>
          <w:rFonts w:cs="Arial"/>
        </w:rPr>
        <w:t>4</w:t>
      </w:r>
    </w:p>
    <w:p w:rsidR="008C62CA" w:rsidRDefault="008C62CA" w:rsidP="008C62CA"/>
    <w:p w:rsidR="008C62CA" w:rsidRDefault="008C62CA" w:rsidP="008C62CA"/>
    <w:tbl>
      <w:tblPr>
        <w:tblStyle w:val="Tabelacomgrade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1710"/>
        <w:gridCol w:w="12466"/>
      </w:tblGrid>
      <w:tr w:rsidR="008C62CA" w:rsidRPr="00932C2C" w:rsidTr="00EF7DA8">
        <w:trPr>
          <w:trHeight w:val="850"/>
          <w:tblHeader/>
        </w:trPr>
        <w:tc>
          <w:tcPr>
            <w:tcW w:w="603" w:type="pct"/>
            <w:vAlign w:val="center"/>
          </w:tcPr>
          <w:p w:rsidR="008C62CA" w:rsidRPr="00932C2C" w:rsidRDefault="008C62CA" w:rsidP="008C62CA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 xml:space="preserve">Nome </w:t>
            </w:r>
            <w:r w:rsidR="00BC0EEB">
              <w:rPr>
                <w:rFonts w:cs="Arial"/>
                <w:b/>
                <w:color w:val="000000" w:themeColor="text1"/>
                <w:szCs w:val="24"/>
              </w:rPr>
              <w:t xml:space="preserve">completo </w:t>
            </w:r>
            <w:r>
              <w:rPr>
                <w:rFonts w:cs="Arial"/>
                <w:b/>
                <w:color w:val="000000" w:themeColor="text1"/>
                <w:szCs w:val="24"/>
              </w:rPr>
              <w:t xml:space="preserve">ou </w:t>
            </w:r>
            <w:r w:rsidR="00242A12">
              <w:rPr>
                <w:rFonts w:cs="Arial"/>
                <w:b/>
                <w:color w:val="000000" w:themeColor="text1"/>
                <w:szCs w:val="24"/>
              </w:rPr>
              <w:t>I</w:t>
            </w:r>
            <w:r>
              <w:rPr>
                <w:rFonts w:cs="Arial"/>
                <w:b/>
                <w:color w:val="000000" w:themeColor="text1"/>
                <w:szCs w:val="24"/>
              </w:rPr>
              <w:t>nstituição</w:t>
            </w:r>
          </w:p>
        </w:tc>
        <w:tc>
          <w:tcPr>
            <w:tcW w:w="4397" w:type="pct"/>
            <w:vAlign w:val="center"/>
          </w:tcPr>
          <w:p w:rsidR="008C62CA" w:rsidRPr="00AF4936" w:rsidRDefault="005C7C9A" w:rsidP="00AF4936">
            <w:pPr>
              <w:pStyle w:val="Legenda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PETROBRAS</w:t>
            </w:r>
          </w:p>
        </w:tc>
      </w:tr>
    </w:tbl>
    <w:p w:rsidR="008C62CA" w:rsidRDefault="008C62CA" w:rsidP="008C62CA"/>
    <w:p w:rsidR="008C62CA" w:rsidRPr="008C62CA" w:rsidRDefault="008C62CA" w:rsidP="008C62CA"/>
    <w:p w:rsidR="006E3142" w:rsidRDefault="006E3142" w:rsidP="00842086">
      <w:pPr>
        <w:pStyle w:val="Legenda"/>
        <w:jc w:val="both"/>
        <w:rPr>
          <w:rFonts w:cs="Arial"/>
          <w:b/>
          <w:szCs w:val="24"/>
        </w:rPr>
      </w:pPr>
    </w:p>
    <w:tbl>
      <w:tblPr>
        <w:tblStyle w:val="Tabelacomgrade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1572"/>
        <w:gridCol w:w="2396"/>
        <w:gridCol w:w="5071"/>
        <w:gridCol w:w="5137"/>
      </w:tblGrid>
      <w:tr w:rsidR="004873F0" w:rsidRPr="00932C2C" w:rsidTr="00356AA7">
        <w:trPr>
          <w:trHeight w:val="850"/>
          <w:tblHeader/>
        </w:trPr>
        <w:tc>
          <w:tcPr>
            <w:tcW w:w="554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4873F0" w:rsidRPr="00932C2C" w:rsidRDefault="004873F0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845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4873F0" w:rsidRPr="00932C2C" w:rsidRDefault="004873F0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789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4873F0" w:rsidRPr="00932C2C" w:rsidRDefault="004873F0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812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4873F0" w:rsidRPr="00932C2C" w:rsidRDefault="004873F0" w:rsidP="000C0894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932C2C"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4873F0" w:rsidRPr="00932C2C" w:rsidTr="00356AA7">
        <w:trPr>
          <w:trHeight w:val="2268"/>
        </w:trPr>
        <w:tc>
          <w:tcPr>
            <w:tcW w:w="554" w:type="pct"/>
            <w:vAlign w:val="center"/>
          </w:tcPr>
          <w:p w:rsidR="004873F0" w:rsidRPr="000C0894" w:rsidRDefault="00350E8F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845" w:type="pct"/>
            <w:vAlign w:val="center"/>
          </w:tcPr>
          <w:p w:rsidR="004873F0" w:rsidRPr="000C0894" w:rsidRDefault="00350E8F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3.1.2. (b)</w:t>
            </w:r>
          </w:p>
        </w:tc>
        <w:tc>
          <w:tcPr>
            <w:tcW w:w="1789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12" w:type="pct"/>
            <w:vAlign w:val="center"/>
          </w:tcPr>
          <w:p w:rsidR="00350E8F" w:rsidRPr="00F16F02" w:rsidRDefault="00350E8F" w:rsidP="00350E8F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F02">
              <w:rPr>
                <w:rFonts w:ascii="Times New Roman" w:hAnsi="Times New Roman"/>
                <w:sz w:val="22"/>
                <w:szCs w:val="22"/>
              </w:rPr>
              <w:t>(i)</w:t>
            </w:r>
            <w:r w:rsidR="002756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16F02">
              <w:rPr>
                <w:rFonts w:ascii="Times New Roman" w:hAnsi="Times New Roman"/>
                <w:sz w:val="22"/>
                <w:szCs w:val="22"/>
              </w:rPr>
              <w:tab/>
              <w:t>a penalidade de suspensão temporária de participação em licitação não seria aplicável à presente hipótese, considerando que a Chamada Pública não se trata de procedimento de licitação. A licitação pode ser conceituada como “o procedimento administrativo vinculado por meio do qual os entes da Administração Públi</w:t>
            </w:r>
            <w:bookmarkStart w:id="0" w:name="_GoBack"/>
            <w:bookmarkEnd w:id="0"/>
            <w:r w:rsidRPr="00F16F02">
              <w:rPr>
                <w:rFonts w:ascii="Times New Roman" w:hAnsi="Times New Roman"/>
                <w:sz w:val="22"/>
                <w:szCs w:val="22"/>
              </w:rPr>
              <w:t>ca e aqueles por ela controlados selecionam a melhor proposta entre as oferecidas pelos vários interessados, com dois objetivos – a celebração de contrato, ou a obtenção do melhor trabalho técnico, artístico ou científico” (José dos Santos Carvalho Filho. Manual de Direito Administrativo. 19ª ed. Rio de Janeiro: Lumen Juris, 2008, p.217). Deste modo, considerando que o procedimento de Chamada Pública é, nos termos do art. 2º, VII da Lei do Gás, o “procedimento, com garantia de acesso a todos os interessados, que tem por finalidade a contratação de capacidade de transporte em dutos existentes, a serem construídos ou ampliados”, verificamos que tal procedimento não se enquadra no conceito de procedimento licitatório, razão pela qual não seria aplicável a penalidade mencionada acima aos carregadores interessados em participar da Chamada Pública, já que a proibição prevista na Lei nº 8.666/93 é de participar em licitação e não em Chamada Pública;</w:t>
            </w:r>
          </w:p>
          <w:p w:rsidR="00350E8F" w:rsidRPr="00F16F02" w:rsidRDefault="00350E8F" w:rsidP="00350E8F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F02">
              <w:rPr>
                <w:rFonts w:ascii="Times New Roman" w:hAnsi="Times New Roman"/>
                <w:sz w:val="22"/>
                <w:szCs w:val="22"/>
              </w:rPr>
              <w:t>(ii)</w:t>
            </w:r>
            <w:r w:rsidRPr="00F16F02">
              <w:rPr>
                <w:rFonts w:ascii="Times New Roman" w:hAnsi="Times New Roman"/>
                <w:sz w:val="22"/>
                <w:szCs w:val="22"/>
              </w:rPr>
              <w:tab/>
              <w:t xml:space="preserve">No que se refere ao impedimento de contratar com a Administração, entendemos que há argumentos para defender a não aplicação de tal vedação ao presente caso, considerando que o carregador não celebra um contrato propriamente dito com a ANP, mas tão somente um Termo de Compromisso, o qual, de acordo com a presente minuta é o “documento a ser entregue pelos Carregadores à ANP, por meio do qual o Carregador se compromete, de forma irrevogável e irretratável, a adquirir a Capacidade Alocada de Transporte decorrente do processo de Chamada Pública”. Quem celebrará contrato com a Administração será o transportador (Contrato de Concessão), cabendo ao carregador celebrar Contrato de Transporte com o vencedor da licitação. </w:t>
            </w:r>
          </w:p>
          <w:p w:rsidR="004873F0" w:rsidRPr="00F16F02" w:rsidRDefault="00350E8F" w:rsidP="00350E8F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F02">
              <w:rPr>
                <w:rFonts w:ascii="Times New Roman" w:hAnsi="Times New Roman"/>
                <w:sz w:val="22"/>
                <w:szCs w:val="22"/>
              </w:rPr>
              <w:t>Assim, a princípio, pode-se argumentar que o impedimento de contratar com a Administração não poderia ser utilizado como causa de inelegibilidade de participação na Chamada Pública, pois tratar-se-ia de uma interpretação extensiva da disposição constante do art. 87 da Lei nº 8.666/93, o que não é cabível.</w:t>
            </w:r>
          </w:p>
        </w:tc>
      </w:tr>
      <w:tr w:rsidR="004873F0" w:rsidRPr="00932C2C" w:rsidTr="00356AA7">
        <w:trPr>
          <w:trHeight w:val="2268"/>
        </w:trPr>
        <w:tc>
          <w:tcPr>
            <w:tcW w:w="554" w:type="pct"/>
            <w:vAlign w:val="center"/>
          </w:tcPr>
          <w:p w:rsidR="004873F0" w:rsidRPr="000C0894" w:rsidRDefault="009F3731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845" w:type="pct"/>
            <w:vAlign w:val="center"/>
          </w:tcPr>
          <w:p w:rsidR="004873F0" w:rsidRPr="000C0894" w:rsidRDefault="009F3731" w:rsidP="000C0894">
            <w:pPr>
              <w:pStyle w:val="Legenda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3.1.3. (b)</w:t>
            </w:r>
          </w:p>
        </w:tc>
        <w:tc>
          <w:tcPr>
            <w:tcW w:w="1789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12" w:type="pct"/>
            <w:vAlign w:val="center"/>
          </w:tcPr>
          <w:p w:rsidR="009F3731" w:rsidRPr="00F16F02" w:rsidRDefault="009F3731" w:rsidP="009F3731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F02">
              <w:rPr>
                <w:rFonts w:ascii="Times New Roman" w:hAnsi="Times New Roman"/>
                <w:sz w:val="22"/>
                <w:szCs w:val="22"/>
              </w:rPr>
              <w:t>No que se refere à vedação constante do item 3.1.3 (b), já nos manifestamos acerca da ilegalidade de imposição de vedação nesse sentido, conforme exposto ao longo da Consulta e Audiência Pública nº 18/13, que deu ensejo à publicação da Resolução ANP nº 51/13, que dispõe acerca da autorização para prática de atividade de carregamento de gás natural.</w:t>
            </w:r>
          </w:p>
          <w:p w:rsidR="009F3731" w:rsidRPr="00F16F02" w:rsidRDefault="009F3731" w:rsidP="009F3731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F02">
              <w:rPr>
                <w:rFonts w:ascii="Times New Roman" w:hAnsi="Times New Roman"/>
                <w:sz w:val="22"/>
                <w:szCs w:val="22"/>
              </w:rPr>
              <w:t>Deste modo, verificamos que o referido item traz disposição análoga à constante do artigo 3º, §1º, II da mencionada Resolução, vedando o exercício da atividade de carregamento por sociedades ou consórcios autorizados a exercer a atividade de carregamento pela ANP e que possuam relação societária de controle ou coligação com o transportador do gasoduto Itaboraí-Guapimirim ou com participante de consórcio constituído para atuar como transportador no referido gasoduto.</w:t>
            </w:r>
          </w:p>
          <w:p w:rsidR="009F3731" w:rsidRPr="00F16F02" w:rsidRDefault="009F3731" w:rsidP="009F3731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F02">
              <w:rPr>
                <w:rFonts w:ascii="Times New Roman" w:hAnsi="Times New Roman"/>
                <w:sz w:val="22"/>
                <w:szCs w:val="22"/>
              </w:rPr>
              <w:t>Assim, considerando que o presente item da minuta de Edital de Chamada Pública possui como único fundamento normativo a referida Resolução ANP nº 51/13, sobre a qual reiteramos nosso entendimento acerca de sua ilegalidade quanto a tal aspecto, solicitamos a exclusão de tal previsão imposta pela ANP, pelos motivos que passamos a expor.</w:t>
            </w:r>
          </w:p>
          <w:p w:rsidR="009F3731" w:rsidRPr="00F16F02" w:rsidRDefault="009F3731" w:rsidP="009F3731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F02">
              <w:rPr>
                <w:rFonts w:ascii="Times New Roman" w:hAnsi="Times New Roman"/>
                <w:sz w:val="22"/>
                <w:szCs w:val="22"/>
              </w:rPr>
              <w:t xml:space="preserve">De acordo com o artigo 5º, §1º da Lei nº 11.909/09 (Lei do Gás), caberá à ANP definir a forma (procedimento) e o prazo para solicitação da outorga da autorização de carregamento. Ou seja, de acordo com a leitura do artigo em comento, verificamos que a autorização legislativa refere-se tão somente ao modo como o agente deverá solicitar a outorga de autorização para exercício da atividade de carregamento à ANP. </w:t>
            </w:r>
          </w:p>
          <w:p w:rsidR="009F3731" w:rsidRPr="00F16F02" w:rsidRDefault="009F3731" w:rsidP="009F3731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F02">
              <w:rPr>
                <w:rFonts w:ascii="Times New Roman" w:hAnsi="Times New Roman"/>
                <w:sz w:val="22"/>
                <w:szCs w:val="22"/>
              </w:rPr>
              <w:t xml:space="preserve">No que se refere especificamente à presente minuta de Edital de Chamada Pública, observamos que o artigo 6º da Lei do Gás prevê que compete à ANP apenas promover o processo de Chamada Pública, conforme diretrizes do Ministério de Minas e Energia (MME). Ocorre, no entanto, que ao determinar tais diretrizes, por meio da Portaria MME nº 450/13, o Ministério não impôs nenhuma vedação no sentido previsto no item 3.1.3 (b) </w:t>
            </w:r>
            <w:r w:rsidR="008E0801" w:rsidRPr="00F16F02">
              <w:rPr>
                <w:rFonts w:ascii="Times New Roman" w:hAnsi="Times New Roman"/>
                <w:sz w:val="22"/>
                <w:szCs w:val="22"/>
              </w:rPr>
              <w:t>da presente</w:t>
            </w:r>
            <w:r w:rsidRPr="00F16F02">
              <w:rPr>
                <w:rFonts w:ascii="Times New Roman" w:hAnsi="Times New Roman"/>
                <w:sz w:val="22"/>
                <w:szCs w:val="22"/>
              </w:rPr>
              <w:t xml:space="preserve"> minuta de Edital, ou seja, o MME não determinou vedação à participação de carregadores que possuam relação societária de controle ou coligação com o transportador do Gasoduto  de Transporte em questão ou com participante de consórcio constituído para atuar como transportador no gasoduto. </w:t>
            </w:r>
          </w:p>
          <w:p w:rsidR="009F3731" w:rsidRPr="00F16F02" w:rsidRDefault="009F3731" w:rsidP="009F3731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F02">
              <w:rPr>
                <w:rFonts w:ascii="Times New Roman" w:hAnsi="Times New Roman"/>
                <w:sz w:val="22"/>
                <w:szCs w:val="22"/>
              </w:rPr>
              <w:t xml:space="preserve">Deste modo, considerando que a atuação da ANP restringe-se a questões procedimentais relacionadas à outorga da autorização para exercício da atividade de carregamento e promoção do processo de Chamada Pública de acordo com as diretrizes do MME, bem como que nem a Lei do Gás </w:t>
            </w:r>
            <w:r w:rsidR="00F87847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E540E5">
              <w:rPr>
                <w:rFonts w:ascii="Times New Roman" w:hAnsi="Times New Roman"/>
                <w:sz w:val="22"/>
                <w:szCs w:val="22"/>
              </w:rPr>
              <w:t>tampouco</w:t>
            </w:r>
            <w:r w:rsidRPr="00F16F02">
              <w:rPr>
                <w:rFonts w:ascii="Times New Roman" w:hAnsi="Times New Roman"/>
                <w:sz w:val="22"/>
                <w:szCs w:val="22"/>
              </w:rPr>
              <w:t xml:space="preserve"> a Lei nº 9.478/97 (Lei do Petróleo) preveem a possibilidade de a ANP impor limitações ao exercício da atividade de carregamento por algum agente, a restrição constante do item 3.1.3 (b) ora proposto (assim como do artigo 3º, §1º,</w:t>
            </w:r>
            <w:r w:rsidR="00F878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16F02">
              <w:rPr>
                <w:rFonts w:ascii="Times New Roman" w:hAnsi="Times New Roman"/>
                <w:sz w:val="22"/>
                <w:szCs w:val="22"/>
              </w:rPr>
              <w:t>II da Resolução ANP nº 51/13), não se encontra em conformidade com a legislação vigente. Isto porque, não caberia à ANP, por meio de um Edital de Chamada Pública, ainda que fundamentada em previsão constante de Resolução emitida pela Agência alterar as previsões constantes em Lei, cabendo tão somente à mesma observar os ditames legalmente previstos e prover sobre minúcias procedimentais não abrangidas pela norma geral editada pelo Poder Legislativo, bem como promover o procedimento de Chamada Pública de acordo estritamente com as diretrizes traçadas pelo MME.</w:t>
            </w:r>
          </w:p>
          <w:p w:rsidR="009F3731" w:rsidRPr="00F16F02" w:rsidRDefault="009F3731" w:rsidP="009F3731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F02">
              <w:rPr>
                <w:rFonts w:ascii="Times New Roman" w:hAnsi="Times New Roman"/>
                <w:sz w:val="22"/>
                <w:szCs w:val="22"/>
              </w:rPr>
              <w:t>Ademais, a redação proposta para o item 3.1.3 (b) do Edital (assim como no artigo  3º, §1º, II da Resolução ANP nº 51/13 - o qual reiteramos considerarmos ilegal) extrapola, o conteúdo da norma legal estabelecida no art. 3º, §3º da Lei do Gás, pois insere, por via transversa, novas restrições não previstas em Lei à atividade de transporte de gás natural. O referido art. 3º, §3º da Lei do Gás já traz impedimento implícito ao transportador de exercer atividade de carregamento de gás, ou seja, esta seria a única restrição possível no que se refere à atividade de transporte. Desta forma, não poderia um Edital de Chamada Pública contrariar a Lei, pretender impor novas restrições a tal atividade, já que de acordo com a Lei é lícito que possa haver participação acionária entre os agentes da indústria do gás.</w:t>
            </w:r>
          </w:p>
          <w:p w:rsidR="009F3731" w:rsidRPr="00F16F02" w:rsidRDefault="009F3731" w:rsidP="009F3731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F02">
              <w:rPr>
                <w:rFonts w:ascii="Times New Roman" w:hAnsi="Times New Roman"/>
                <w:sz w:val="22"/>
                <w:szCs w:val="22"/>
              </w:rPr>
              <w:t>Acrescente-se que o art. 65 da Lei nº 9.478/97 prevê que a Petrobras deveria constituir uma subsidiária com atribuições específicas de operar e construir dutos, terminais marítimos e embarcações para transporte de petróleo, seus derivados e gás natural. Deste modo, não poderia a presente minuta de Edital de Chamada Pública contrariar o disposto no referido artigo, de modo a vedar que a Petrobras (atuando como carregadora) seja a controladora de uma sociedade que detenha autorização para o exercício da atividade de transporte, já que há determinação legal expressa nesse sentido (de que a Petrobras constitua uma subsidiária para atuar nas atividades relacionadas ao transporte).</w:t>
            </w:r>
          </w:p>
          <w:p w:rsidR="009F3731" w:rsidRPr="00F16F02" w:rsidRDefault="009F3731" w:rsidP="009F3731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F02">
              <w:rPr>
                <w:rFonts w:ascii="Times New Roman" w:hAnsi="Times New Roman"/>
                <w:sz w:val="22"/>
                <w:szCs w:val="22"/>
              </w:rPr>
              <w:t xml:space="preserve">O fato de o presente item refletir o disposto no artigo 3º, §1º, II da Resolução ANP nº 51/13 não faz com </w:t>
            </w:r>
            <w:r w:rsidR="00F87847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 w:rsidRPr="00F16F02">
              <w:rPr>
                <w:rFonts w:ascii="Times New Roman" w:hAnsi="Times New Roman"/>
                <w:sz w:val="22"/>
                <w:szCs w:val="22"/>
              </w:rPr>
              <w:t>o mesmo possa ser considerado legal, já que seu único fundamento de validade é norma claramente ilegal, considerando, inclusive, que o mesmo vai contra toda a legislação (hierarquicamente superior à referida Resolução) existente sobre o tema.</w:t>
            </w:r>
          </w:p>
          <w:p w:rsidR="004873F0" w:rsidRPr="00F16F02" w:rsidRDefault="009F3731" w:rsidP="009F3731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F02">
              <w:rPr>
                <w:rFonts w:ascii="Times New Roman" w:hAnsi="Times New Roman"/>
                <w:sz w:val="22"/>
                <w:szCs w:val="22"/>
              </w:rPr>
              <w:t>Assim, ato editado pela ANP (seja uma Resolução ou um Edital de Chamada Pública) que, contrariando a legislação vigente, pretenda impor limitação ao exercício de direito por um agente estará extrapolando o poder regulamentar desta Agência, razão pela qual reiteramos nossa solicitação pela exclusão de tal vedação.</w:t>
            </w:r>
          </w:p>
        </w:tc>
      </w:tr>
      <w:tr w:rsidR="004873F0" w:rsidRPr="00932C2C" w:rsidTr="00356AA7">
        <w:trPr>
          <w:trHeight w:val="2268"/>
        </w:trPr>
        <w:tc>
          <w:tcPr>
            <w:tcW w:w="554" w:type="pct"/>
            <w:vAlign w:val="center"/>
          </w:tcPr>
          <w:p w:rsidR="004873F0" w:rsidRPr="00F16F02" w:rsidRDefault="00C773E8" w:rsidP="00F16F02">
            <w:pPr>
              <w:rPr>
                <w:sz w:val="22"/>
                <w:szCs w:val="22"/>
              </w:rPr>
            </w:pPr>
            <w:r w:rsidRPr="00F16F02">
              <w:rPr>
                <w:sz w:val="22"/>
                <w:szCs w:val="22"/>
              </w:rPr>
              <w:t>Esclarecimento</w:t>
            </w:r>
          </w:p>
        </w:tc>
        <w:tc>
          <w:tcPr>
            <w:tcW w:w="845" w:type="pct"/>
            <w:vAlign w:val="center"/>
          </w:tcPr>
          <w:p w:rsidR="004873F0" w:rsidRPr="00F16F02" w:rsidRDefault="00C773E8" w:rsidP="00F16F02">
            <w:pPr>
              <w:rPr>
                <w:sz w:val="22"/>
                <w:szCs w:val="22"/>
              </w:rPr>
            </w:pPr>
            <w:r w:rsidRPr="00F16F02">
              <w:rPr>
                <w:sz w:val="22"/>
                <w:szCs w:val="22"/>
              </w:rPr>
              <w:t>3.2.3</w:t>
            </w:r>
          </w:p>
        </w:tc>
        <w:tc>
          <w:tcPr>
            <w:tcW w:w="1789" w:type="pct"/>
            <w:vAlign w:val="center"/>
          </w:tcPr>
          <w:p w:rsidR="004873F0" w:rsidRPr="000C0894" w:rsidRDefault="004873F0" w:rsidP="000C0894">
            <w:pPr>
              <w:pStyle w:val="Legenda"/>
              <w:jc w:val="bot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1812" w:type="pct"/>
            <w:vAlign w:val="center"/>
          </w:tcPr>
          <w:p w:rsidR="00C773E8" w:rsidRPr="00F16F02" w:rsidRDefault="00C773E8" w:rsidP="00C773E8">
            <w:pPr>
              <w:rPr>
                <w:sz w:val="22"/>
                <w:szCs w:val="22"/>
              </w:rPr>
            </w:pPr>
            <w:r w:rsidRPr="00967FD5">
              <w:rPr>
                <w:sz w:val="22"/>
                <w:szCs w:val="22"/>
              </w:rPr>
              <w:t>Solicitamos que seja esclarecido p</w:t>
            </w:r>
            <w:r>
              <w:rPr>
                <w:sz w:val="22"/>
                <w:szCs w:val="22"/>
              </w:rPr>
              <w:t xml:space="preserve">or esta Agência </w:t>
            </w:r>
            <w:r w:rsidRPr="00967FD5">
              <w:rPr>
                <w:sz w:val="22"/>
                <w:szCs w:val="22"/>
              </w:rPr>
              <w:t>se o item 3.2.3. também se aplica às Propostas Garantidas.</w:t>
            </w:r>
          </w:p>
          <w:p w:rsidR="004873F0" w:rsidRPr="00F16F02" w:rsidRDefault="004873F0" w:rsidP="000C0894">
            <w:pPr>
              <w:pStyle w:val="Legenda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73F0" w:rsidRPr="007B1946" w:rsidTr="00356AA7">
        <w:trPr>
          <w:trHeight w:val="2268"/>
        </w:trPr>
        <w:tc>
          <w:tcPr>
            <w:tcW w:w="554" w:type="pct"/>
            <w:vAlign w:val="center"/>
          </w:tcPr>
          <w:p w:rsidR="004873F0" w:rsidRPr="007B1946" w:rsidRDefault="007B1946" w:rsidP="007B1946">
            <w:pPr>
              <w:rPr>
                <w:sz w:val="22"/>
                <w:szCs w:val="22"/>
              </w:rPr>
            </w:pPr>
            <w:r w:rsidRPr="007B1946"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4873F0" w:rsidRPr="007B1946" w:rsidRDefault="007B1946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</w:t>
            </w:r>
          </w:p>
        </w:tc>
        <w:tc>
          <w:tcPr>
            <w:tcW w:w="1789" w:type="pct"/>
            <w:vAlign w:val="center"/>
          </w:tcPr>
          <w:p w:rsidR="004873F0" w:rsidRPr="007B1946" w:rsidRDefault="00F41EE5" w:rsidP="00CC2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Incluir</w:t>
            </w:r>
            <w:r w:rsidR="00CC2BF6">
              <w:rPr>
                <w:sz w:val="22"/>
                <w:szCs w:val="22"/>
              </w:rPr>
              <w:t>, no cronograma,</w:t>
            </w:r>
            <w:r>
              <w:rPr>
                <w:sz w:val="22"/>
                <w:szCs w:val="22"/>
              </w:rPr>
              <w:t xml:space="preserve"> a data</w:t>
            </w:r>
            <w:r w:rsidR="00CC2BF6">
              <w:rPr>
                <w:sz w:val="22"/>
                <w:szCs w:val="22"/>
              </w:rPr>
              <w:t xml:space="preserve"> para a divulgação das </w:t>
            </w:r>
            <w:r w:rsidR="00CC2BF6" w:rsidRPr="00CC2BF6">
              <w:rPr>
                <w:sz w:val="22"/>
                <w:szCs w:val="22"/>
              </w:rPr>
              <w:t>respostas aos pedidos de esclarecimento</w:t>
            </w:r>
          </w:p>
        </w:tc>
        <w:tc>
          <w:tcPr>
            <w:tcW w:w="1812" w:type="pct"/>
            <w:vAlign w:val="center"/>
          </w:tcPr>
          <w:p w:rsidR="004873F0" w:rsidRPr="007B1946" w:rsidRDefault="00F41EE5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Não há data estabelecida no cronograma</w:t>
            </w:r>
          </w:p>
        </w:tc>
      </w:tr>
      <w:tr w:rsidR="004873F0" w:rsidRPr="007B1946" w:rsidTr="00356AA7">
        <w:trPr>
          <w:trHeight w:val="2268"/>
        </w:trPr>
        <w:tc>
          <w:tcPr>
            <w:tcW w:w="554" w:type="pct"/>
            <w:vAlign w:val="center"/>
          </w:tcPr>
          <w:p w:rsidR="004873F0" w:rsidRPr="007B1946" w:rsidRDefault="00381BF5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4873F0" w:rsidRPr="007B1946" w:rsidRDefault="00381BF5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3.3.4</w:t>
            </w:r>
          </w:p>
        </w:tc>
        <w:tc>
          <w:tcPr>
            <w:tcW w:w="1789" w:type="pct"/>
            <w:vAlign w:val="center"/>
          </w:tcPr>
          <w:p w:rsidR="00381BF5" w:rsidRPr="004A2674" w:rsidRDefault="00381BF5" w:rsidP="00B45F57">
            <w:pPr>
              <w:pStyle w:val="Ttulo3"/>
              <w:numPr>
                <w:ilvl w:val="0"/>
                <w:numId w:val="0"/>
              </w:numPr>
              <w:jc w:val="left"/>
              <w:outlineLvl w:val="2"/>
              <w:rPr>
                <w:highlight w:val="cyan"/>
              </w:rPr>
            </w:pPr>
            <w:bookmarkStart w:id="1" w:name="_Toc363229662"/>
            <w:bookmarkStart w:id="2" w:name="_Toc363659962"/>
            <w:r w:rsidRPr="006D5BCB">
              <w:t xml:space="preserve">Não havendo </w:t>
            </w:r>
            <w:r w:rsidR="009702D0" w:rsidRPr="006D5BCB">
              <w:t>s</w:t>
            </w:r>
            <w:r w:rsidR="009702D0">
              <w:t>olicitações</w:t>
            </w:r>
            <w:r>
              <w:t xml:space="preserve"> de esclarecimento, </w:t>
            </w:r>
            <w:r w:rsidRPr="006D5BCB">
              <w:t>presumir-se-á que as informações e elementos contidos neste Edital de Chamada Pública são suficientes para permitir a elaboração dos documentos de solicitação de capacidade e o aporte das Garantias  e, consequentemente, para participar da Chamada Pública, razão pela qual não serão admitidos questionamentos ou impugnações posteriores</w:t>
            </w:r>
            <w:r>
              <w:t xml:space="preserve">, </w:t>
            </w:r>
            <w:r w:rsidRPr="00381BF5">
              <w:t>relacionadas às informações e elementos constantes do Edital.</w:t>
            </w:r>
            <w:bookmarkEnd w:id="1"/>
            <w:bookmarkEnd w:id="2"/>
          </w:p>
          <w:p w:rsidR="004873F0" w:rsidRPr="007B1946" w:rsidRDefault="004873F0" w:rsidP="007B1946">
            <w:pPr>
              <w:rPr>
                <w:sz w:val="22"/>
                <w:szCs w:val="22"/>
              </w:rPr>
            </w:pPr>
          </w:p>
        </w:tc>
        <w:tc>
          <w:tcPr>
            <w:tcW w:w="1812" w:type="pct"/>
            <w:vAlign w:val="center"/>
          </w:tcPr>
          <w:p w:rsidR="004873F0" w:rsidRPr="007B1946" w:rsidRDefault="00E66C24" w:rsidP="007B1946">
            <w:pPr>
              <w:rPr>
                <w:sz w:val="22"/>
                <w:szCs w:val="22"/>
              </w:rPr>
            </w:pPr>
            <w:r w:rsidRPr="00AA587A">
              <w:rPr>
                <w:sz w:val="22"/>
                <w:szCs w:val="22"/>
              </w:rPr>
              <w:t>Deixar claro que em outras hipóteses – como no caso de eventuais ilegalidades ocorridas durante o procedimento – não haveria nenhum óbice à realização de impugnações, afastando, deste modo, eventuais argumentos, ainda que desarrazoados, por parte da ANP.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46C45" w:rsidRPr="007B1946" w:rsidTr="00356AA7">
        <w:trPr>
          <w:trHeight w:val="2268"/>
        </w:trPr>
        <w:tc>
          <w:tcPr>
            <w:tcW w:w="554" w:type="pct"/>
            <w:vAlign w:val="center"/>
          </w:tcPr>
          <w:p w:rsidR="00446C45" w:rsidRDefault="00844893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446C45" w:rsidRDefault="00844893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3.5.3 (e)</w:t>
            </w:r>
          </w:p>
        </w:tc>
        <w:tc>
          <w:tcPr>
            <w:tcW w:w="1789" w:type="pct"/>
            <w:vAlign w:val="center"/>
          </w:tcPr>
          <w:p w:rsidR="00844893" w:rsidRDefault="00844893" w:rsidP="00FC4D2D">
            <w:pPr>
              <w:pStyle w:val="Ttulo3"/>
              <w:numPr>
                <w:ilvl w:val="0"/>
                <w:numId w:val="0"/>
              </w:numPr>
              <w:outlineLvl w:val="2"/>
            </w:pPr>
            <w:bookmarkStart w:id="3" w:name="_Toc363229675"/>
            <w:bookmarkStart w:id="4" w:name="_Toc363659975"/>
            <w:r>
              <w:t xml:space="preserve">Redimensionamento do Gasoduto de Referência a partir das Manifestações de Interesse consideradas válidas, de acordo com o disposto na </w:t>
            </w:r>
            <w:r w:rsidRPr="00844893">
              <w:t xml:space="preserve">Seção </w:t>
            </w:r>
            <w:fldSimple w:instr=" REF _Ref363741403 \r \h  \* MERGEFORMAT ">
              <w:r w:rsidRPr="00844893">
                <w:t>8</w:t>
              </w:r>
            </w:fldSimple>
            <w:r w:rsidRPr="00844893">
              <w:t>.1;</w:t>
            </w:r>
            <w:bookmarkEnd w:id="3"/>
            <w:bookmarkEnd w:id="4"/>
          </w:p>
          <w:p w:rsidR="00446C45" w:rsidRDefault="00446C45" w:rsidP="00381BF5">
            <w:pPr>
              <w:pStyle w:val="Ttulo3"/>
              <w:numPr>
                <w:ilvl w:val="0"/>
                <w:numId w:val="0"/>
              </w:numPr>
              <w:outlineLvl w:val="2"/>
            </w:pPr>
          </w:p>
        </w:tc>
        <w:tc>
          <w:tcPr>
            <w:tcW w:w="1812" w:type="pct"/>
            <w:vAlign w:val="center"/>
          </w:tcPr>
          <w:p w:rsidR="00446C45" w:rsidRPr="00AA587A" w:rsidRDefault="00844893" w:rsidP="00BE5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Adequar </w:t>
            </w:r>
            <w:r w:rsidR="00BE53C8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 xml:space="preserve"> referência</w:t>
            </w:r>
          </w:p>
        </w:tc>
      </w:tr>
      <w:tr w:rsidR="00446C45" w:rsidRPr="007B1946" w:rsidTr="00356AA7">
        <w:trPr>
          <w:trHeight w:val="2268"/>
        </w:trPr>
        <w:tc>
          <w:tcPr>
            <w:tcW w:w="554" w:type="pct"/>
            <w:vAlign w:val="center"/>
          </w:tcPr>
          <w:p w:rsidR="00446C45" w:rsidRDefault="005A1EF0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446C45" w:rsidRDefault="005A1EF0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3.5.4.</w:t>
            </w:r>
          </w:p>
        </w:tc>
        <w:tc>
          <w:tcPr>
            <w:tcW w:w="1789" w:type="pct"/>
            <w:vAlign w:val="center"/>
          </w:tcPr>
          <w:p w:rsidR="00FB055B" w:rsidRPr="004E01D2" w:rsidRDefault="00FB055B" w:rsidP="00FB055B">
            <w:pPr>
              <w:pStyle w:val="Ttulo3"/>
              <w:numPr>
                <w:ilvl w:val="0"/>
                <w:numId w:val="0"/>
              </w:numPr>
              <w:outlineLvl w:val="2"/>
            </w:pPr>
            <w:bookmarkStart w:id="5" w:name="_Toc363229677"/>
            <w:bookmarkStart w:id="6" w:name="_Toc363659977"/>
            <w:bookmarkStart w:id="7" w:name="_Ref363743692"/>
            <w:bookmarkStart w:id="8" w:name="_Ref363748379"/>
            <w:r>
              <w:t xml:space="preserve">Alteração 1. Se o Teste de </w:t>
            </w:r>
            <w:r w:rsidRPr="004E01D2">
              <w:t>Viabilidade Técnico-Econômico for bem-sucedido, ainda na fase de identificação dos potenciais carregadores haverá a divulgação aos Participantes da Capacidade Solicitada e do valor obtido para a Tarifa de Transporte Máxima</w:t>
            </w:r>
            <w:r>
              <w:t>.</w:t>
            </w:r>
            <w:r w:rsidRPr="004E01D2">
              <w:t xml:space="preserve"> O processo da Chamada Pública terá continuidade, passando-se para a fase de análise das Propostas Garantidas.</w:t>
            </w:r>
          </w:p>
          <w:p w:rsidR="00FB055B" w:rsidRDefault="00FB055B" w:rsidP="005A1EF0">
            <w:pPr>
              <w:pStyle w:val="Ttulo3"/>
              <w:numPr>
                <w:ilvl w:val="0"/>
                <w:numId w:val="0"/>
              </w:numPr>
              <w:outlineLvl w:val="2"/>
            </w:pPr>
            <w:r>
              <w:t>Ou</w:t>
            </w:r>
          </w:p>
          <w:p w:rsidR="005A1EF0" w:rsidRPr="00FB055B" w:rsidRDefault="00FB055B" w:rsidP="00FB055B">
            <w:pPr>
              <w:rPr>
                <w:sz w:val="22"/>
                <w:szCs w:val="22"/>
              </w:rPr>
            </w:pPr>
            <w:r w:rsidRPr="003B2BFE">
              <w:rPr>
                <w:bCs/>
                <w:sz w:val="22"/>
                <w:szCs w:val="26"/>
                <w:lang w:eastAsia="en-US"/>
              </w:rPr>
              <w:t>Alteração 2.</w:t>
            </w:r>
            <w:r>
              <w:rPr>
                <w:lang w:eastAsia="en-US"/>
              </w:rPr>
              <w:t xml:space="preserve"> </w:t>
            </w:r>
            <w:r w:rsidR="005A1EF0" w:rsidRPr="00FB055B">
              <w:rPr>
                <w:sz w:val="22"/>
                <w:szCs w:val="22"/>
              </w:rPr>
              <w:t>Se o Teste de Viabilidade Técnico-Econômico for bem-sucedido, ainda na fase de identificação dos potenciais carregadores haverá a divulgação aos Participantes da Capacidade Solicitada e do valor obtido para a Tarifa de Transporte Máxima. Os Carregadores cujas Manifestações de Interesse tenham ofertado tarifas iguais ou superiores à Tarifa de Transporte Máxima do Gasoduto de Referência</w:t>
            </w:r>
            <w:r w:rsidR="005A1EF0" w:rsidRPr="00FB055B" w:rsidDel="00A62343">
              <w:rPr>
                <w:sz w:val="22"/>
                <w:szCs w:val="22"/>
              </w:rPr>
              <w:t xml:space="preserve"> </w:t>
            </w:r>
            <w:r w:rsidR="005A1EF0" w:rsidRPr="00FB055B">
              <w:rPr>
                <w:sz w:val="22"/>
                <w:szCs w:val="22"/>
              </w:rPr>
              <w:t xml:space="preserve">passarão à condição de Carregadores Habilitados, e serão comunicados de sua respectiva previsão de Alocação de Capacidade. Os Carregadores cujas Manifestações de Interesse tenham ofertado tarifas inferiores à Tarifa de Transporte Máxima terão o prazo de cinco dias úteis para ofertar uma nova tarifa igual ou superior à </w:t>
            </w:r>
            <w:r w:rsidR="0022512C">
              <w:rPr>
                <w:sz w:val="22"/>
                <w:szCs w:val="22"/>
              </w:rPr>
              <w:t>T</w:t>
            </w:r>
            <w:r w:rsidR="005A1EF0" w:rsidRPr="00FB055B">
              <w:rPr>
                <w:sz w:val="22"/>
                <w:szCs w:val="22"/>
              </w:rPr>
              <w:t xml:space="preserve">arifa de </w:t>
            </w:r>
            <w:r w:rsidR="0022512C">
              <w:rPr>
                <w:sz w:val="22"/>
                <w:szCs w:val="22"/>
              </w:rPr>
              <w:t>T</w:t>
            </w:r>
            <w:r w:rsidR="005A1EF0" w:rsidRPr="00FB055B">
              <w:rPr>
                <w:sz w:val="22"/>
                <w:szCs w:val="22"/>
              </w:rPr>
              <w:t xml:space="preserve">ransporte </w:t>
            </w:r>
            <w:r w:rsidR="0022512C">
              <w:rPr>
                <w:sz w:val="22"/>
                <w:szCs w:val="22"/>
              </w:rPr>
              <w:t>M</w:t>
            </w:r>
            <w:r w:rsidR="005A1EF0" w:rsidRPr="00FB055B">
              <w:rPr>
                <w:sz w:val="22"/>
                <w:szCs w:val="22"/>
              </w:rPr>
              <w:t>áxima do gasoduto de referência e dessa forma passarem à condição de Carregadores Habilitados. O processo da Chamada Pública terá continuidade, passando-se para a fase de análise das Propostas Garantidas.</w:t>
            </w:r>
            <w:bookmarkEnd w:id="5"/>
            <w:bookmarkEnd w:id="6"/>
            <w:bookmarkEnd w:id="7"/>
            <w:bookmarkEnd w:id="8"/>
          </w:p>
          <w:p w:rsidR="00446C45" w:rsidRDefault="00446C45" w:rsidP="00C842FE"/>
        </w:tc>
        <w:tc>
          <w:tcPr>
            <w:tcW w:w="1812" w:type="pct"/>
          </w:tcPr>
          <w:p w:rsidR="00C842FE" w:rsidRDefault="00FB055B" w:rsidP="00FC4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Alteração 1. </w:t>
            </w:r>
            <w:r w:rsidR="00C842FE" w:rsidRPr="00192C38">
              <w:rPr>
                <w:sz w:val="22"/>
                <w:szCs w:val="22"/>
              </w:rPr>
              <w:t>De acordo com o procedimento previsto pela Lei do Gás</w:t>
            </w:r>
            <w:r w:rsidR="00C842FE">
              <w:rPr>
                <w:sz w:val="22"/>
                <w:szCs w:val="22"/>
              </w:rPr>
              <w:t>,</w:t>
            </w:r>
            <w:r w:rsidR="00C842FE" w:rsidRPr="00192C38">
              <w:rPr>
                <w:sz w:val="22"/>
                <w:szCs w:val="22"/>
              </w:rPr>
              <w:t xml:space="preserve"> não há previsão </w:t>
            </w:r>
            <w:r w:rsidR="00C842FE">
              <w:rPr>
                <w:sz w:val="22"/>
                <w:szCs w:val="22"/>
              </w:rPr>
              <w:t xml:space="preserve">para </w:t>
            </w:r>
            <w:r w:rsidR="00C842FE" w:rsidRPr="00192C38">
              <w:rPr>
                <w:sz w:val="22"/>
                <w:szCs w:val="22"/>
              </w:rPr>
              <w:t>que o carregador ofert</w:t>
            </w:r>
            <w:r w:rsidR="00C842FE">
              <w:rPr>
                <w:sz w:val="22"/>
                <w:szCs w:val="22"/>
              </w:rPr>
              <w:t>e</w:t>
            </w:r>
            <w:r w:rsidR="00C842FE" w:rsidRPr="00192C38">
              <w:rPr>
                <w:sz w:val="22"/>
                <w:szCs w:val="22"/>
              </w:rPr>
              <w:t xml:space="preserve"> tarifa durante o procedimento</w:t>
            </w:r>
            <w:r w:rsidR="00C842FE">
              <w:rPr>
                <w:sz w:val="22"/>
                <w:szCs w:val="22"/>
              </w:rPr>
              <w:t xml:space="preserve"> de Chamada Pública</w:t>
            </w:r>
            <w:r w:rsidR="00C842FE" w:rsidRPr="00192C38">
              <w:rPr>
                <w:sz w:val="22"/>
                <w:szCs w:val="22"/>
              </w:rPr>
              <w:t xml:space="preserve">. </w:t>
            </w:r>
            <w:r w:rsidR="00C842FE">
              <w:rPr>
                <w:sz w:val="22"/>
                <w:szCs w:val="22"/>
              </w:rPr>
              <w:t xml:space="preserve">A </w:t>
            </w:r>
            <w:r w:rsidR="00C842FE" w:rsidRPr="00192C38">
              <w:rPr>
                <w:sz w:val="22"/>
                <w:szCs w:val="22"/>
              </w:rPr>
              <w:t>ANP, após a M</w:t>
            </w:r>
            <w:r w:rsidR="00C842FE">
              <w:rPr>
                <w:sz w:val="22"/>
                <w:szCs w:val="22"/>
              </w:rPr>
              <w:t>anifestação de Interesse</w:t>
            </w:r>
            <w:r w:rsidR="00C842FE" w:rsidRPr="00192C38">
              <w:rPr>
                <w:sz w:val="22"/>
                <w:szCs w:val="22"/>
              </w:rPr>
              <w:t>, teria condições de dimensionar o duto e calcular a tarifa de transporte máxima</w:t>
            </w:r>
            <w:r w:rsidR="003B2BFE">
              <w:rPr>
                <w:sz w:val="22"/>
                <w:szCs w:val="22"/>
              </w:rPr>
              <w:t>. O</w:t>
            </w:r>
            <w:r w:rsidR="00C842FE" w:rsidRPr="00192C38">
              <w:rPr>
                <w:sz w:val="22"/>
                <w:szCs w:val="22"/>
              </w:rPr>
              <w:t xml:space="preserve">s carregadores aceitariam ou não a tarifa definida pela ANP, tendo em vista que não há como os carregadores ofertarem tarifas prevendo um redimensionamento que ainda não ocorreu. </w:t>
            </w:r>
          </w:p>
          <w:p w:rsidR="00FB055B" w:rsidRDefault="00FB055B" w:rsidP="00FC4D2D">
            <w:pPr>
              <w:rPr>
                <w:sz w:val="22"/>
                <w:szCs w:val="22"/>
              </w:rPr>
            </w:pPr>
          </w:p>
          <w:p w:rsidR="00C842FE" w:rsidRDefault="00FC4D2D" w:rsidP="00FC4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Alteração 2. </w:t>
            </w:r>
            <w:r w:rsidR="00C842FE">
              <w:rPr>
                <w:sz w:val="22"/>
                <w:szCs w:val="22"/>
              </w:rPr>
              <w:t>Alternativamente, caso essa exclusão</w:t>
            </w:r>
            <w:r>
              <w:rPr>
                <w:sz w:val="22"/>
                <w:szCs w:val="22"/>
              </w:rPr>
              <w:t xml:space="preserve"> </w:t>
            </w:r>
            <w:r w:rsidR="00C842FE">
              <w:rPr>
                <w:sz w:val="22"/>
                <w:szCs w:val="22"/>
              </w:rPr>
              <w:t xml:space="preserve">de previsão de tarifa pelo carregador não seja aceita por esta Agência, </w:t>
            </w:r>
            <w:r w:rsidR="00733BB5">
              <w:rPr>
                <w:sz w:val="22"/>
                <w:szCs w:val="22"/>
              </w:rPr>
              <w:t>indicamos</w:t>
            </w:r>
            <w:r w:rsidR="00C842FE">
              <w:rPr>
                <w:sz w:val="22"/>
                <w:szCs w:val="22"/>
              </w:rPr>
              <w:t xml:space="preserve"> que seja adotada a inserção sugerida para o item 3.5.4.</w:t>
            </w:r>
            <w:r>
              <w:rPr>
                <w:sz w:val="22"/>
                <w:szCs w:val="22"/>
              </w:rPr>
              <w:t>, ou seja, previsão de um tempo para que os carregadores que tenham ofertado tarifa inferior à calculada no redimensionamento tenham a chance de permanecer na Chamada Pública</w:t>
            </w:r>
            <w:r w:rsidR="00D91DAA">
              <w:rPr>
                <w:sz w:val="22"/>
                <w:szCs w:val="22"/>
              </w:rPr>
              <w:t xml:space="preserve">, </w:t>
            </w:r>
            <w:r w:rsidR="00C842FE">
              <w:rPr>
                <w:sz w:val="22"/>
                <w:szCs w:val="22"/>
              </w:rPr>
              <w:t xml:space="preserve">desde que, pelo menos igualem </w:t>
            </w:r>
            <w:r w:rsidR="00693BED">
              <w:rPr>
                <w:sz w:val="22"/>
                <w:szCs w:val="22"/>
              </w:rPr>
              <w:t xml:space="preserve">a sua oferta </w:t>
            </w:r>
            <w:r w:rsidR="00C842FE">
              <w:rPr>
                <w:sz w:val="22"/>
                <w:szCs w:val="22"/>
              </w:rPr>
              <w:t>à tarifa de referência.</w:t>
            </w:r>
          </w:p>
          <w:p w:rsidR="00446C45" w:rsidRPr="00AA587A" w:rsidRDefault="00446C45" w:rsidP="00FC4D2D">
            <w:pPr>
              <w:rPr>
                <w:sz w:val="22"/>
                <w:szCs w:val="22"/>
              </w:rPr>
            </w:pPr>
          </w:p>
        </w:tc>
      </w:tr>
      <w:tr w:rsidR="00446C45" w:rsidRPr="007B1946" w:rsidTr="00356AA7">
        <w:trPr>
          <w:trHeight w:val="2268"/>
        </w:trPr>
        <w:tc>
          <w:tcPr>
            <w:tcW w:w="554" w:type="pct"/>
            <w:vAlign w:val="center"/>
          </w:tcPr>
          <w:p w:rsidR="00446C45" w:rsidRDefault="008447DE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  <w:p w:rsidR="008447DE" w:rsidRDefault="008447DE" w:rsidP="007B1946">
            <w:pPr>
              <w:rPr>
                <w:sz w:val="22"/>
                <w:szCs w:val="22"/>
              </w:rPr>
            </w:pPr>
          </w:p>
        </w:tc>
        <w:tc>
          <w:tcPr>
            <w:tcW w:w="845" w:type="pct"/>
            <w:vAlign w:val="center"/>
          </w:tcPr>
          <w:p w:rsidR="00446C45" w:rsidRDefault="008447DE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3.5.6 (a)</w:t>
            </w:r>
          </w:p>
        </w:tc>
        <w:tc>
          <w:tcPr>
            <w:tcW w:w="1789" w:type="pct"/>
            <w:vAlign w:val="center"/>
          </w:tcPr>
          <w:p w:rsidR="008447DE" w:rsidRDefault="008447DE" w:rsidP="006F0AA7">
            <w:pPr>
              <w:pStyle w:val="Ttulo3"/>
              <w:numPr>
                <w:ilvl w:val="0"/>
                <w:numId w:val="0"/>
              </w:numPr>
              <w:jc w:val="left"/>
              <w:outlineLvl w:val="2"/>
            </w:pPr>
            <w:r>
              <w:t>Entrega da comprovação,</w:t>
            </w:r>
            <w:r w:rsidRPr="00E5323D">
              <w:t xml:space="preserve"> junto à </w:t>
            </w:r>
            <w:r w:rsidRPr="008453A1">
              <w:t>ANP, do aporte das Garantias Financeiras para submissão de Proposta Garantida</w:t>
            </w:r>
            <w:r>
              <w:t>, excetuando agentes que estejam classificados em escala global, como pelo menos BBB</w:t>
            </w:r>
            <w:r w:rsidRPr="009566CA">
              <w:rPr>
                <w:b/>
                <w:vertAlign w:val="superscript"/>
              </w:rPr>
              <w:t>-</w:t>
            </w:r>
            <w:r>
              <w:t xml:space="preserve"> pela Standard &amp; Poors ou A2 pela Moody’s</w:t>
            </w:r>
          </w:p>
          <w:p w:rsidR="00446C45" w:rsidRDefault="00446C45" w:rsidP="00381BF5">
            <w:pPr>
              <w:pStyle w:val="Ttulo3"/>
              <w:numPr>
                <w:ilvl w:val="0"/>
                <w:numId w:val="0"/>
              </w:numPr>
              <w:outlineLvl w:val="2"/>
            </w:pPr>
          </w:p>
        </w:tc>
        <w:tc>
          <w:tcPr>
            <w:tcW w:w="1812" w:type="pct"/>
            <w:vAlign w:val="center"/>
          </w:tcPr>
          <w:p w:rsidR="008447DE" w:rsidRPr="005519BF" w:rsidRDefault="008447DE" w:rsidP="008447DE">
            <w:pPr>
              <w:rPr>
                <w:sz w:val="22"/>
                <w:szCs w:val="22"/>
              </w:rPr>
            </w:pPr>
            <w:r w:rsidRPr="005519BF">
              <w:rPr>
                <w:sz w:val="22"/>
                <w:szCs w:val="22"/>
              </w:rPr>
              <w:t xml:space="preserve">Justificativa: Agentes com determinado </w:t>
            </w:r>
            <w:r w:rsidRPr="00717F4A">
              <w:rPr>
                <w:i/>
                <w:sz w:val="22"/>
                <w:szCs w:val="22"/>
              </w:rPr>
              <w:t>rating</w:t>
            </w:r>
            <w:r w:rsidRPr="005519BF">
              <w:rPr>
                <w:sz w:val="22"/>
                <w:szCs w:val="22"/>
              </w:rPr>
              <w:t xml:space="preserve"> apresentam baixo risco de </w:t>
            </w:r>
            <w:r w:rsidRPr="00717F4A">
              <w:rPr>
                <w:i/>
                <w:sz w:val="22"/>
                <w:szCs w:val="22"/>
              </w:rPr>
              <w:t>default</w:t>
            </w:r>
            <w:r w:rsidRPr="005519BF">
              <w:rPr>
                <w:sz w:val="22"/>
                <w:szCs w:val="22"/>
              </w:rPr>
              <w:t>, sendo dispensável a apresentação de garantias. Sugerimos esse critério por analogia ao aprovado por esta Agência e praticado na cláusula 19.4 do TCG da TAG e TBG.</w:t>
            </w:r>
          </w:p>
          <w:p w:rsidR="008447DE" w:rsidRPr="005519BF" w:rsidRDefault="008447DE" w:rsidP="008447DE">
            <w:pPr>
              <w:rPr>
                <w:sz w:val="22"/>
                <w:szCs w:val="22"/>
              </w:rPr>
            </w:pPr>
            <w:r w:rsidRPr="005519BF">
              <w:rPr>
                <w:sz w:val="22"/>
                <w:szCs w:val="22"/>
              </w:rPr>
              <w:t>Segue o item 19.4 do TCG</w:t>
            </w:r>
          </w:p>
          <w:p w:rsidR="008447DE" w:rsidRPr="005519BF" w:rsidRDefault="008447DE" w:rsidP="008447DE">
            <w:pPr>
              <w:rPr>
                <w:sz w:val="22"/>
                <w:szCs w:val="22"/>
              </w:rPr>
            </w:pPr>
            <w:r w:rsidRPr="005519BF">
              <w:rPr>
                <w:sz w:val="22"/>
                <w:szCs w:val="22"/>
              </w:rPr>
              <w:t>19.4</w:t>
            </w:r>
            <w:r w:rsidRPr="005519BF">
              <w:rPr>
                <w:sz w:val="22"/>
                <w:szCs w:val="22"/>
              </w:rPr>
              <w:tab/>
              <w:t xml:space="preserve">O Carregador estará dispensado da entrega da Carta de Fiança prevista no item 19.1, caso comprove que na data de assinatura do Contrato a qualidade de seu crédito esteja classificada, em escala global, como, pelo menos, BBB- pela Standard &amp; Poors ou A2 pela Moody’s. Caso venha a ser divulgado que a qualidade de crédito do Carregador passou a ser classificada, em escala global, abaixo de BBB- pela Standard &amp; Poors ou A2 pela Moody’s, este deverá apresentar, no prazo de 30 (trinta) Dias contados de tal divulgação, uma Carta de Fiança </w:t>
            </w:r>
            <w:r w:rsidR="00AA1BE0" w:rsidRPr="005519BF">
              <w:rPr>
                <w:sz w:val="22"/>
                <w:szCs w:val="22"/>
              </w:rPr>
              <w:t>exequível</w:t>
            </w:r>
            <w:r w:rsidRPr="005519BF">
              <w:rPr>
                <w:sz w:val="22"/>
                <w:szCs w:val="22"/>
              </w:rPr>
              <w:t xml:space="preserve"> conforme previsto  no item 19.1 e estará sujeito às obrigações estabelecidas no item 19.2.</w:t>
            </w:r>
          </w:p>
          <w:p w:rsidR="00446C45" w:rsidRPr="00AA587A" w:rsidRDefault="00446C45" w:rsidP="007B1946">
            <w:pPr>
              <w:rPr>
                <w:sz w:val="22"/>
                <w:szCs w:val="22"/>
              </w:rPr>
            </w:pPr>
          </w:p>
        </w:tc>
      </w:tr>
      <w:tr w:rsidR="00446C45" w:rsidRPr="007B1946" w:rsidTr="00356AA7">
        <w:trPr>
          <w:trHeight w:val="2268"/>
        </w:trPr>
        <w:tc>
          <w:tcPr>
            <w:tcW w:w="554" w:type="pct"/>
            <w:vAlign w:val="center"/>
          </w:tcPr>
          <w:p w:rsidR="00446C45" w:rsidRDefault="00152CE9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Esclarecimento</w:t>
            </w:r>
          </w:p>
        </w:tc>
        <w:tc>
          <w:tcPr>
            <w:tcW w:w="845" w:type="pct"/>
            <w:vAlign w:val="center"/>
          </w:tcPr>
          <w:p w:rsidR="00446C45" w:rsidRDefault="00152CE9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3.5.6 (i)</w:t>
            </w:r>
          </w:p>
        </w:tc>
        <w:tc>
          <w:tcPr>
            <w:tcW w:w="1789" w:type="pct"/>
            <w:vAlign w:val="center"/>
          </w:tcPr>
          <w:p w:rsidR="00446C45" w:rsidRDefault="00446C45" w:rsidP="00381BF5">
            <w:pPr>
              <w:pStyle w:val="Ttulo3"/>
              <w:numPr>
                <w:ilvl w:val="0"/>
                <w:numId w:val="0"/>
              </w:numPr>
              <w:outlineLvl w:val="2"/>
            </w:pPr>
          </w:p>
        </w:tc>
        <w:tc>
          <w:tcPr>
            <w:tcW w:w="1812" w:type="pct"/>
            <w:vAlign w:val="center"/>
          </w:tcPr>
          <w:p w:rsidR="00152CE9" w:rsidRPr="0083159C" w:rsidRDefault="00152CE9" w:rsidP="00D65D3C">
            <w:pPr>
              <w:rPr>
                <w:sz w:val="22"/>
                <w:szCs w:val="22"/>
              </w:rPr>
            </w:pPr>
            <w:r w:rsidRPr="0083159C">
              <w:rPr>
                <w:sz w:val="22"/>
                <w:szCs w:val="22"/>
              </w:rPr>
              <w:t>Se, de acordo com a Portaria MME nº 472/11, o MME tem até 30 dias para se manifestar e o redimensionamento/alocação terminará em 12/09 (5 dias úteis), a Chamada Pública não acabará em 06/10, conforme o cronograma.</w:t>
            </w:r>
          </w:p>
          <w:p w:rsidR="00446C45" w:rsidRPr="00AA587A" w:rsidRDefault="00446C45" w:rsidP="00152CE9">
            <w:pPr>
              <w:rPr>
                <w:sz w:val="22"/>
                <w:szCs w:val="22"/>
              </w:rPr>
            </w:pPr>
          </w:p>
        </w:tc>
      </w:tr>
      <w:tr w:rsidR="00446C45" w:rsidRPr="007B1946" w:rsidTr="00356AA7">
        <w:trPr>
          <w:trHeight w:val="2268"/>
        </w:trPr>
        <w:tc>
          <w:tcPr>
            <w:tcW w:w="554" w:type="pct"/>
            <w:vAlign w:val="center"/>
          </w:tcPr>
          <w:p w:rsidR="00446C45" w:rsidRDefault="0070007C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446C45" w:rsidRDefault="0070007C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3.8.1.</w:t>
            </w:r>
          </w:p>
        </w:tc>
        <w:tc>
          <w:tcPr>
            <w:tcW w:w="1789" w:type="pct"/>
            <w:vAlign w:val="center"/>
          </w:tcPr>
          <w:p w:rsidR="00446C45" w:rsidRDefault="00446C45" w:rsidP="00EF2C71">
            <w:pPr>
              <w:pStyle w:val="Ttulo3"/>
              <w:numPr>
                <w:ilvl w:val="0"/>
                <w:numId w:val="0"/>
              </w:numPr>
              <w:outlineLvl w:val="2"/>
            </w:pPr>
          </w:p>
        </w:tc>
        <w:tc>
          <w:tcPr>
            <w:tcW w:w="1812" w:type="pct"/>
            <w:vAlign w:val="center"/>
          </w:tcPr>
          <w:p w:rsidR="00446C45" w:rsidRDefault="0070007C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referência está errada, a tabela 4 refere-se à taxa anual de depreciação dos ativos</w:t>
            </w:r>
            <w:r w:rsidR="006D11F2">
              <w:rPr>
                <w:sz w:val="22"/>
                <w:szCs w:val="22"/>
              </w:rPr>
              <w:t>.</w:t>
            </w:r>
          </w:p>
          <w:p w:rsidR="00956D44" w:rsidRPr="00AA587A" w:rsidRDefault="00956D44" w:rsidP="007B1946">
            <w:pPr>
              <w:rPr>
                <w:sz w:val="22"/>
                <w:szCs w:val="22"/>
              </w:rPr>
            </w:pPr>
          </w:p>
        </w:tc>
      </w:tr>
      <w:tr w:rsidR="00446C45" w:rsidRPr="007B1946" w:rsidTr="00356AA7">
        <w:trPr>
          <w:trHeight w:val="2268"/>
        </w:trPr>
        <w:tc>
          <w:tcPr>
            <w:tcW w:w="554" w:type="pct"/>
            <w:vAlign w:val="center"/>
          </w:tcPr>
          <w:p w:rsidR="00446C45" w:rsidRDefault="006D11F2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446C45" w:rsidRDefault="006D11F2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3.10.2</w:t>
            </w:r>
          </w:p>
        </w:tc>
        <w:tc>
          <w:tcPr>
            <w:tcW w:w="1789" w:type="pct"/>
            <w:vAlign w:val="center"/>
          </w:tcPr>
          <w:p w:rsidR="00446C45" w:rsidRDefault="00446C45" w:rsidP="00381BF5">
            <w:pPr>
              <w:pStyle w:val="Ttulo3"/>
              <w:numPr>
                <w:ilvl w:val="0"/>
                <w:numId w:val="0"/>
              </w:numPr>
              <w:outlineLvl w:val="2"/>
            </w:pPr>
          </w:p>
        </w:tc>
        <w:tc>
          <w:tcPr>
            <w:tcW w:w="1812" w:type="pct"/>
            <w:vAlign w:val="center"/>
          </w:tcPr>
          <w:p w:rsidR="00446C45" w:rsidRPr="00AA587A" w:rsidRDefault="006D11F2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referência está errada, a tabela 4 refere-se à taxa anual de depreciação dos ativos.</w:t>
            </w:r>
          </w:p>
        </w:tc>
      </w:tr>
      <w:tr w:rsidR="00446C45" w:rsidRPr="007B1946" w:rsidTr="00356AA7">
        <w:trPr>
          <w:trHeight w:val="2268"/>
        </w:trPr>
        <w:tc>
          <w:tcPr>
            <w:tcW w:w="554" w:type="pct"/>
            <w:vAlign w:val="center"/>
          </w:tcPr>
          <w:p w:rsidR="00446C45" w:rsidRDefault="001901B9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Esclarecimento</w:t>
            </w:r>
          </w:p>
        </w:tc>
        <w:tc>
          <w:tcPr>
            <w:tcW w:w="845" w:type="pct"/>
            <w:vAlign w:val="center"/>
          </w:tcPr>
          <w:p w:rsidR="00446C45" w:rsidRDefault="001901B9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3.16.2</w:t>
            </w:r>
          </w:p>
        </w:tc>
        <w:tc>
          <w:tcPr>
            <w:tcW w:w="1789" w:type="pct"/>
            <w:vAlign w:val="center"/>
          </w:tcPr>
          <w:p w:rsidR="00446C45" w:rsidRDefault="00446C45" w:rsidP="001901B9">
            <w:pPr>
              <w:pStyle w:val="Ttulo3"/>
              <w:numPr>
                <w:ilvl w:val="0"/>
                <w:numId w:val="0"/>
              </w:numPr>
              <w:outlineLvl w:val="2"/>
            </w:pPr>
          </w:p>
        </w:tc>
        <w:tc>
          <w:tcPr>
            <w:tcW w:w="1812" w:type="pct"/>
            <w:vAlign w:val="center"/>
          </w:tcPr>
          <w:p w:rsidR="00446C45" w:rsidRPr="00AA587A" w:rsidRDefault="001901B9" w:rsidP="007B1946">
            <w:pPr>
              <w:rPr>
                <w:sz w:val="22"/>
                <w:szCs w:val="22"/>
              </w:rPr>
            </w:pPr>
            <w:r w:rsidRPr="00E30BBE">
              <w:rPr>
                <w:sz w:val="22"/>
                <w:szCs w:val="22"/>
              </w:rPr>
              <w:t>Qual é a vigência do Termo de Compromisso, caso o Processo de Licitação tenha êxito?</w:t>
            </w:r>
          </w:p>
        </w:tc>
      </w:tr>
      <w:tr w:rsidR="00446C45" w:rsidRPr="007B1946" w:rsidTr="00356AA7">
        <w:trPr>
          <w:trHeight w:val="2268"/>
        </w:trPr>
        <w:tc>
          <w:tcPr>
            <w:tcW w:w="554" w:type="pct"/>
            <w:vAlign w:val="center"/>
          </w:tcPr>
          <w:p w:rsidR="00446C45" w:rsidRDefault="008B50A3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446C45" w:rsidRDefault="008B50A3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3.17.1</w:t>
            </w:r>
          </w:p>
        </w:tc>
        <w:tc>
          <w:tcPr>
            <w:tcW w:w="1789" w:type="pct"/>
            <w:vAlign w:val="center"/>
          </w:tcPr>
          <w:p w:rsidR="008B50A3" w:rsidRPr="005C3991" w:rsidRDefault="008B50A3" w:rsidP="001C1572">
            <w:pPr>
              <w:pStyle w:val="Ttulo3"/>
              <w:numPr>
                <w:ilvl w:val="0"/>
                <w:numId w:val="0"/>
              </w:numPr>
              <w:outlineLvl w:val="2"/>
            </w:pPr>
            <w:bookmarkStart w:id="9" w:name="_Toc363660106"/>
            <w:r>
              <w:t xml:space="preserve">No ato da assinatura do Termo de Compromisso, o </w:t>
            </w:r>
            <w:r w:rsidRPr="005C3991">
              <w:t>Carregador Vencedor</w:t>
            </w:r>
            <w:r>
              <w:t xml:space="preserve"> deverá apresentar </w:t>
            </w:r>
            <w:r w:rsidRPr="009A675E">
              <w:t>instrumento jurídico-financeiro</w:t>
            </w:r>
            <w:r>
              <w:t xml:space="preserve">, nos termos do item 3.17.3, com a finalidade de garantir o cumprimento das obrigações previstas no Termo de Compromisso, em especial quanto </w:t>
            </w:r>
            <w:r w:rsidRPr="009A675E">
              <w:t>aos pagamentos referentes ao período de vigência do Contrato de Serviço de Transporte</w:t>
            </w:r>
            <w:r>
              <w:t xml:space="preserve"> a ser </w:t>
            </w:r>
            <w:r w:rsidRPr="005C3991">
              <w:t>celebrado com o transportador concessionário da atividade de transporte de gás natural.</w:t>
            </w:r>
            <w:bookmarkEnd w:id="9"/>
          </w:p>
          <w:p w:rsidR="00446C45" w:rsidRDefault="00446C45" w:rsidP="00381BF5">
            <w:pPr>
              <w:pStyle w:val="Ttulo3"/>
              <w:numPr>
                <w:ilvl w:val="0"/>
                <w:numId w:val="0"/>
              </w:numPr>
              <w:outlineLvl w:val="2"/>
            </w:pPr>
          </w:p>
        </w:tc>
        <w:tc>
          <w:tcPr>
            <w:tcW w:w="1812" w:type="pct"/>
            <w:vAlign w:val="center"/>
          </w:tcPr>
          <w:p w:rsidR="008B50A3" w:rsidRPr="00E30BBE" w:rsidRDefault="008B50A3" w:rsidP="00E30BBE">
            <w:pPr>
              <w:rPr>
                <w:sz w:val="22"/>
                <w:szCs w:val="22"/>
              </w:rPr>
            </w:pPr>
            <w:r w:rsidRPr="00E30BBE">
              <w:rPr>
                <w:sz w:val="22"/>
                <w:szCs w:val="22"/>
              </w:rPr>
              <w:t>Deixar claro que o instrumento jurídico-financeiro é um dos previstos no item 3.17.3</w:t>
            </w:r>
          </w:p>
          <w:p w:rsidR="00446C45" w:rsidRPr="00AA587A" w:rsidRDefault="00446C45" w:rsidP="007B1946">
            <w:pPr>
              <w:rPr>
                <w:sz w:val="22"/>
                <w:szCs w:val="22"/>
              </w:rPr>
            </w:pPr>
          </w:p>
        </w:tc>
      </w:tr>
      <w:tr w:rsidR="00446C45" w:rsidRPr="007B1946" w:rsidTr="00356AA7">
        <w:trPr>
          <w:trHeight w:val="2268"/>
        </w:trPr>
        <w:tc>
          <w:tcPr>
            <w:tcW w:w="554" w:type="pct"/>
            <w:vAlign w:val="center"/>
          </w:tcPr>
          <w:p w:rsidR="00446C45" w:rsidRDefault="00B163AB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446C45" w:rsidRPr="00266D59" w:rsidRDefault="00B163AB" w:rsidP="00266D59">
            <w:pPr>
              <w:pStyle w:val="PargrafodaLista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266D59">
              <w:rPr>
                <w:sz w:val="22"/>
                <w:szCs w:val="22"/>
              </w:rPr>
              <w:t>Cronograma</w:t>
            </w:r>
          </w:p>
        </w:tc>
        <w:tc>
          <w:tcPr>
            <w:tcW w:w="1789" w:type="pct"/>
            <w:vAlign w:val="center"/>
          </w:tcPr>
          <w:p w:rsidR="00B163AB" w:rsidRPr="00266D59" w:rsidRDefault="00266D59" w:rsidP="00266D59">
            <w:pPr>
              <w:rPr>
                <w:bCs/>
                <w:sz w:val="22"/>
                <w:szCs w:val="26"/>
                <w:lang w:eastAsia="en-US"/>
              </w:rPr>
            </w:pPr>
            <w:r>
              <w:rPr>
                <w:bCs/>
                <w:sz w:val="22"/>
                <w:szCs w:val="26"/>
                <w:lang w:eastAsia="en-US"/>
              </w:rPr>
              <w:t xml:space="preserve">1 - </w:t>
            </w:r>
            <w:r w:rsidR="00B163AB" w:rsidRPr="00266D59">
              <w:rPr>
                <w:bCs/>
                <w:sz w:val="22"/>
                <w:szCs w:val="26"/>
                <w:lang w:eastAsia="en-US"/>
              </w:rPr>
              <w:t>Não contemplou o período de manifestação do MME e nova Rodada.</w:t>
            </w:r>
          </w:p>
          <w:p w:rsidR="00B163AB" w:rsidRPr="00F80D46" w:rsidRDefault="00B163AB" w:rsidP="00B163AB">
            <w:pPr>
              <w:rPr>
                <w:bCs/>
                <w:sz w:val="22"/>
                <w:szCs w:val="26"/>
                <w:lang w:eastAsia="en-US"/>
              </w:rPr>
            </w:pPr>
          </w:p>
          <w:p w:rsidR="00B163AB" w:rsidRPr="00F80D46" w:rsidRDefault="00266D59" w:rsidP="00B163AB">
            <w:pPr>
              <w:rPr>
                <w:bCs/>
                <w:sz w:val="22"/>
                <w:szCs w:val="26"/>
                <w:lang w:eastAsia="en-US"/>
              </w:rPr>
            </w:pPr>
            <w:r>
              <w:rPr>
                <w:bCs/>
                <w:sz w:val="22"/>
                <w:szCs w:val="26"/>
                <w:lang w:eastAsia="en-US"/>
              </w:rPr>
              <w:t xml:space="preserve">2 </w:t>
            </w:r>
            <w:r w:rsidR="003D488D">
              <w:rPr>
                <w:bCs/>
                <w:sz w:val="22"/>
                <w:szCs w:val="26"/>
                <w:lang w:eastAsia="en-US"/>
              </w:rPr>
              <w:t>–</w:t>
            </w:r>
            <w:r>
              <w:rPr>
                <w:bCs/>
                <w:sz w:val="22"/>
                <w:szCs w:val="26"/>
                <w:lang w:eastAsia="en-US"/>
              </w:rPr>
              <w:t xml:space="preserve"> </w:t>
            </w:r>
            <w:r w:rsidR="003D488D">
              <w:rPr>
                <w:bCs/>
                <w:sz w:val="22"/>
                <w:szCs w:val="26"/>
                <w:lang w:eastAsia="en-US"/>
              </w:rPr>
              <w:t xml:space="preserve">Item </w:t>
            </w:r>
            <w:r w:rsidR="002E3B34">
              <w:rPr>
                <w:bCs/>
                <w:sz w:val="22"/>
                <w:szCs w:val="26"/>
                <w:lang w:eastAsia="en-US"/>
              </w:rPr>
              <w:t>“</w:t>
            </w:r>
            <w:r w:rsidR="003D488D">
              <w:rPr>
                <w:bCs/>
                <w:sz w:val="22"/>
                <w:szCs w:val="26"/>
                <w:lang w:eastAsia="en-US"/>
              </w:rPr>
              <w:t>Possíveis iterações e recálculo do dimensionamento e da Tarifa Máxima com a solicitação de confirmação/retificação das Propostas Garantidas</w:t>
            </w:r>
            <w:r w:rsidR="002E3B34">
              <w:rPr>
                <w:bCs/>
                <w:sz w:val="22"/>
                <w:szCs w:val="26"/>
                <w:lang w:eastAsia="en-US"/>
              </w:rPr>
              <w:t>”</w:t>
            </w:r>
            <w:r w:rsidR="003D488D">
              <w:rPr>
                <w:bCs/>
                <w:sz w:val="22"/>
                <w:szCs w:val="26"/>
                <w:lang w:eastAsia="en-US"/>
              </w:rPr>
              <w:t>. Dividir em:</w:t>
            </w:r>
          </w:p>
          <w:p w:rsidR="003D488D" w:rsidRDefault="00B163AB" w:rsidP="003D488D">
            <w:pPr>
              <w:rPr>
                <w:bCs/>
                <w:sz w:val="22"/>
                <w:szCs w:val="26"/>
                <w:lang w:eastAsia="en-US"/>
              </w:rPr>
            </w:pPr>
            <w:r w:rsidRPr="00F80D46">
              <w:rPr>
                <w:bCs/>
                <w:sz w:val="22"/>
                <w:szCs w:val="26"/>
                <w:lang w:eastAsia="en-US"/>
              </w:rPr>
              <w:t>(</w:t>
            </w:r>
            <w:r w:rsidR="003D488D">
              <w:rPr>
                <w:bCs/>
                <w:sz w:val="22"/>
                <w:szCs w:val="26"/>
                <w:lang w:eastAsia="en-US"/>
              </w:rPr>
              <w:t>i</w:t>
            </w:r>
            <w:r w:rsidRPr="00F80D46">
              <w:rPr>
                <w:bCs/>
                <w:sz w:val="22"/>
                <w:szCs w:val="26"/>
                <w:lang w:eastAsia="en-US"/>
              </w:rPr>
              <w:t>) iterações/recálculo (ANP) e</w:t>
            </w:r>
            <w:r w:rsidR="002E3B34">
              <w:rPr>
                <w:bCs/>
                <w:sz w:val="22"/>
                <w:szCs w:val="26"/>
                <w:lang w:eastAsia="en-US"/>
              </w:rPr>
              <w:t>;</w:t>
            </w:r>
          </w:p>
          <w:p w:rsidR="00446C45" w:rsidRDefault="003D488D" w:rsidP="003D488D">
            <w:r>
              <w:rPr>
                <w:bCs/>
                <w:sz w:val="22"/>
                <w:szCs w:val="26"/>
                <w:lang w:eastAsia="en-US"/>
              </w:rPr>
              <w:t>(ii)</w:t>
            </w:r>
            <w:r w:rsidR="00B163AB" w:rsidRPr="00F80D46">
              <w:rPr>
                <w:bCs/>
                <w:sz w:val="22"/>
                <w:szCs w:val="26"/>
                <w:lang w:eastAsia="en-US"/>
              </w:rPr>
              <w:t xml:space="preserve"> confirmação/retificação das Propostas Garantidas </w:t>
            </w:r>
            <w:r>
              <w:rPr>
                <w:bCs/>
                <w:sz w:val="22"/>
                <w:szCs w:val="26"/>
                <w:lang w:eastAsia="en-US"/>
              </w:rPr>
              <w:t xml:space="preserve">pelos </w:t>
            </w:r>
            <w:r w:rsidR="00B163AB" w:rsidRPr="00F80D46">
              <w:rPr>
                <w:bCs/>
                <w:sz w:val="22"/>
                <w:szCs w:val="26"/>
                <w:lang w:eastAsia="en-US"/>
              </w:rPr>
              <w:t>Carregadores interessados</w:t>
            </w:r>
            <w:r>
              <w:rPr>
                <w:bCs/>
                <w:sz w:val="22"/>
                <w:szCs w:val="26"/>
                <w:lang w:eastAsia="en-US"/>
              </w:rPr>
              <w:t xml:space="preserve">; Data/período 2 dias úteis para </w:t>
            </w:r>
            <w:r w:rsidR="00B163AB" w:rsidRPr="00F80D46">
              <w:rPr>
                <w:bCs/>
                <w:sz w:val="22"/>
                <w:szCs w:val="26"/>
                <w:lang w:eastAsia="en-US"/>
              </w:rPr>
              <w:t>cada confirmação/retificação.</w:t>
            </w:r>
          </w:p>
        </w:tc>
        <w:tc>
          <w:tcPr>
            <w:tcW w:w="1812" w:type="pct"/>
            <w:vAlign w:val="center"/>
          </w:tcPr>
          <w:p w:rsidR="00BC2992" w:rsidRDefault="003D488D" w:rsidP="007B194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6"/>
                <w:lang w:eastAsia="en-US"/>
              </w:rPr>
              <w:t xml:space="preserve">2 - </w:t>
            </w:r>
            <w:r w:rsidRPr="00F80D46">
              <w:rPr>
                <w:bCs/>
                <w:sz w:val="22"/>
                <w:szCs w:val="26"/>
                <w:lang w:eastAsia="en-US"/>
              </w:rPr>
              <w:t>O prazo de 5 dias úteis para a realização de até 10 iterações e recálculo do dimensionamento do Gasoduto de Referência e da Tarifa Máxima com a solicitação de confirmação/retifi</w:t>
            </w:r>
            <w:r>
              <w:rPr>
                <w:bCs/>
                <w:sz w:val="22"/>
                <w:szCs w:val="26"/>
                <w:lang w:eastAsia="en-US"/>
              </w:rPr>
              <w:t>cação das Propostas Garantidas é considerad</w:t>
            </w:r>
            <w:r w:rsidR="002E3B34">
              <w:rPr>
                <w:bCs/>
                <w:sz w:val="22"/>
                <w:szCs w:val="26"/>
                <w:lang w:eastAsia="en-US"/>
              </w:rPr>
              <w:t>o</w:t>
            </w:r>
            <w:r>
              <w:rPr>
                <w:bCs/>
                <w:sz w:val="22"/>
                <w:szCs w:val="26"/>
                <w:lang w:eastAsia="en-US"/>
              </w:rPr>
              <w:t xml:space="preserve"> insuficiente.</w:t>
            </w:r>
            <w:r w:rsidR="002E3B34">
              <w:rPr>
                <w:bCs/>
                <w:sz w:val="22"/>
                <w:szCs w:val="26"/>
                <w:lang w:eastAsia="en-US"/>
              </w:rPr>
              <w:t xml:space="preserve"> Além disso, sugere-se que haja um prazo de pelo menos 2 dias úteis para que os carregadores avaliem a sua permanência no Processo.</w:t>
            </w:r>
          </w:p>
          <w:p w:rsidR="00BC2992" w:rsidRDefault="00BC2992" w:rsidP="007B1946">
            <w:pPr>
              <w:rPr>
                <w:sz w:val="22"/>
                <w:szCs w:val="22"/>
              </w:rPr>
            </w:pPr>
          </w:p>
          <w:p w:rsidR="00BC2992" w:rsidRDefault="00BC2992" w:rsidP="007B1946">
            <w:pPr>
              <w:rPr>
                <w:sz w:val="22"/>
                <w:szCs w:val="22"/>
              </w:rPr>
            </w:pPr>
          </w:p>
          <w:p w:rsidR="00BC2992" w:rsidRDefault="00BC2992" w:rsidP="007B1946">
            <w:pPr>
              <w:rPr>
                <w:sz w:val="22"/>
                <w:szCs w:val="22"/>
              </w:rPr>
            </w:pPr>
          </w:p>
          <w:p w:rsidR="00BC2992" w:rsidRDefault="00BC2992" w:rsidP="007B1946">
            <w:pPr>
              <w:rPr>
                <w:sz w:val="22"/>
                <w:szCs w:val="22"/>
              </w:rPr>
            </w:pPr>
          </w:p>
          <w:p w:rsidR="00BC2992" w:rsidRDefault="00BC2992" w:rsidP="007B1946">
            <w:pPr>
              <w:rPr>
                <w:sz w:val="22"/>
                <w:szCs w:val="22"/>
              </w:rPr>
            </w:pPr>
          </w:p>
          <w:p w:rsidR="00BC2992" w:rsidRDefault="00BC2992" w:rsidP="007B1946">
            <w:pPr>
              <w:rPr>
                <w:sz w:val="22"/>
                <w:szCs w:val="22"/>
              </w:rPr>
            </w:pPr>
          </w:p>
          <w:p w:rsidR="00BC2992" w:rsidRDefault="00BC2992" w:rsidP="007B1946">
            <w:pPr>
              <w:rPr>
                <w:sz w:val="22"/>
                <w:szCs w:val="22"/>
              </w:rPr>
            </w:pPr>
          </w:p>
          <w:p w:rsidR="00BC2992" w:rsidRPr="00AA587A" w:rsidRDefault="00BC2992" w:rsidP="007B1946">
            <w:pPr>
              <w:rPr>
                <w:sz w:val="22"/>
                <w:szCs w:val="22"/>
              </w:rPr>
            </w:pPr>
          </w:p>
        </w:tc>
      </w:tr>
      <w:tr w:rsidR="00446C45" w:rsidRPr="007B1946" w:rsidTr="00356AA7">
        <w:trPr>
          <w:trHeight w:val="2268"/>
        </w:trPr>
        <w:tc>
          <w:tcPr>
            <w:tcW w:w="554" w:type="pct"/>
            <w:vAlign w:val="center"/>
          </w:tcPr>
          <w:p w:rsidR="00446C45" w:rsidRDefault="00383385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446C45" w:rsidRDefault="00383385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Glossário</w:t>
            </w:r>
          </w:p>
        </w:tc>
        <w:tc>
          <w:tcPr>
            <w:tcW w:w="1789" w:type="pct"/>
            <w:vAlign w:val="center"/>
          </w:tcPr>
          <w:p w:rsidR="00383385" w:rsidRDefault="00383385" w:rsidP="00867FEA">
            <w:pPr>
              <w:pStyle w:val="Ttulo3"/>
              <w:numPr>
                <w:ilvl w:val="0"/>
                <w:numId w:val="0"/>
              </w:numPr>
              <w:outlineLvl w:val="2"/>
            </w:pPr>
            <w:r w:rsidRPr="00505C5D">
              <w:t>“</w:t>
            </w:r>
            <w:r w:rsidRPr="00B2207F">
              <w:t xml:space="preserve">Contrato </w:t>
            </w:r>
            <w:r>
              <w:t>d</w:t>
            </w:r>
            <w:r w:rsidRPr="00B2207F">
              <w:t>e Concessão</w:t>
            </w:r>
            <w:r w:rsidRPr="00505C5D">
              <w:t>”:</w:t>
            </w:r>
            <w:r>
              <w:t xml:space="preserve"> </w:t>
            </w:r>
            <w:r w:rsidRPr="003208B4">
              <w:t xml:space="preserve">instrumento contratual que disciplina a atividade de </w:t>
            </w:r>
            <w:r>
              <w:t>T</w:t>
            </w:r>
            <w:r w:rsidRPr="003208B4">
              <w:t xml:space="preserve">ransporte de </w:t>
            </w:r>
            <w:r>
              <w:t>G</w:t>
            </w:r>
            <w:r w:rsidRPr="003208B4">
              <w:t xml:space="preserve">ás </w:t>
            </w:r>
            <w:r>
              <w:t>N</w:t>
            </w:r>
            <w:r w:rsidRPr="003208B4">
              <w:t xml:space="preserve">atural </w:t>
            </w:r>
            <w:r>
              <w:t>para um ou mais Gasodutos de Transporte</w:t>
            </w:r>
            <w:r w:rsidRPr="003208B4">
              <w:t xml:space="preserve">, a ser celebrado entre </w:t>
            </w:r>
            <w:r>
              <w:t>o MME</w:t>
            </w:r>
            <w:r w:rsidRPr="003208B4">
              <w:t xml:space="preserve"> e o </w:t>
            </w:r>
            <w:r>
              <w:t>T</w:t>
            </w:r>
            <w:r w:rsidRPr="003208B4">
              <w:t>ransportador, e seus Anexos</w:t>
            </w:r>
            <w:r w:rsidRPr="00505C5D">
              <w:t>.</w:t>
            </w:r>
          </w:p>
          <w:p w:rsidR="00446C45" w:rsidRDefault="00446C45" w:rsidP="00BC2992"/>
        </w:tc>
        <w:tc>
          <w:tcPr>
            <w:tcW w:w="1812" w:type="pct"/>
            <w:vAlign w:val="center"/>
          </w:tcPr>
          <w:p w:rsidR="00446C45" w:rsidRPr="00AA587A" w:rsidRDefault="00383385" w:rsidP="007B1946">
            <w:pPr>
              <w:rPr>
                <w:sz w:val="22"/>
                <w:szCs w:val="22"/>
              </w:rPr>
            </w:pPr>
            <w:r w:rsidRPr="008F490E">
              <w:rPr>
                <w:sz w:val="22"/>
                <w:szCs w:val="22"/>
              </w:rPr>
              <w:t>De acordo com o artigo 19 do Decreto nº 7.382/10, “o Ministério de Minas e Energia celebrará os contratos de concessão (...)”. Por força do §1º do mesmo artigo, a competência para celebrar os contratos de concessão poderá ser delegada à ANP por ato do Ministro de Estado de Minas e Energia. Ocorre, entretanto, que no caso específico do gasoduto Itaboraí-Guapimirim, a Portaria MME nº 450/13 dispôs, em seu art. 8º que o próprio MME celebrará o Contrato de Concessão.</w:t>
            </w:r>
          </w:p>
        </w:tc>
      </w:tr>
      <w:tr w:rsidR="00AF17D0" w:rsidRPr="007B1946" w:rsidTr="00356AA7">
        <w:trPr>
          <w:trHeight w:val="2268"/>
        </w:trPr>
        <w:tc>
          <w:tcPr>
            <w:tcW w:w="554" w:type="pct"/>
            <w:vAlign w:val="center"/>
          </w:tcPr>
          <w:p w:rsidR="00AF17D0" w:rsidRDefault="00AF17D0" w:rsidP="00F9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AF17D0" w:rsidRDefault="00AF17D0" w:rsidP="00F97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Glossário</w:t>
            </w:r>
          </w:p>
        </w:tc>
        <w:tc>
          <w:tcPr>
            <w:tcW w:w="1789" w:type="pct"/>
            <w:vAlign w:val="center"/>
          </w:tcPr>
          <w:p w:rsidR="00AF17D0" w:rsidRDefault="00AF17D0" w:rsidP="00381BF5">
            <w:pPr>
              <w:pStyle w:val="Ttulo3"/>
              <w:numPr>
                <w:ilvl w:val="0"/>
                <w:numId w:val="0"/>
              </w:numPr>
              <w:outlineLvl w:val="2"/>
            </w:pPr>
            <w:r w:rsidRPr="00505C5D">
              <w:t>“</w:t>
            </w:r>
            <w:r w:rsidRPr="00C14B62">
              <w:t xml:space="preserve">Serviço </w:t>
            </w:r>
            <w:r>
              <w:t>d</w:t>
            </w:r>
            <w:r w:rsidRPr="00C14B62">
              <w:t>e Transporte Interruptível</w:t>
            </w:r>
            <w:r w:rsidRPr="00505C5D">
              <w:t>”:</w:t>
            </w:r>
            <w:r>
              <w:t xml:space="preserve"> S</w:t>
            </w:r>
            <w:r w:rsidRPr="00981582">
              <w:t xml:space="preserve">erviço de </w:t>
            </w:r>
            <w:r>
              <w:t>T</w:t>
            </w:r>
            <w:r w:rsidRPr="00981582">
              <w:t xml:space="preserve">ransporte </w:t>
            </w:r>
            <w:r>
              <w:t xml:space="preserve">contratado em capacidade ociosa, </w:t>
            </w:r>
            <w:r w:rsidRPr="00981582">
              <w:t xml:space="preserve">que poderá ser interrompido pelo Transportador, dada a prioridade de programação do Serviço </w:t>
            </w:r>
            <w:r>
              <w:t>d</w:t>
            </w:r>
            <w:r w:rsidRPr="00981582">
              <w:t>e Transporte Firme</w:t>
            </w:r>
            <w:r w:rsidRPr="00505C5D">
              <w:t>.</w:t>
            </w:r>
          </w:p>
        </w:tc>
        <w:tc>
          <w:tcPr>
            <w:tcW w:w="1812" w:type="pct"/>
            <w:vAlign w:val="center"/>
          </w:tcPr>
          <w:p w:rsidR="00AF17D0" w:rsidRPr="00AA587A" w:rsidRDefault="00AF17D0" w:rsidP="007B1946">
            <w:pPr>
              <w:rPr>
                <w:sz w:val="22"/>
                <w:szCs w:val="22"/>
              </w:rPr>
            </w:pPr>
            <w:r w:rsidRPr="00C25F7A">
              <w:rPr>
                <w:bCs/>
                <w:sz w:val="22"/>
                <w:szCs w:val="26"/>
                <w:lang w:eastAsia="en-US"/>
              </w:rPr>
              <w:t>Sugerimos a adoção da definição c</w:t>
            </w:r>
            <w:r w:rsidR="00C25F7A">
              <w:rPr>
                <w:bCs/>
                <w:sz w:val="22"/>
                <w:szCs w:val="26"/>
                <w:lang w:eastAsia="en-US"/>
              </w:rPr>
              <w:t>onstante do Decreto nº 7.382/10</w:t>
            </w:r>
          </w:p>
        </w:tc>
      </w:tr>
      <w:tr w:rsidR="00AF17D0" w:rsidRPr="007B1946" w:rsidTr="00356AA7">
        <w:trPr>
          <w:trHeight w:val="2268"/>
        </w:trPr>
        <w:tc>
          <w:tcPr>
            <w:tcW w:w="554" w:type="pct"/>
            <w:vAlign w:val="center"/>
          </w:tcPr>
          <w:p w:rsidR="00AF17D0" w:rsidRDefault="00A12AB9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</w:t>
            </w:r>
          </w:p>
        </w:tc>
        <w:tc>
          <w:tcPr>
            <w:tcW w:w="845" w:type="pct"/>
            <w:vAlign w:val="center"/>
          </w:tcPr>
          <w:p w:rsidR="00AF17D0" w:rsidRDefault="00A12AB9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Glossário</w:t>
            </w:r>
          </w:p>
        </w:tc>
        <w:tc>
          <w:tcPr>
            <w:tcW w:w="1789" w:type="pct"/>
            <w:vAlign w:val="center"/>
          </w:tcPr>
          <w:p w:rsidR="00A12AB9" w:rsidRPr="00505C5D" w:rsidRDefault="00867FEA" w:rsidP="00A12AB9">
            <w:pPr>
              <w:pStyle w:val="Ttulo3"/>
              <w:numPr>
                <w:ilvl w:val="0"/>
                <w:numId w:val="0"/>
              </w:numPr>
              <w:outlineLvl w:val="2"/>
            </w:pPr>
            <w:r>
              <w:t>“</w:t>
            </w:r>
            <w:r w:rsidR="00A12AB9" w:rsidRPr="008F490E">
              <w:t>Tarifa de Transporte Máxima</w:t>
            </w:r>
            <w:r w:rsidR="00A12AB9" w:rsidRPr="004E01D2">
              <w:t xml:space="preserve"> do Gasoduto de Referência</w:t>
            </w:r>
            <w:r>
              <w:t>”</w:t>
            </w:r>
            <w:r w:rsidR="00A12AB9">
              <w:t xml:space="preserve"> - </w:t>
            </w:r>
            <w:r w:rsidR="00A12AB9" w:rsidRPr="00A91FD0">
              <w:t>valor máximo</w:t>
            </w:r>
            <w:r w:rsidR="00A12AB9">
              <w:t xml:space="preserve"> estabelecido no Edital de Chamada Pública, </w:t>
            </w:r>
            <w:r w:rsidR="00A12AB9" w:rsidRPr="00A91FD0">
              <w:t>a título de tarifa de transporte</w:t>
            </w:r>
            <w:r w:rsidR="00A12AB9">
              <w:t xml:space="preserve">, que será utilizado apenas como referência para a Manifestação de Interesse e </w:t>
            </w:r>
            <w:r w:rsidR="00F23A94">
              <w:t xml:space="preserve">para </w:t>
            </w:r>
            <w:r w:rsidR="00A12AB9">
              <w:t xml:space="preserve">cada iteração </w:t>
            </w:r>
            <w:r w:rsidR="00F23A94">
              <w:t>na</w:t>
            </w:r>
            <w:r w:rsidR="00A12AB9">
              <w:t xml:space="preserve"> definição do gasoduto de referência.</w:t>
            </w:r>
          </w:p>
          <w:p w:rsidR="00AF17D0" w:rsidRDefault="00AF17D0" w:rsidP="00381BF5">
            <w:pPr>
              <w:pStyle w:val="Ttulo3"/>
              <w:numPr>
                <w:ilvl w:val="0"/>
                <w:numId w:val="0"/>
              </w:numPr>
              <w:outlineLvl w:val="2"/>
            </w:pPr>
          </w:p>
        </w:tc>
        <w:tc>
          <w:tcPr>
            <w:tcW w:w="1812" w:type="pct"/>
            <w:vAlign w:val="center"/>
          </w:tcPr>
          <w:p w:rsidR="00AF17D0" w:rsidRPr="00AA587A" w:rsidRDefault="00867FEA" w:rsidP="00F23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Deixar mais claro que durante o processo de Chamada Pública haverá a utilização</w:t>
            </w:r>
            <w:r w:rsidR="00A00FFF">
              <w:rPr>
                <w:sz w:val="22"/>
                <w:szCs w:val="22"/>
              </w:rPr>
              <w:t xml:space="preserve"> inicial</w:t>
            </w:r>
            <w:r>
              <w:rPr>
                <w:sz w:val="22"/>
                <w:szCs w:val="22"/>
              </w:rPr>
              <w:t xml:space="preserve"> de uma “Tarifa de Transporte Máxima do Gasoduto de Referência”, que terá como resultante, após os redimensionamentos</w:t>
            </w:r>
            <w:r w:rsidR="00A00FFF">
              <w:rPr>
                <w:sz w:val="22"/>
                <w:szCs w:val="22"/>
              </w:rPr>
              <w:t xml:space="preserve"> e</w:t>
            </w:r>
            <w:r>
              <w:rPr>
                <w:sz w:val="22"/>
                <w:szCs w:val="22"/>
              </w:rPr>
              <w:t xml:space="preserve"> iterações, a </w:t>
            </w:r>
            <w:r w:rsidR="00581054">
              <w:rPr>
                <w:sz w:val="22"/>
                <w:szCs w:val="22"/>
              </w:rPr>
              <w:t xml:space="preserve">efetiva </w:t>
            </w:r>
            <w:r>
              <w:rPr>
                <w:sz w:val="22"/>
                <w:szCs w:val="22"/>
              </w:rPr>
              <w:t xml:space="preserve">Tarifa de Transporte Máxima. </w:t>
            </w:r>
          </w:p>
        </w:tc>
      </w:tr>
      <w:tr w:rsidR="00AF17D0" w:rsidRPr="007B1946" w:rsidTr="00356AA7">
        <w:trPr>
          <w:trHeight w:val="2268"/>
        </w:trPr>
        <w:tc>
          <w:tcPr>
            <w:tcW w:w="554" w:type="pct"/>
            <w:vAlign w:val="center"/>
          </w:tcPr>
          <w:p w:rsidR="00AF17D0" w:rsidRDefault="002F7D72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</w:t>
            </w:r>
          </w:p>
        </w:tc>
        <w:tc>
          <w:tcPr>
            <w:tcW w:w="845" w:type="pct"/>
            <w:vAlign w:val="center"/>
          </w:tcPr>
          <w:p w:rsidR="00AF17D0" w:rsidRDefault="002F7D72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6.2.3.</w:t>
            </w:r>
          </w:p>
        </w:tc>
        <w:tc>
          <w:tcPr>
            <w:tcW w:w="1789" w:type="pct"/>
            <w:vAlign w:val="center"/>
          </w:tcPr>
          <w:p w:rsidR="00AF17D0" w:rsidRDefault="002F7D72" w:rsidP="00381BF5">
            <w:pPr>
              <w:pStyle w:val="Ttulo3"/>
              <w:numPr>
                <w:ilvl w:val="0"/>
                <w:numId w:val="0"/>
              </w:numPr>
              <w:outlineLvl w:val="2"/>
            </w:pPr>
            <w:r w:rsidRPr="002F7D72">
              <w:t xml:space="preserve">A Capacidade que seria alocada ao(s) Carregador(es) excluído(s) com base no item 6.2.2 deste Edital será distribuída, de forma </w:t>
            </w:r>
            <w:r w:rsidRPr="002B647B">
              <w:rPr>
                <w:i/>
              </w:rPr>
              <w:t>pro rata</w:t>
            </w:r>
            <w:r w:rsidRPr="002F7D72">
              <w:t xml:space="preserve"> e respeitando o limite de capacidade pretendida, entre os demais Carregador(es) Habilitado(s) com Proposta(s) Garantida(s) válidas e vigentes.</w:t>
            </w:r>
          </w:p>
        </w:tc>
        <w:tc>
          <w:tcPr>
            <w:tcW w:w="1812" w:type="pct"/>
            <w:vAlign w:val="center"/>
          </w:tcPr>
          <w:p w:rsidR="00AF17D0" w:rsidRPr="00AA587A" w:rsidRDefault="002F7D72" w:rsidP="002F7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Deixar claro o critério que será utilizado para a distribuição</w:t>
            </w:r>
          </w:p>
        </w:tc>
      </w:tr>
      <w:tr w:rsidR="00AF17D0" w:rsidRPr="007B1946" w:rsidTr="00356AA7">
        <w:trPr>
          <w:trHeight w:val="2268"/>
        </w:trPr>
        <w:tc>
          <w:tcPr>
            <w:tcW w:w="554" w:type="pct"/>
            <w:vAlign w:val="center"/>
          </w:tcPr>
          <w:p w:rsidR="00AF17D0" w:rsidRDefault="005D62BA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AF17D0" w:rsidRDefault="005D62BA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8.2.2</w:t>
            </w:r>
          </w:p>
        </w:tc>
        <w:tc>
          <w:tcPr>
            <w:tcW w:w="1789" w:type="pct"/>
            <w:vAlign w:val="center"/>
          </w:tcPr>
          <w:p w:rsidR="00AF17D0" w:rsidRDefault="00AF17D0" w:rsidP="00381BF5">
            <w:pPr>
              <w:pStyle w:val="Ttulo3"/>
              <w:numPr>
                <w:ilvl w:val="0"/>
                <w:numId w:val="0"/>
              </w:numPr>
              <w:outlineLvl w:val="2"/>
            </w:pPr>
          </w:p>
        </w:tc>
        <w:tc>
          <w:tcPr>
            <w:tcW w:w="1812" w:type="pct"/>
            <w:vAlign w:val="center"/>
          </w:tcPr>
          <w:p w:rsidR="000343D5" w:rsidRPr="000343D5" w:rsidRDefault="000343D5" w:rsidP="000343D5">
            <w:pPr>
              <w:rPr>
                <w:sz w:val="22"/>
                <w:szCs w:val="22"/>
              </w:rPr>
            </w:pPr>
            <w:r w:rsidRPr="000343D5">
              <w:rPr>
                <w:sz w:val="22"/>
                <w:szCs w:val="22"/>
              </w:rPr>
              <w:t>Não há item 15 no anexo II do Edital.</w:t>
            </w:r>
          </w:p>
          <w:p w:rsidR="00AF17D0" w:rsidRPr="00AA587A" w:rsidRDefault="00AF17D0" w:rsidP="007B1946">
            <w:pPr>
              <w:rPr>
                <w:sz w:val="22"/>
                <w:szCs w:val="22"/>
              </w:rPr>
            </w:pPr>
          </w:p>
        </w:tc>
      </w:tr>
      <w:tr w:rsidR="00BE53C8" w:rsidRPr="007B1946" w:rsidTr="00356AA7">
        <w:trPr>
          <w:trHeight w:val="2268"/>
        </w:trPr>
        <w:tc>
          <w:tcPr>
            <w:tcW w:w="554" w:type="pct"/>
            <w:vAlign w:val="center"/>
          </w:tcPr>
          <w:p w:rsidR="00BE53C8" w:rsidRDefault="000343D5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BE53C8" w:rsidRDefault="000343D5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9.2.37 e Tabela 6</w:t>
            </w:r>
          </w:p>
        </w:tc>
        <w:tc>
          <w:tcPr>
            <w:tcW w:w="1789" w:type="pct"/>
            <w:vAlign w:val="center"/>
          </w:tcPr>
          <w:p w:rsidR="00BE53C8" w:rsidRDefault="00BE53C8" w:rsidP="00381BF5">
            <w:pPr>
              <w:pStyle w:val="Ttulo3"/>
              <w:numPr>
                <w:ilvl w:val="0"/>
                <w:numId w:val="0"/>
              </w:numPr>
              <w:outlineLvl w:val="2"/>
            </w:pPr>
          </w:p>
        </w:tc>
        <w:tc>
          <w:tcPr>
            <w:tcW w:w="1812" w:type="pct"/>
            <w:vAlign w:val="center"/>
          </w:tcPr>
          <w:p w:rsidR="00BE53C8" w:rsidRPr="00AA587A" w:rsidRDefault="000343D5" w:rsidP="000343D5">
            <w:pPr>
              <w:rPr>
                <w:sz w:val="22"/>
                <w:szCs w:val="22"/>
              </w:rPr>
            </w:pPr>
            <w:r w:rsidRPr="000343D5">
              <w:rPr>
                <w:sz w:val="22"/>
                <w:szCs w:val="22"/>
              </w:rPr>
              <w:t xml:space="preserve">A descrição da tabela 6 no item </w:t>
            </w:r>
            <w:r>
              <w:rPr>
                <w:sz w:val="22"/>
                <w:szCs w:val="22"/>
              </w:rPr>
              <w:t>9.</w:t>
            </w:r>
            <w:r w:rsidRPr="000343D5">
              <w:rPr>
                <w:sz w:val="22"/>
                <w:szCs w:val="22"/>
              </w:rPr>
              <w:t xml:space="preserve">2.37. não condiz com o título da tabela </w:t>
            </w:r>
            <w:r>
              <w:rPr>
                <w:sz w:val="22"/>
                <w:szCs w:val="22"/>
              </w:rPr>
              <w:t xml:space="preserve">6 </w:t>
            </w:r>
            <w:r w:rsidRPr="000343D5">
              <w:rPr>
                <w:sz w:val="22"/>
                <w:szCs w:val="22"/>
              </w:rPr>
              <w:t>como também não reflete o conteúdo da tabela.</w:t>
            </w:r>
          </w:p>
        </w:tc>
      </w:tr>
      <w:tr w:rsidR="00BE53C8" w:rsidRPr="007B1946" w:rsidTr="00356AA7">
        <w:trPr>
          <w:trHeight w:val="2268"/>
        </w:trPr>
        <w:tc>
          <w:tcPr>
            <w:tcW w:w="554" w:type="pct"/>
            <w:vAlign w:val="center"/>
          </w:tcPr>
          <w:p w:rsidR="00BE53C8" w:rsidRDefault="00F972DC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BE53C8" w:rsidRDefault="00F972DC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Anexo 1, item 5 (d)</w:t>
            </w:r>
          </w:p>
        </w:tc>
        <w:tc>
          <w:tcPr>
            <w:tcW w:w="1789" w:type="pct"/>
            <w:vAlign w:val="center"/>
          </w:tcPr>
          <w:p w:rsidR="00BE53C8" w:rsidRPr="00C1427E" w:rsidRDefault="00F972DC" w:rsidP="00C1427E">
            <w:pPr>
              <w:spacing w:line="360" w:lineRule="auto"/>
              <w:rPr>
                <w:sz w:val="22"/>
                <w:szCs w:val="22"/>
              </w:rPr>
            </w:pPr>
            <w:r w:rsidRPr="00C1427E">
              <w:rPr>
                <w:sz w:val="22"/>
                <w:szCs w:val="22"/>
              </w:rPr>
              <w:t>(1 mil m³ = 36,480 MMBTU)</w:t>
            </w:r>
          </w:p>
        </w:tc>
        <w:tc>
          <w:tcPr>
            <w:tcW w:w="1812" w:type="pct"/>
            <w:vAlign w:val="center"/>
          </w:tcPr>
          <w:p w:rsidR="00F972DC" w:rsidRPr="00C1427E" w:rsidRDefault="00F972DC" w:rsidP="00F972DC">
            <w:pPr>
              <w:spacing w:line="360" w:lineRule="auto"/>
              <w:rPr>
                <w:sz w:val="22"/>
                <w:szCs w:val="22"/>
              </w:rPr>
            </w:pPr>
            <w:r w:rsidRPr="00C1427E">
              <w:rPr>
                <w:sz w:val="22"/>
                <w:szCs w:val="22"/>
              </w:rPr>
              <w:t>Está divergente do estabelecido no item 9.2.29 (37.302, 1794 Btu/m³)</w:t>
            </w:r>
          </w:p>
          <w:p w:rsidR="00BE53C8" w:rsidRPr="00AA587A" w:rsidRDefault="00BE53C8" w:rsidP="007B1946">
            <w:pPr>
              <w:rPr>
                <w:sz w:val="22"/>
                <w:szCs w:val="22"/>
              </w:rPr>
            </w:pPr>
          </w:p>
        </w:tc>
      </w:tr>
      <w:tr w:rsidR="00BE53C8" w:rsidRPr="007B1946" w:rsidTr="00356AA7">
        <w:trPr>
          <w:trHeight w:val="2268"/>
        </w:trPr>
        <w:tc>
          <w:tcPr>
            <w:tcW w:w="554" w:type="pct"/>
            <w:vAlign w:val="center"/>
          </w:tcPr>
          <w:p w:rsidR="00BE53C8" w:rsidRDefault="00B63579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BE53C8" w:rsidRDefault="00B63579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TCG 13.1</w:t>
            </w:r>
          </w:p>
        </w:tc>
        <w:tc>
          <w:tcPr>
            <w:tcW w:w="1789" w:type="pct"/>
            <w:vAlign w:val="center"/>
          </w:tcPr>
          <w:p w:rsidR="00BE53C8" w:rsidRPr="00C1427E" w:rsidRDefault="00256691" w:rsidP="00E634ED">
            <w:pPr>
              <w:rPr>
                <w:sz w:val="22"/>
                <w:szCs w:val="22"/>
              </w:rPr>
            </w:pPr>
            <w:r w:rsidRPr="00E634ED">
              <w:rPr>
                <w:sz w:val="22"/>
                <w:szCs w:val="22"/>
              </w:rPr>
              <w:t>O Transportador operará e manterá a Instalação de Transporte utilizando os padrões de operação de gasodutos determinados pela norma ANSI B 31.8, suas revisões ou outra norma que venha substituí-la. O Transportador deverá obter certificação, ou comprovar re-certificação, conforme o caso, nos padrões ISO 9001 e ISSO 14001 no prazo de 2 (dois) anos a contar do início da prestação do Serviço de Transporte.</w:t>
            </w:r>
          </w:p>
        </w:tc>
        <w:tc>
          <w:tcPr>
            <w:tcW w:w="1812" w:type="pct"/>
            <w:vAlign w:val="center"/>
          </w:tcPr>
          <w:p w:rsidR="00256691" w:rsidRPr="00C1427E" w:rsidRDefault="00256691" w:rsidP="00256691">
            <w:pPr>
              <w:pStyle w:val="Importacao8"/>
              <w:spacing w:after="240" w:line="264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427E">
              <w:rPr>
                <w:rFonts w:ascii="Times New Roman" w:hAnsi="Times New Roman"/>
                <w:sz w:val="22"/>
                <w:szCs w:val="22"/>
              </w:rPr>
              <w:t>Manter a coerência com o TCG da TAG e da TBG aprovados pela ANP e ora praticado.</w:t>
            </w:r>
          </w:p>
          <w:p w:rsidR="00BE53C8" w:rsidRPr="00AA587A" w:rsidRDefault="00BE53C8" w:rsidP="007B1946">
            <w:pPr>
              <w:rPr>
                <w:sz w:val="22"/>
                <w:szCs w:val="22"/>
              </w:rPr>
            </w:pPr>
          </w:p>
        </w:tc>
      </w:tr>
      <w:tr w:rsidR="00BE53C8" w:rsidRPr="007B1946" w:rsidTr="00356AA7">
        <w:trPr>
          <w:trHeight w:val="2268"/>
        </w:trPr>
        <w:tc>
          <w:tcPr>
            <w:tcW w:w="554" w:type="pct"/>
            <w:vAlign w:val="center"/>
          </w:tcPr>
          <w:p w:rsidR="00BE53C8" w:rsidRDefault="00B63579" w:rsidP="00B6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Alteração </w:t>
            </w:r>
          </w:p>
        </w:tc>
        <w:tc>
          <w:tcPr>
            <w:tcW w:w="845" w:type="pct"/>
            <w:vAlign w:val="center"/>
          </w:tcPr>
          <w:p w:rsidR="00BE53C8" w:rsidRDefault="00B63579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TCG 13.2.3.</w:t>
            </w:r>
          </w:p>
        </w:tc>
        <w:tc>
          <w:tcPr>
            <w:tcW w:w="1789" w:type="pct"/>
            <w:vAlign w:val="center"/>
          </w:tcPr>
          <w:p w:rsidR="00BE53C8" w:rsidRDefault="00815386" w:rsidP="00E56F6A">
            <w:pPr>
              <w:pStyle w:val="Ttulo3"/>
              <w:numPr>
                <w:ilvl w:val="0"/>
                <w:numId w:val="0"/>
              </w:numPr>
              <w:outlineLvl w:val="2"/>
            </w:pPr>
            <w:r w:rsidRPr="00EF7FDD">
              <w:rPr>
                <w:szCs w:val="22"/>
              </w:rPr>
              <w:t xml:space="preserve">Sem prejuízo do disposto na Cláusula 13.2.1, caso o </w:t>
            </w:r>
            <w:r w:rsidRPr="00EF7FDD">
              <w:rPr>
                <w:smallCaps/>
                <w:szCs w:val="22"/>
              </w:rPr>
              <w:t>Transportador</w:t>
            </w:r>
            <w:r w:rsidRPr="00EF7FDD">
              <w:rPr>
                <w:szCs w:val="22"/>
              </w:rPr>
              <w:t xml:space="preserve"> necessite alterar o cronograma de </w:t>
            </w:r>
            <w:r w:rsidRPr="00EF7FDD">
              <w:rPr>
                <w:smallCaps/>
                <w:szCs w:val="22"/>
              </w:rPr>
              <w:t>Manutenção</w:t>
            </w:r>
            <w:r w:rsidRPr="00EF7FDD">
              <w:rPr>
                <w:szCs w:val="22"/>
              </w:rPr>
              <w:t xml:space="preserve"> </w:t>
            </w:r>
            <w:r w:rsidRPr="00EF7FDD">
              <w:rPr>
                <w:smallCaps/>
                <w:szCs w:val="22"/>
              </w:rPr>
              <w:t>Programada</w:t>
            </w:r>
            <w:r w:rsidRPr="00EF7FDD">
              <w:rPr>
                <w:szCs w:val="22"/>
              </w:rPr>
              <w:t xml:space="preserve">, este deverá encaminhar ao </w:t>
            </w:r>
            <w:r w:rsidRPr="00EF7FDD">
              <w:rPr>
                <w:smallCaps/>
                <w:szCs w:val="22"/>
              </w:rPr>
              <w:t>Carregador</w:t>
            </w:r>
            <w:r w:rsidRPr="00EF7FDD">
              <w:rPr>
                <w:szCs w:val="22"/>
              </w:rPr>
              <w:t xml:space="preserve">, com antecedência mínima de 15 (quinze) </w:t>
            </w:r>
            <w:r w:rsidRPr="00EF7FDD">
              <w:rPr>
                <w:smallCaps/>
                <w:szCs w:val="22"/>
              </w:rPr>
              <w:t>Dias</w:t>
            </w:r>
            <w:r w:rsidRPr="00EF7FDD">
              <w:rPr>
                <w:szCs w:val="22"/>
              </w:rPr>
              <w:t xml:space="preserve">, uma </w:t>
            </w:r>
            <w:r w:rsidRPr="00EF7FDD">
              <w:rPr>
                <w:smallCaps/>
                <w:szCs w:val="22"/>
              </w:rPr>
              <w:t>Notificação</w:t>
            </w:r>
            <w:r w:rsidRPr="00EF7FDD">
              <w:rPr>
                <w:szCs w:val="22"/>
              </w:rPr>
              <w:t xml:space="preserve"> detalhando os motivos de tal alteração e o novo cronograma da </w:t>
            </w:r>
            <w:r w:rsidRPr="00EF7FDD">
              <w:rPr>
                <w:smallCaps/>
                <w:szCs w:val="22"/>
              </w:rPr>
              <w:t>Manutenção</w:t>
            </w:r>
            <w:r w:rsidRPr="00EF7FDD">
              <w:rPr>
                <w:szCs w:val="22"/>
              </w:rPr>
              <w:t xml:space="preserve"> </w:t>
            </w:r>
            <w:r w:rsidRPr="00EF7FDD">
              <w:rPr>
                <w:smallCaps/>
                <w:szCs w:val="22"/>
              </w:rPr>
              <w:t>Programada</w:t>
            </w:r>
            <w:r w:rsidRPr="00EF7FDD">
              <w:rPr>
                <w:szCs w:val="22"/>
              </w:rPr>
              <w:t>.</w:t>
            </w:r>
            <w:r>
              <w:rPr>
                <w:szCs w:val="22"/>
              </w:rPr>
              <w:t xml:space="preserve">  O carregador poderá solicitar, com quinze </w:t>
            </w:r>
            <w:r w:rsidR="00E56F6A">
              <w:rPr>
                <w:szCs w:val="22"/>
              </w:rPr>
              <w:t xml:space="preserve">(15) </w:t>
            </w:r>
            <w:r>
              <w:rPr>
                <w:szCs w:val="22"/>
              </w:rPr>
              <w:t>dias</w:t>
            </w:r>
            <w:r w:rsidR="00E56F6A">
              <w:rPr>
                <w:szCs w:val="22"/>
              </w:rPr>
              <w:t xml:space="preserve"> de antecedência, o adiamento da atividade de MANUTENÇÃO PROGRAMADA, sendo certo que, havendo anuência do TRANSPORTADOR com a referida</w:t>
            </w:r>
            <w:r w:rsidR="007C1169">
              <w:rPr>
                <w:szCs w:val="22"/>
              </w:rPr>
              <w:t xml:space="preserve"> solicitação, deverá o CARREGADOR arcar com os custos de desmobilização e com todos os demais custos e despesas incorridos pelo TRANSPORTADOR e resultantes do mesmo adiamento.</w:t>
            </w:r>
          </w:p>
        </w:tc>
        <w:tc>
          <w:tcPr>
            <w:tcW w:w="1812" w:type="pct"/>
            <w:vAlign w:val="center"/>
          </w:tcPr>
          <w:p w:rsidR="00815386" w:rsidRPr="006523BD" w:rsidRDefault="00815386" w:rsidP="00815386">
            <w:pPr>
              <w:pStyle w:val="Importacao8"/>
              <w:spacing w:after="240" w:line="264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23BD">
              <w:rPr>
                <w:rFonts w:ascii="Times New Roman" w:hAnsi="Times New Roman"/>
                <w:sz w:val="22"/>
                <w:szCs w:val="22"/>
              </w:rPr>
              <w:t>Manter a coerência com o TCG da TAG e da TBG aprovados pela ANP e ora praticado.</w:t>
            </w:r>
          </w:p>
          <w:p w:rsidR="00BE53C8" w:rsidRPr="00AA587A" w:rsidRDefault="00BE53C8" w:rsidP="007B1946">
            <w:pPr>
              <w:rPr>
                <w:sz w:val="22"/>
                <w:szCs w:val="22"/>
              </w:rPr>
            </w:pPr>
          </w:p>
        </w:tc>
      </w:tr>
      <w:tr w:rsidR="00BE53C8" w:rsidRPr="007B1946" w:rsidTr="00356AA7">
        <w:trPr>
          <w:trHeight w:val="2268"/>
        </w:trPr>
        <w:tc>
          <w:tcPr>
            <w:tcW w:w="554" w:type="pct"/>
            <w:vAlign w:val="center"/>
          </w:tcPr>
          <w:p w:rsidR="00BE53C8" w:rsidRDefault="00B63579" w:rsidP="00B63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Alteração </w:t>
            </w:r>
          </w:p>
        </w:tc>
        <w:tc>
          <w:tcPr>
            <w:tcW w:w="845" w:type="pct"/>
            <w:vAlign w:val="center"/>
          </w:tcPr>
          <w:p w:rsidR="00BE53C8" w:rsidRDefault="00B63579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TCG 13.5.1.</w:t>
            </w:r>
          </w:p>
        </w:tc>
        <w:tc>
          <w:tcPr>
            <w:tcW w:w="1789" w:type="pct"/>
            <w:vAlign w:val="center"/>
          </w:tcPr>
          <w:p w:rsidR="00BE53C8" w:rsidRDefault="005708A0" w:rsidP="00381BF5">
            <w:pPr>
              <w:pStyle w:val="Ttulo3"/>
              <w:numPr>
                <w:ilvl w:val="0"/>
                <w:numId w:val="0"/>
              </w:numPr>
              <w:outlineLvl w:val="2"/>
            </w:pPr>
            <w:r w:rsidRPr="00EF7FDD">
              <w:rPr>
                <w:szCs w:val="22"/>
              </w:rPr>
              <w:t xml:space="preserve">Os equipamentos de medição serão inspecionados e calibrados rotineiramente para a verificação de sua exatidão de acordo com os requisitos previstos no Regulamento Técnico de Medição de Petróleo e Gás Natural ANEXO à </w:t>
            </w:r>
            <w:r>
              <w:rPr>
                <w:szCs w:val="22"/>
              </w:rPr>
              <w:t>Resolução</w:t>
            </w:r>
            <w:r w:rsidRPr="00EF7FDD">
              <w:rPr>
                <w:szCs w:val="22"/>
              </w:rPr>
              <w:t xml:space="preserve"> ANP/INMETRO n° 1 de </w:t>
            </w:r>
            <w:r>
              <w:rPr>
                <w:szCs w:val="22"/>
              </w:rPr>
              <w:t>10/06/2013</w:t>
            </w:r>
            <w:r w:rsidRPr="00EF7FDD">
              <w:rPr>
                <w:szCs w:val="22"/>
              </w:rPr>
              <w:t>, suas revisões ou outra norma que venha substituí-la. Na ausência ou omissão dessa regulamentação, deverão ser adotados a periodicidade, o erro máximo permissível</w:t>
            </w:r>
            <w:r w:rsidRPr="00EF7FDD">
              <w:rPr>
                <w:smallCaps/>
                <w:spacing w:val="-2"/>
                <w:szCs w:val="22"/>
              </w:rPr>
              <w:t xml:space="preserve"> </w:t>
            </w:r>
            <w:r w:rsidRPr="00EF7FDD">
              <w:rPr>
                <w:szCs w:val="22"/>
              </w:rPr>
              <w:t xml:space="preserve">e a incerteza máxima apresentados no ANEXO I, o qual é parte integrante e inseparável deste </w:t>
            </w:r>
            <w:r w:rsidRPr="00285D91">
              <w:rPr>
                <w:smallCaps/>
                <w:szCs w:val="22"/>
              </w:rPr>
              <w:t>TCG</w:t>
            </w:r>
            <w:r w:rsidRPr="00EF7FDD">
              <w:rPr>
                <w:szCs w:val="22"/>
              </w:rPr>
              <w:t xml:space="preserve">. O </w:t>
            </w:r>
            <w:r w:rsidRPr="00285D91">
              <w:rPr>
                <w:smallCaps/>
                <w:szCs w:val="22"/>
              </w:rPr>
              <w:t>Transportador</w:t>
            </w:r>
            <w:r w:rsidRPr="00EF7FDD">
              <w:rPr>
                <w:szCs w:val="22"/>
              </w:rPr>
              <w:t xml:space="preserve"> fornecerá ao </w:t>
            </w:r>
            <w:r w:rsidRPr="00EF7FDD">
              <w:rPr>
                <w:smallCaps/>
                <w:szCs w:val="22"/>
              </w:rPr>
              <w:t>Carregador</w:t>
            </w:r>
            <w:r w:rsidRPr="00EF7FDD">
              <w:rPr>
                <w:szCs w:val="22"/>
              </w:rPr>
              <w:t xml:space="preserve"> o cronograma anual de calibração dos equipamentos de medição.</w:t>
            </w:r>
          </w:p>
        </w:tc>
        <w:tc>
          <w:tcPr>
            <w:tcW w:w="1812" w:type="pct"/>
            <w:vAlign w:val="center"/>
          </w:tcPr>
          <w:p w:rsidR="00BE53C8" w:rsidRPr="00AA587A" w:rsidRDefault="005708A0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Correção</w:t>
            </w:r>
            <w:r w:rsidR="00DD6F92">
              <w:rPr>
                <w:sz w:val="22"/>
                <w:szCs w:val="22"/>
              </w:rPr>
              <w:t xml:space="preserve"> da referência regulatória</w:t>
            </w:r>
          </w:p>
        </w:tc>
      </w:tr>
      <w:tr w:rsidR="00BE53C8" w:rsidRPr="007B1946" w:rsidTr="00356AA7">
        <w:trPr>
          <w:trHeight w:val="2268"/>
        </w:trPr>
        <w:tc>
          <w:tcPr>
            <w:tcW w:w="554" w:type="pct"/>
            <w:vAlign w:val="center"/>
          </w:tcPr>
          <w:p w:rsidR="00BE53C8" w:rsidRDefault="00E24646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Alteração </w:t>
            </w:r>
          </w:p>
        </w:tc>
        <w:tc>
          <w:tcPr>
            <w:tcW w:w="845" w:type="pct"/>
            <w:vAlign w:val="center"/>
          </w:tcPr>
          <w:p w:rsidR="00BE53C8" w:rsidRDefault="00E24646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TCG 13.5.5</w:t>
            </w:r>
          </w:p>
        </w:tc>
        <w:tc>
          <w:tcPr>
            <w:tcW w:w="1789" w:type="pct"/>
            <w:vAlign w:val="center"/>
          </w:tcPr>
          <w:p w:rsidR="00BE53C8" w:rsidRDefault="00D1500E" w:rsidP="00D1500E">
            <w:pPr>
              <w:pStyle w:val="Ttulo3"/>
              <w:numPr>
                <w:ilvl w:val="0"/>
                <w:numId w:val="0"/>
              </w:numPr>
              <w:outlineLvl w:val="2"/>
            </w:pPr>
            <w:r w:rsidRPr="00D1500E">
              <w:rPr>
                <w:szCs w:val="22"/>
              </w:rPr>
              <w:t>Se algum equipamento de medição não apresentar exatidão de acordo com (i) os requisitos previstos no Regulamento Técnico de Medição de Petróleo e Gás Natural citado na Cláusula 13.5.1 acima ou, (ii) no caso de ausência ou omissão dessa regulamentação, os requisitos previstos no ANEXO I deste TCG, o TRANSPORTADOR deverá tomar imediatamente todas as medidas necessárias para que a medição esteja com a exatidão prevista nas alíneas (i) e (ii) anteriores e quaisquer medições anteriores desse equipamento serão corrigidas para "erro zero" em relação a qualquer período conhecido com exatidão. Se o período não for conhecido ou acordado, tal correção será realizada cobrindo um período que compreenda a segunda metade do tempo decorrido desde a data do último teste sob a condição, sendo que na primeira metade será considerada como correta a medição. Neste caso, as PARTES efetuarão os ajustes de faturamento necessários no MÊS subseqüente ao da apuração da QUANTIDADE DE GÁS corrigida.</w:t>
            </w:r>
          </w:p>
        </w:tc>
        <w:tc>
          <w:tcPr>
            <w:tcW w:w="1812" w:type="pct"/>
            <w:vAlign w:val="center"/>
          </w:tcPr>
          <w:p w:rsidR="00116994" w:rsidRPr="00116994" w:rsidRDefault="00116994" w:rsidP="00116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116994">
              <w:rPr>
                <w:sz w:val="22"/>
                <w:szCs w:val="22"/>
              </w:rPr>
              <w:t xml:space="preserve">omo o período entre calibrações de secundários e calibrações manuais de cromatógrafos será de 6 meses, não faz sentido limitar em período tão curto de correção – 16 ou 45 dias – o mais justo é dividir o período em partes iguais como está nos contratos malhas Nordeste e Sudeste. Antes desta Resolução o período entre calibrações era de apenas 60 dias, ou seja, muito menor que o atual de 180. </w:t>
            </w:r>
          </w:p>
          <w:p w:rsidR="00BE53C8" w:rsidRPr="00AA587A" w:rsidRDefault="00116994" w:rsidP="00873A4D">
            <w:pPr>
              <w:rPr>
                <w:sz w:val="22"/>
                <w:szCs w:val="22"/>
              </w:rPr>
            </w:pPr>
            <w:r w:rsidRPr="00116994">
              <w:rPr>
                <w:sz w:val="22"/>
                <w:szCs w:val="22"/>
              </w:rPr>
              <w:t>Até 09</w:t>
            </w:r>
            <w:r w:rsidR="00204729">
              <w:rPr>
                <w:sz w:val="22"/>
                <w:szCs w:val="22"/>
              </w:rPr>
              <w:t>/</w:t>
            </w:r>
            <w:r w:rsidRPr="00116994">
              <w:rPr>
                <w:sz w:val="22"/>
                <w:szCs w:val="22"/>
              </w:rPr>
              <w:t>12</w:t>
            </w:r>
            <w:r w:rsidR="00204729">
              <w:rPr>
                <w:sz w:val="22"/>
                <w:szCs w:val="22"/>
              </w:rPr>
              <w:t>/</w:t>
            </w:r>
            <w:r w:rsidRPr="00116994">
              <w:rPr>
                <w:sz w:val="22"/>
                <w:szCs w:val="22"/>
              </w:rPr>
              <w:t>2013 estava em vigor a Portaria Conjunta ANP/Inmetro nº 1/2000, que estabelecia que o prazo máximo entre calibrações era de 60 dias. Após esta data, entrou em vigor a Resolução Conjunta ANP/Inmetro nº 1/2013, que fixou este prazo máximo entre calibrações de 180 dias. Desse modo, a metade do tempo decorrido entre as calibrações que era de 30 dias passou a ser de 90 dias com a nova Resolução. Assim, limitar o período de correção a 16 dias (Ponto de Recebimento) ou 45 dias (Ponto de Entrega) era compatível com o intervalo anterior (60 dias), mas muito pouco em relação ao novo prazo de 180 dias</w:t>
            </w:r>
            <w:r w:rsidR="00873A4D">
              <w:rPr>
                <w:sz w:val="22"/>
                <w:szCs w:val="22"/>
              </w:rPr>
              <w:t>, r</w:t>
            </w:r>
            <w:r w:rsidRPr="00116994">
              <w:rPr>
                <w:sz w:val="22"/>
                <w:szCs w:val="22"/>
              </w:rPr>
              <w:t>epresentando apenas a possibilidade de correção de 1/</w:t>
            </w:r>
            <w:r w:rsidR="00873A4D">
              <w:rPr>
                <w:sz w:val="22"/>
                <w:szCs w:val="22"/>
              </w:rPr>
              <w:t>4 do período entre calibrações.</w:t>
            </w:r>
          </w:p>
        </w:tc>
      </w:tr>
      <w:tr w:rsidR="00BE53C8" w:rsidRPr="007B1946" w:rsidTr="00356AA7">
        <w:trPr>
          <w:trHeight w:val="2268"/>
        </w:trPr>
        <w:tc>
          <w:tcPr>
            <w:tcW w:w="554" w:type="pct"/>
            <w:vAlign w:val="center"/>
          </w:tcPr>
          <w:p w:rsidR="00BE53C8" w:rsidRDefault="00903847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BE53C8" w:rsidRDefault="00903847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TCG 19.1</w:t>
            </w:r>
          </w:p>
        </w:tc>
        <w:tc>
          <w:tcPr>
            <w:tcW w:w="1789" w:type="pct"/>
            <w:vAlign w:val="center"/>
          </w:tcPr>
          <w:p w:rsidR="00BE53C8" w:rsidRDefault="00903847" w:rsidP="00903847">
            <w:pPr>
              <w:pStyle w:val="Ttulo3"/>
              <w:numPr>
                <w:ilvl w:val="0"/>
                <w:numId w:val="0"/>
              </w:numPr>
              <w:outlineLvl w:val="2"/>
            </w:pPr>
            <w:r w:rsidRPr="00EF7FDD">
              <w:rPr>
                <w:szCs w:val="22"/>
              </w:rPr>
              <w:t xml:space="preserve">A menos que disposto de forma diversa no </w:t>
            </w:r>
            <w:r w:rsidRPr="00EF7FDD">
              <w:rPr>
                <w:smallCaps/>
                <w:szCs w:val="22"/>
              </w:rPr>
              <w:t>Contrato de Serviço de Transporte Firme</w:t>
            </w:r>
            <w:r w:rsidRPr="00EF7FDD">
              <w:rPr>
                <w:szCs w:val="22"/>
              </w:rPr>
              <w:t xml:space="preserve">, o </w:t>
            </w:r>
            <w:r w:rsidRPr="00EF7FDD">
              <w:rPr>
                <w:smallCaps/>
                <w:szCs w:val="22"/>
              </w:rPr>
              <w:t>Carregador</w:t>
            </w:r>
            <w:r w:rsidRPr="00EF7FDD">
              <w:rPr>
                <w:szCs w:val="22"/>
              </w:rPr>
              <w:t xml:space="preserve"> entregará, na data de assinatura do </w:t>
            </w:r>
            <w:r w:rsidRPr="00EF7FDD">
              <w:rPr>
                <w:smallCaps/>
                <w:szCs w:val="22"/>
              </w:rPr>
              <w:t>Contrato de Serviço de Transporte Firme,</w:t>
            </w:r>
            <w:r w:rsidRPr="00EF7FDD">
              <w:rPr>
                <w:szCs w:val="22"/>
              </w:rPr>
              <w:t xml:space="preserve"> uma </w:t>
            </w:r>
            <w:r w:rsidRPr="00EF7FDD">
              <w:rPr>
                <w:smallCaps/>
                <w:szCs w:val="22"/>
              </w:rPr>
              <w:t>Carta de Fiança</w:t>
            </w:r>
            <w:r w:rsidRPr="00EF7FDD">
              <w:rPr>
                <w:szCs w:val="22"/>
              </w:rPr>
              <w:t xml:space="preserve"> emitida em favor do </w:t>
            </w:r>
            <w:r w:rsidRPr="00EF7FDD">
              <w:rPr>
                <w:smallCaps/>
                <w:szCs w:val="22"/>
              </w:rPr>
              <w:t>Transportador</w:t>
            </w:r>
            <w:r w:rsidRPr="00EF7FDD">
              <w:rPr>
                <w:szCs w:val="22"/>
              </w:rPr>
              <w:t xml:space="preserve">, substancialmente na forma do modelo constante do ANEXO II, o qual é parte integrante e inseparável do presente TCG, por uma instituição financeira com sede no Brasil, que não seja classificada, em escala global, abaixo de BB+ pela Standard &amp; Poors ou A1 pela Moody’s, no valor de, no mínimo, o resultado do produto de (i) </w:t>
            </w:r>
            <w:r w:rsidRPr="00903847">
              <w:rPr>
                <w:szCs w:val="22"/>
              </w:rPr>
              <w:t>270 (duzentos e setenta) vezes</w:t>
            </w:r>
            <w:r w:rsidRPr="00EF7FDD">
              <w:rPr>
                <w:szCs w:val="22"/>
              </w:rPr>
              <w:t xml:space="preserve"> a </w:t>
            </w:r>
            <w:r w:rsidRPr="00EF7FDD">
              <w:rPr>
                <w:smallCaps/>
                <w:szCs w:val="22"/>
              </w:rPr>
              <w:t>Quantidade Diária Contratada</w:t>
            </w:r>
            <w:r w:rsidRPr="00EF7FDD">
              <w:rPr>
                <w:szCs w:val="22"/>
              </w:rPr>
              <w:t xml:space="preserve"> pela (ii) soma entre </w:t>
            </w:r>
            <w:r>
              <w:rPr>
                <w:szCs w:val="22"/>
              </w:rPr>
              <w:t xml:space="preserve">o </w:t>
            </w:r>
            <w:r>
              <w:rPr>
                <w:smallCaps/>
                <w:szCs w:val="22"/>
              </w:rPr>
              <w:t>Encargo</w:t>
            </w:r>
            <w:r w:rsidRPr="00EF7FDD">
              <w:rPr>
                <w:smallCaps/>
                <w:szCs w:val="22"/>
              </w:rPr>
              <w:t xml:space="preserve"> de Capacidade</w:t>
            </w:r>
            <w:r>
              <w:rPr>
                <w:smallCaps/>
                <w:szCs w:val="22"/>
              </w:rPr>
              <w:t xml:space="preserve"> de Transporte</w:t>
            </w:r>
            <w:r w:rsidRPr="00EF7FDD">
              <w:rPr>
                <w:szCs w:val="22"/>
              </w:rPr>
              <w:t xml:space="preserve">, </w:t>
            </w:r>
            <w:r>
              <w:rPr>
                <w:szCs w:val="22"/>
              </w:rPr>
              <w:t>o</w:t>
            </w:r>
            <w:r w:rsidR="00795905">
              <w:rPr>
                <w:szCs w:val="22"/>
              </w:rPr>
              <w:t xml:space="preserve"> </w:t>
            </w:r>
            <w:r w:rsidRPr="00325EF8">
              <w:rPr>
                <w:rFonts w:cs="Arial"/>
                <w:smallCaps/>
              </w:rPr>
              <w:t>Encargo de Capacidade</w:t>
            </w:r>
            <w:r w:rsidRPr="00EF7FDD">
              <w:rPr>
                <w:smallCaps/>
                <w:szCs w:val="22"/>
              </w:rPr>
              <w:t xml:space="preserve"> de Entrada </w:t>
            </w:r>
            <w:r w:rsidRPr="00EF7FDD">
              <w:rPr>
                <w:szCs w:val="22"/>
              </w:rPr>
              <w:t xml:space="preserve">e </w:t>
            </w:r>
            <w:r>
              <w:rPr>
                <w:szCs w:val="22"/>
              </w:rPr>
              <w:t xml:space="preserve">o </w:t>
            </w:r>
            <w:r w:rsidRPr="00325EF8">
              <w:rPr>
                <w:rFonts w:cs="Arial"/>
                <w:smallCaps/>
              </w:rPr>
              <w:t>Encargo de Capacidade</w:t>
            </w:r>
            <w:r w:rsidRPr="00EF7FDD">
              <w:rPr>
                <w:smallCaps/>
                <w:szCs w:val="22"/>
              </w:rPr>
              <w:t xml:space="preserve"> de Saída</w:t>
            </w:r>
            <w:r w:rsidRPr="00EF7FDD">
              <w:rPr>
                <w:szCs w:val="22"/>
              </w:rPr>
              <w:t xml:space="preserve">, com prazo de vigência de pelo menos 2 (dois) anos, para assegurar o pagamento dos valores devidos pelo </w:t>
            </w:r>
            <w:r w:rsidRPr="00EF7FDD">
              <w:rPr>
                <w:smallCaps/>
                <w:szCs w:val="22"/>
              </w:rPr>
              <w:t>Carregador</w:t>
            </w:r>
            <w:r w:rsidRPr="00EF7FDD">
              <w:rPr>
                <w:szCs w:val="22"/>
              </w:rPr>
              <w:t xml:space="preserve"> ao </w:t>
            </w:r>
            <w:r w:rsidRPr="00EF7FDD">
              <w:rPr>
                <w:smallCaps/>
                <w:szCs w:val="22"/>
              </w:rPr>
              <w:t>Transportador</w:t>
            </w:r>
            <w:r w:rsidRPr="00EF7FDD">
              <w:rPr>
                <w:szCs w:val="22"/>
              </w:rPr>
              <w:t xml:space="preserve"> nos termos do presente TCG e do </w:t>
            </w:r>
            <w:r w:rsidRPr="00EF7FDD">
              <w:rPr>
                <w:smallCaps/>
                <w:szCs w:val="22"/>
              </w:rPr>
              <w:t xml:space="preserve">Contrato de Serviço de Transporte Firme, </w:t>
            </w:r>
            <w:r w:rsidRPr="00EF7FDD">
              <w:rPr>
                <w:szCs w:val="22"/>
              </w:rPr>
              <w:t>com</w:t>
            </w:r>
            <w:r w:rsidRPr="00EF7FDD">
              <w:rPr>
                <w:smallCaps/>
                <w:szCs w:val="22"/>
              </w:rPr>
              <w:t xml:space="preserve"> </w:t>
            </w:r>
            <w:r w:rsidRPr="00EF7FDD">
              <w:rPr>
                <w:szCs w:val="22"/>
              </w:rPr>
              <w:t>exceção</w:t>
            </w:r>
            <w:r w:rsidRPr="00EF7FDD">
              <w:rPr>
                <w:smallCaps/>
                <w:szCs w:val="22"/>
              </w:rPr>
              <w:t xml:space="preserve"> </w:t>
            </w:r>
            <w:r w:rsidRPr="00EF7FDD">
              <w:rPr>
                <w:szCs w:val="22"/>
              </w:rPr>
              <w:t>das verbas rescisórias previstas na Cláusula Vinte e Um</w:t>
            </w:r>
            <w:r w:rsidRPr="00EF7FDD">
              <w:rPr>
                <w:smallCaps/>
                <w:szCs w:val="22"/>
              </w:rPr>
              <w:t>.</w:t>
            </w:r>
          </w:p>
        </w:tc>
        <w:tc>
          <w:tcPr>
            <w:tcW w:w="1812" w:type="pct"/>
            <w:vAlign w:val="center"/>
          </w:tcPr>
          <w:p w:rsidR="00FF1748" w:rsidRPr="00FF1748" w:rsidRDefault="00FF1748" w:rsidP="00FF1748">
            <w:pPr>
              <w:pStyle w:val="Importacao8"/>
              <w:spacing w:after="240" w:line="264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1748">
              <w:rPr>
                <w:rFonts w:ascii="Times New Roman" w:hAnsi="Times New Roman"/>
                <w:sz w:val="22"/>
                <w:szCs w:val="22"/>
              </w:rPr>
              <w:t>Manter a coerência com o TCG da TAG e da TBG aprovados pela ANP e ora praticado.</w:t>
            </w:r>
          </w:p>
          <w:p w:rsidR="00BE53C8" w:rsidRPr="00AA587A" w:rsidRDefault="00BE53C8" w:rsidP="007B1946">
            <w:pPr>
              <w:rPr>
                <w:sz w:val="22"/>
                <w:szCs w:val="22"/>
              </w:rPr>
            </w:pPr>
          </w:p>
        </w:tc>
      </w:tr>
      <w:tr w:rsidR="00CB01F2" w:rsidRPr="007B1946" w:rsidTr="00356AA7">
        <w:trPr>
          <w:trHeight w:val="2268"/>
        </w:trPr>
        <w:tc>
          <w:tcPr>
            <w:tcW w:w="554" w:type="pct"/>
            <w:vAlign w:val="center"/>
          </w:tcPr>
          <w:p w:rsidR="00CB01F2" w:rsidRDefault="00CB01F2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Alteração</w:t>
            </w:r>
          </w:p>
        </w:tc>
        <w:tc>
          <w:tcPr>
            <w:tcW w:w="845" w:type="pct"/>
            <w:vAlign w:val="center"/>
          </w:tcPr>
          <w:p w:rsidR="00CB01F2" w:rsidRDefault="00CB01F2" w:rsidP="007B19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TCG Anexo I</w:t>
            </w:r>
          </w:p>
        </w:tc>
        <w:tc>
          <w:tcPr>
            <w:tcW w:w="1789" w:type="pct"/>
            <w:vAlign w:val="center"/>
          </w:tcPr>
          <w:p w:rsidR="00CB01F2" w:rsidRPr="00EF7FDD" w:rsidRDefault="00CB01F2" w:rsidP="00903847">
            <w:pPr>
              <w:pStyle w:val="Ttulo3"/>
              <w:numPr>
                <w:ilvl w:val="0"/>
                <w:numId w:val="0"/>
              </w:numPr>
              <w:outlineLvl w:val="2"/>
              <w:rPr>
                <w:szCs w:val="22"/>
              </w:rPr>
            </w:pPr>
            <w:r>
              <w:rPr>
                <w:szCs w:val="22"/>
              </w:rPr>
              <w:t>Alterações nas Tabelas i) Calibração e, ii) Inspeção, conforme anexo.</w:t>
            </w:r>
          </w:p>
        </w:tc>
        <w:tc>
          <w:tcPr>
            <w:tcW w:w="1812" w:type="pct"/>
            <w:vAlign w:val="center"/>
          </w:tcPr>
          <w:p w:rsidR="00CB01F2" w:rsidRPr="00FF1748" w:rsidRDefault="00CB01F2" w:rsidP="00FF1748">
            <w:pPr>
              <w:pStyle w:val="Importacao8"/>
              <w:spacing w:after="240" w:line="264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90232" w:rsidRDefault="00190232" w:rsidP="007B1946">
      <w:pPr>
        <w:rPr>
          <w:sz w:val="22"/>
          <w:szCs w:val="22"/>
        </w:rPr>
        <w:sectPr w:rsidR="00190232" w:rsidSect="00FB37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7" w:orient="landscape" w:code="9"/>
          <w:pgMar w:top="1077" w:right="1440" w:bottom="992" w:left="1440" w:header="510" w:footer="709" w:gutter="0"/>
          <w:cols w:space="708"/>
          <w:titlePg/>
          <w:docGrid w:linePitch="360"/>
        </w:sectPr>
      </w:pPr>
    </w:p>
    <w:p w:rsidR="00190232" w:rsidRDefault="00190232" w:rsidP="007B1946">
      <w:pPr>
        <w:rPr>
          <w:sz w:val="22"/>
          <w:szCs w:val="22"/>
        </w:rPr>
      </w:pPr>
    </w:p>
    <w:p w:rsidR="00190232" w:rsidRPr="00E72AE8" w:rsidRDefault="00190232" w:rsidP="00190232">
      <w:pPr>
        <w:pStyle w:val="Importacao8"/>
        <w:spacing w:after="240" w:line="264" w:lineRule="auto"/>
        <w:ind w:left="993" w:hanging="993"/>
        <w:jc w:val="center"/>
        <w:rPr>
          <w:b/>
          <w:sz w:val="16"/>
          <w:szCs w:val="16"/>
        </w:rPr>
      </w:pPr>
      <w:r w:rsidRPr="00E72AE8">
        <w:rPr>
          <w:b/>
          <w:sz w:val="16"/>
          <w:szCs w:val="16"/>
        </w:rPr>
        <w:t>ANEXO I - TERMOS E CONDIÇÕES GERAIS</w:t>
      </w:r>
    </w:p>
    <w:p w:rsidR="00190232" w:rsidRDefault="00190232" w:rsidP="00190232">
      <w:pPr>
        <w:pStyle w:val="Importacao8"/>
        <w:spacing w:after="240" w:line="264" w:lineRule="auto"/>
        <w:ind w:left="993" w:hanging="993"/>
        <w:jc w:val="center"/>
        <w:rPr>
          <w:sz w:val="16"/>
          <w:szCs w:val="16"/>
        </w:rPr>
      </w:pPr>
      <w:r w:rsidRPr="00E72AE8">
        <w:rPr>
          <w:sz w:val="16"/>
          <w:szCs w:val="16"/>
        </w:rPr>
        <w:t>CRONOGRAMA DE CALIBRAÇÃO E INSPEÇÃO DOS EQUIPAMENTOS DE MEDIÇÃO</w:t>
      </w:r>
    </w:p>
    <w:p w:rsidR="00190232" w:rsidRPr="00E72AE8" w:rsidRDefault="00190232" w:rsidP="00190232">
      <w:pPr>
        <w:pStyle w:val="Importacao8"/>
        <w:spacing w:after="240" w:line="264" w:lineRule="auto"/>
        <w:ind w:left="993" w:hanging="993"/>
        <w:jc w:val="center"/>
        <w:rPr>
          <w:sz w:val="16"/>
          <w:szCs w:val="16"/>
        </w:rPr>
      </w:pPr>
    </w:p>
    <w:p w:rsidR="00190232" w:rsidRPr="00E72AE8" w:rsidRDefault="00190232" w:rsidP="00190232">
      <w:pPr>
        <w:pStyle w:val="Importacao8"/>
        <w:spacing w:after="240" w:line="264" w:lineRule="auto"/>
        <w:ind w:left="993" w:hanging="993"/>
        <w:jc w:val="both"/>
        <w:rPr>
          <w:sz w:val="18"/>
          <w:szCs w:val="18"/>
        </w:rPr>
      </w:pPr>
      <w:r w:rsidRPr="00E72AE8">
        <w:rPr>
          <w:sz w:val="18"/>
          <w:szCs w:val="18"/>
        </w:rPr>
        <w:t>(i) Calibração:</w:t>
      </w:r>
    </w:p>
    <w:tbl>
      <w:tblPr>
        <w:tblStyle w:val="Tabelacomgrade"/>
        <w:tblW w:w="0" w:type="auto"/>
        <w:tblLayout w:type="fixed"/>
        <w:tblLook w:val="0000"/>
      </w:tblPr>
      <w:tblGrid>
        <w:gridCol w:w="3090"/>
        <w:gridCol w:w="1994"/>
        <w:gridCol w:w="1828"/>
        <w:gridCol w:w="1701"/>
      </w:tblGrid>
      <w:tr w:rsidR="00190232" w:rsidRPr="00D225FC" w:rsidTr="00AA35DC">
        <w:tc>
          <w:tcPr>
            <w:tcW w:w="3090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center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ELEMENTO</w:t>
            </w:r>
          </w:p>
        </w:tc>
        <w:tc>
          <w:tcPr>
            <w:tcW w:w="1994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29" w:hanging="29"/>
              <w:jc w:val="center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PERÍODO</w:t>
            </w:r>
          </w:p>
        </w:tc>
        <w:tc>
          <w:tcPr>
            <w:tcW w:w="1828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19" w:hanging="19"/>
              <w:jc w:val="center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ERRO MÁXIMO PERMISSÍVEL</w:t>
            </w:r>
          </w:p>
        </w:tc>
        <w:tc>
          <w:tcPr>
            <w:tcW w:w="1701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center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INCERTEZA MÁXIMA</w:t>
            </w:r>
          </w:p>
        </w:tc>
      </w:tr>
      <w:tr w:rsidR="00190232" w:rsidRPr="00D225FC" w:rsidTr="00AA35DC">
        <w:tc>
          <w:tcPr>
            <w:tcW w:w="3090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6"/>
                <w:szCs w:val="16"/>
              </w:rPr>
            </w:pPr>
            <w:r w:rsidRPr="00E72AE8">
              <w:rPr>
                <w:sz w:val="16"/>
                <w:szCs w:val="16"/>
              </w:rPr>
              <w:t>Instrumento de pressão estática</w:t>
            </w:r>
          </w:p>
        </w:tc>
        <w:tc>
          <w:tcPr>
            <w:tcW w:w="1994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29" w:hanging="29"/>
              <w:jc w:val="both"/>
              <w:rPr>
                <w:sz w:val="16"/>
                <w:szCs w:val="16"/>
              </w:rPr>
            </w:pPr>
            <w:r w:rsidRPr="00E72AE8">
              <w:rPr>
                <w:sz w:val="16"/>
                <w:szCs w:val="16"/>
              </w:rPr>
              <w:t>NBR ISO 10012</w:t>
            </w:r>
          </w:p>
        </w:tc>
        <w:tc>
          <w:tcPr>
            <w:tcW w:w="1828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19" w:hanging="19"/>
              <w:jc w:val="both"/>
              <w:rPr>
                <w:sz w:val="16"/>
                <w:szCs w:val="16"/>
              </w:rPr>
            </w:pPr>
            <w:r w:rsidRPr="00E72AE8">
              <w:rPr>
                <w:sz w:val="16"/>
                <w:szCs w:val="16"/>
              </w:rPr>
              <w:t>+/- 0,50%</w:t>
            </w:r>
          </w:p>
          <w:p w:rsidR="00190232" w:rsidRPr="00E72AE8" w:rsidRDefault="00190232" w:rsidP="00AA35DC">
            <w:pPr>
              <w:spacing w:line="264" w:lineRule="auto"/>
              <w:ind w:left="19" w:hanging="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6"/>
                <w:szCs w:val="16"/>
              </w:rPr>
            </w:pPr>
            <w:r w:rsidRPr="00E72AE8">
              <w:rPr>
                <w:sz w:val="16"/>
                <w:szCs w:val="16"/>
              </w:rPr>
              <w:t>+/- 1,50%</w:t>
            </w:r>
          </w:p>
        </w:tc>
      </w:tr>
      <w:tr w:rsidR="00190232" w:rsidRPr="00E72AE8" w:rsidTr="00AA35DC">
        <w:tc>
          <w:tcPr>
            <w:tcW w:w="3090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Instrumento de pressão diferencial</w:t>
            </w:r>
          </w:p>
        </w:tc>
        <w:tc>
          <w:tcPr>
            <w:tcW w:w="1994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29" w:hanging="29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NBR ISO 10012</w:t>
            </w:r>
          </w:p>
        </w:tc>
        <w:tc>
          <w:tcPr>
            <w:tcW w:w="1828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19" w:hanging="19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+/- 0,25%</w:t>
            </w:r>
          </w:p>
          <w:p w:rsidR="00190232" w:rsidRPr="00E72AE8" w:rsidRDefault="00190232" w:rsidP="00AA35DC">
            <w:pPr>
              <w:spacing w:line="264" w:lineRule="auto"/>
              <w:ind w:left="19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+/- 1,50%</w:t>
            </w:r>
          </w:p>
        </w:tc>
      </w:tr>
      <w:tr w:rsidR="00190232" w:rsidRPr="00E72AE8" w:rsidTr="00AA35DC">
        <w:tc>
          <w:tcPr>
            <w:tcW w:w="3090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Instrumento de temperatura</w:t>
            </w:r>
          </w:p>
          <w:p w:rsidR="00190232" w:rsidRPr="00E72AE8" w:rsidRDefault="00190232" w:rsidP="00AA35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29" w:hanging="29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NBR ISO 10012</w:t>
            </w:r>
          </w:p>
        </w:tc>
        <w:tc>
          <w:tcPr>
            <w:tcW w:w="1828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19" w:hanging="19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+/- 0,50%</w:t>
            </w:r>
          </w:p>
          <w:p w:rsidR="00190232" w:rsidRPr="00E72AE8" w:rsidRDefault="00190232" w:rsidP="00AA35DC">
            <w:pPr>
              <w:spacing w:line="264" w:lineRule="auto"/>
              <w:ind w:left="19" w:hanging="19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+/- 1,50%</w:t>
            </w:r>
          </w:p>
        </w:tc>
      </w:tr>
      <w:tr w:rsidR="00190232" w:rsidRPr="00E72AE8" w:rsidTr="00AA35DC">
        <w:tc>
          <w:tcPr>
            <w:tcW w:w="3090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Medidor de Vazão Placa de Orifício</w:t>
            </w:r>
          </w:p>
        </w:tc>
        <w:tc>
          <w:tcPr>
            <w:tcW w:w="1994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29" w:hanging="2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NBR ISO 10012</w:t>
            </w:r>
          </w:p>
        </w:tc>
        <w:tc>
          <w:tcPr>
            <w:tcW w:w="1828" w:type="dxa"/>
          </w:tcPr>
          <w:p w:rsidR="00190232" w:rsidRDefault="00190232" w:rsidP="00AA35DC">
            <w:pPr>
              <w:pStyle w:val="Importacao8"/>
              <w:spacing w:after="240" w:line="264" w:lineRule="auto"/>
              <w:ind w:left="29" w:hanging="29"/>
              <w:jc w:val="both"/>
              <w:rPr>
                <w:sz w:val="18"/>
                <w:szCs w:val="18"/>
              </w:rPr>
            </w:pPr>
            <w:r w:rsidRPr="00F84AFA">
              <w:rPr>
                <w:sz w:val="18"/>
                <w:szCs w:val="18"/>
              </w:rPr>
              <w:t>API-MPMS 14.3.2</w:t>
            </w:r>
          </w:p>
        </w:tc>
        <w:tc>
          <w:tcPr>
            <w:tcW w:w="1701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+/- 1,50%</w:t>
            </w:r>
          </w:p>
        </w:tc>
      </w:tr>
      <w:tr w:rsidR="00190232" w:rsidRPr="00E72AE8" w:rsidTr="00AA35DC">
        <w:tc>
          <w:tcPr>
            <w:tcW w:w="3090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 xml:space="preserve">Medidor de Vazão Turbina </w:t>
            </w:r>
          </w:p>
          <w:p w:rsidR="00190232" w:rsidRPr="00E72AE8" w:rsidRDefault="00190232" w:rsidP="00AA35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29" w:hanging="29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NBR ISO 10012</w:t>
            </w:r>
          </w:p>
        </w:tc>
        <w:tc>
          <w:tcPr>
            <w:tcW w:w="1828" w:type="dxa"/>
          </w:tcPr>
          <w:p w:rsidR="00190232" w:rsidRDefault="00190232" w:rsidP="00AA35DC">
            <w:pPr>
              <w:pStyle w:val="Importacao8"/>
              <w:spacing w:after="240" w:line="264" w:lineRule="auto"/>
              <w:ind w:left="19" w:hanging="19"/>
              <w:jc w:val="both"/>
              <w:rPr>
                <w:sz w:val="16"/>
                <w:szCs w:val="16"/>
              </w:rPr>
            </w:pPr>
            <w:r w:rsidRPr="00E72AE8">
              <w:rPr>
                <w:sz w:val="16"/>
                <w:szCs w:val="16"/>
              </w:rPr>
              <w:t>AGA – 7</w:t>
            </w:r>
          </w:p>
          <w:p w:rsidR="00190232" w:rsidRPr="00E72AE8" w:rsidRDefault="00190232" w:rsidP="00AA35DC">
            <w:pPr>
              <w:pStyle w:val="Importacao8"/>
              <w:spacing w:after="240" w:line="264" w:lineRule="auto"/>
              <w:ind w:left="19" w:hanging="1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Portaria Inmetro nº 114/1997</w:t>
            </w:r>
            <w:r w:rsidRPr="00E72AE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+/- 1,50%</w:t>
            </w:r>
          </w:p>
        </w:tc>
      </w:tr>
      <w:tr w:rsidR="00190232" w:rsidRPr="00E72AE8" w:rsidTr="00AA35DC">
        <w:tc>
          <w:tcPr>
            <w:tcW w:w="3090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Medidor de Vazão Ultrassônico</w:t>
            </w:r>
          </w:p>
        </w:tc>
        <w:tc>
          <w:tcPr>
            <w:tcW w:w="1994" w:type="dxa"/>
          </w:tcPr>
          <w:p w:rsidR="00190232" w:rsidRPr="00E72AE8" w:rsidDel="006603D2" w:rsidRDefault="00190232" w:rsidP="00AA35DC">
            <w:pPr>
              <w:pStyle w:val="Importacao8"/>
              <w:spacing w:after="240" w:line="264" w:lineRule="auto"/>
              <w:ind w:left="29" w:hanging="29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NBR ISO 10012</w:t>
            </w:r>
          </w:p>
        </w:tc>
        <w:tc>
          <w:tcPr>
            <w:tcW w:w="1828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19" w:hanging="1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 9</w:t>
            </w:r>
          </w:p>
        </w:tc>
        <w:tc>
          <w:tcPr>
            <w:tcW w:w="1701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+/- 1,50%</w:t>
            </w:r>
          </w:p>
        </w:tc>
      </w:tr>
      <w:tr w:rsidR="00190232" w:rsidRPr="00E72AE8" w:rsidTr="00AA35DC">
        <w:tc>
          <w:tcPr>
            <w:tcW w:w="3090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Autocalibração do cromatógrafo</w:t>
            </w:r>
          </w:p>
          <w:p w:rsidR="00190232" w:rsidRPr="00E72AE8" w:rsidRDefault="00190232" w:rsidP="00AA35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29" w:hanging="29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15 Dias</w:t>
            </w:r>
          </w:p>
        </w:tc>
        <w:tc>
          <w:tcPr>
            <w:tcW w:w="1828" w:type="dxa"/>
          </w:tcPr>
          <w:p w:rsidR="00190232" w:rsidRPr="003869A2" w:rsidRDefault="00190232" w:rsidP="00AA35DC">
            <w:pPr>
              <w:pStyle w:val="Importacao8"/>
              <w:spacing w:after="240" w:line="264" w:lineRule="auto"/>
              <w:ind w:left="19" w:hanging="19"/>
              <w:jc w:val="both"/>
              <w:rPr>
                <w:sz w:val="16"/>
                <w:szCs w:val="16"/>
              </w:rPr>
            </w:pPr>
            <w:r w:rsidRPr="003869A2">
              <w:rPr>
                <w:sz w:val="16"/>
                <w:szCs w:val="16"/>
              </w:rPr>
              <w:t>ASTM-1945</w:t>
            </w:r>
          </w:p>
        </w:tc>
        <w:tc>
          <w:tcPr>
            <w:tcW w:w="1701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Não aplicável</w:t>
            </w:r>
          </w:p>
        </w:tc>
      </w:tr>
      <w:tr w:rsidR="00190232" w:rsidRPr="00E72AE8" w:rsidTr="00AA35DC">
        <w:tc>
          <w:tcPr>
            <w:tcW w:w="3090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Calibração manual do cromatógrafo</w:t>
            </w:r>
          </w:p>
          <w:p w:rsidR="00190232" w:rsidRPr="00E72AE8" w:rsidRDefault="00190232" w:rsidP="00AA35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29" w:hanging="29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6 Meses</w:t>
            </w:r>
          </w:p>
        </w:tc>
        <w:tc>
          <w:tcPr>
            <w:tcW w:w="1828" w:type="dxa"/>
          </w:tcPr>
          <w:p w:rsidR="00190232" w:rsidRPr="003869A2" w:rsidRDefault="00190232" w:rsidP="00AA35DC">
            <w:pPr>
              <w:pStyle w:val="Importacao8"/>
              <w:spacing w:after="240" w:line="264" w:lineRule="auto"/>
              <w:ind w:left="19" w:hanging="19"/>
              <w:jc w:val="both"/>
              <w:rPr>
                <w:sz w:val="16"/>
                <w:szCs w:val="16"/>
              </w:rPr>
            </w:pPr>
            <w:r w:rsidRPr="003869A2">
              <w:rPr>
                <w:sz w:val="16"/>
                <w:szCs w:val="16"/>
              </w:rPr>
              <w:t>ASTM-1945</w:t>
            </w:r>
          </w:p>
        </w:tc>
        <w:tc>
          <w:tcPr>
            <w:tcW w:w="1701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Não aplicável</w:t>
            </w:r>
          </w:p>
        </w:tc>
      </w:tr>
    </w:tbl>
    <w:p w:rsidR="00190232" w:rsidRPr="00E72AE8" w:rsidRDefault="00190232" w:rsidP="00190232">
      <w:pPr>
        <w:pStyle w:val="Importacao8"/>
        <w:spacing w:after="240"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t>Justificativa: a tabela exclui a tecnologia de medição por placa de orifício, que é uma tecnologia de medição antiga, mas permitida pela Resolução Conjunta ANP/Inmetro nº 1/2013.</w:t>
      </w:r>
    </w:p>
    <w:p w:rsidR="00190232" w:rsidRPr="00E72AE8" w:rsidRDefault="00190232" w:rsidP="00190232">
      <w:pPr>
        <w:pStyle w:val="Importacao8"/>
        <w:spacing w:after="240" w:line="264" w:lineRule="auto"/>
        <w:ind w:left="993" w:hanging="993"/>
        <w:jc w:val="both"/>
        <w:rPr>
          <w:sz w:val="18"/>
          <w:szCs w:val="18"/>
        </w:rPr>
      </w:pPr>
      <w:r w:rsidRPr="00E72AE8">
        <w:rPr>
          <w:sz w:val="18"/>
          <w:szCs w:val="18"/>
        </w:rPr>
        <w:t xml:space="preserve"> (ii) </w:t>
      </w:r>
      <w:r w:rsidRPr="00E72AE8">
        <w:rPr>
          <w:sz w:val="18"/>
          <w:szCs w:val="18"/>
          <w:u w:val="single"/>
        </w:rPr>
        <w:t>Inspeção</w:t>
      </w:r>
      <w:r w:rsidRPr="00E72AE8">
        <w:rPr>
          <w:sz w:val="18"/>
          <w:szCs w:val="18"/>
        </w:rPr>
        <w:t>:</w:t>
      </w:r>
    </w:p>
    <w:tbl>
      <w:tblPr>
        <w:tblStyle w:val="Tabelacomgrade"/>
        <w:tblW w:w="0" w:type="auto"/>
        <w:tblLayout w:type="fixed"/>
        <w:tblLook w:val="0100"/>
      </w:tblPr>
      <w:tblGrid>
        <w:gridCol w:w="3108"/>
        <w:gridCol w:w="2880"/>
        <w:gridCol w:w="2280"/>
      </w:tblGrid>
      <w:tr w:rsidR="00190232" w:rsidRPr="00E72AE8" w:rsidTr="00AA35DC">
        <w:tc>
          <w:tcPr>
            <w:tcW w:w="3108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ELEMENTO</w:t>
            </w:r>
          </w:p>
        </w:tc>
        <w:tc>
          <w:tcPr>
            <w:tcW w:w="2880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ind w:left="11" w:hanging="11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PERÍODO</w:t>
            </w:r>
          </w:p>
        </w:tc>
        <w:tc>
          <w:tcPr>
            <w:tcW w:w="2280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INCERTEZA </w:t>
            </w:r>
            <w:r w:rsidRPr="00E72AE8">
              <w:rPr>
                <w:sz w:val="18"/>
                <w:szCs w:val="18"/>
              </w:rPr>
              <w:t>MÁXIM</w:t>
            </w:r>
            <w:r>
              <w:rPr>
                <w:sz w:val="18"/>
                <w:szCs w:val="18"/>
              </w:rPr>
              <w:t>A</w:t>
            </w:r>
            <w:r w:rsidRPr="00E72AE8">
              <w:rPr>
                <w:sz w:val="18"/>
                <w:szCs w:val="18"/>
              </w:rPr>
              <w:t xml:space="preserve"> </w:t>
            </w:r>
          </w:p>
        </w:tc>
      </w:tr>
      <w:tr w:rsidR="00190232" w:rsidRPr="00E72AE8" w:rsidTr="00AA35DC">
        <w:trPr>
          <w:trHeight w:val="597"/>
        </w:trPr>
        <w:tc>
          <w:tcPr>
            <w:tcW w:w="3108" w:type="dxa"/>
          </w:tcPr>
          <w:p w:rsidR="00190232" w:rsidRPr="00E72AE8" w:rsidRDefault="00190232" w:rsidP="00AA35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190232" w:rsidRPr="00B0525A" w:rsidRDefault="00190232" w:rsidP="00AA35DC">
            <w:pPr>
              <w:pStyle w:val="Importacao8"/>
              <w:spacing w:after="240" w:line="264" w:lineRule="auto"/>
              <w:ind w:left="11" w:hanging="11"/>
              <w:jc w:val="both"/>
              <w:rPr>
                <w:sz w:val="16"/>
                <w:szCs w:val="16"/>
              </w:rPr>
            </w:pPr>
          </w:p>
        </w:tc>
        <w:tc>
          <w:tcPr>
            <w:tcW w:w="2280" w:type="dxa"/>
          </w:tcPr>
          <w:p w:rsidR="00190232" w:rsidRPr="00E72AE8" w:rsidRDefault="00190232" w:rsidP="00AA35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</w:tr>
      <w:tr w:rsidR="00190232" w:rsidRPr="00E72AE8" w:rsidTr="00AA35DC">
        <w:trPr>
          <w:trHeight w:val="597"/>
        </w:trPr>
        <w:tc>
          <w:tcPr>
            <w:tcW w:w="3108" w:type="dxa"/>
          </w:tcPr>
          <w:p w:rsidR="00190232" w:rsidRPr="00E72AE8" w:rsidDel="00D42473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 Primário de Diferencial de Pressão</w:t>
            </w:r>
          </w:p>
        </w:tc>
        <w:tc>
          <w:tcPr>
            <w:tcW w:w="2880" w:type="dxa"/>
          </w:tcPr>
          <w:p w:rsidR="00190232" w:rsidRPr="00B0525A" w:rsidDel="00D42473" w:rsidRDefault="00190232" w:rsidP="00AA35DC">
            <w:pPr>
              <w:pStyle w:val="Importacao8"/>
              <w:spacing w:after="240" w:line="264" w:lineRule="auto"/>
              <w:ind w:left="11" w:hanging="1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meses</w:t>
            </w:r>
          </w:p>
        </w:tc>
        <w:tc>
          <w:tcPr>
            <w:tcW w:w="2280" w:type="dxa"/>
          </w:tcPr>
          <w:p w:rsidR="00190232" w:rsidRPr="00E72AE8" w:rsidDel="00D42473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+/- 1,50%</w:t>
            </w:r>
          </w:p>
        </w:tc>
      </w:tr>
      <w:tr w:rsidR="00190232" w:rsidRPr="00E72AE8" w:rsidTr="00AA35DC">
        <w:trPr>
          <w:trHeight w:val="597"/>
        </w:trPr>
        <w:tc>
          <w:tcPr>
            <w:tcW w:w="3108" w:type="dxa"/>
          </w:tcPr>
          <w:p w:rsidR="00190232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Porta Placas</w:t>
            </w:r>
          </w:p>
        </w:tc>
        <w:tc>
          <w:tcPr>
            <w:tcW w:w="2880" w:type="dxa"/>
          </w:tcPr>
          <w:p w:rsidR="00190232" w:rsidRDefault="00190232" w:rsidP="00AA35DC">
            <w:pPr>
              <w:pStyle w:val="Importacao8"/>
              <w:spacing w:after="240" w:line="264" w:lineRule="auto"/>
              <w:ind w:left="11" w:hanging="1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meses</w:t>
            </w:r>
          </w:p>
        </w:tc>
        <w:tc>
          <w:tcPr>
            <w:tcW w:w="2280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+/- 1,50%</w:t>
            </w:r>
          </w:p>
        </w:tc>
      </w:tr>
      <w:tr w:rsidR="00190232" w:rsidRPr="00E72AE8" w:rsidTr="00AA35DC">
        <w:tc>
          <w:tcPr>
            <w:tcW w:w="3108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</w:rPr>
              <w:t>Trecho de Medição</w:t>
            </w:r>
          </w:p>
          <w:p w:rsidR="00190232" w:rsidRPr="00E72AE8" w:rsidRDefault="00190232" w:rsidP="00AA35D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190232" w:rsidRPr="00B0525A" w:rsidRDefault="00190232" w:rsidP="00AA35DC">
            <w:pPr>
              <w:pStyle w:val="Importacao8"/>
              <w:spacing w:after="240" w:line="264" w:lineRule="auto"/>
              <w:ind w:left="11" w:hanging="11"/>
              <w:jc w:val="both"/>
              <w:rPr>
                <w:sz w:val="16"/>
                <w:szCs w:val="16"/>
              </w:rPr>
            </w:pPr>
            <w:r w:rsidRPr="00B0525A">
              <w:rPr>
                <w:sz w:val="16"/>
                <w:szCs w:val="16"/>
              </w:rPr>
              <w:t>NBR ISO 10012</w:t>
            </w:r>
          </w:p>
        </w:tc>
        <w:tc>
          <w:tcPr>
            <w:tcW w:w="2280" w:type="dxa"/>
          </w:tcPr>
          <w:p w:rsidR="00190232" w:rsidRPr="00E72AE8" w:rsidRDefault="00190232" w:rsidP="00AA35DC">
            <w:pPr>
              <w:pStyle w:val="Importacao8"/>
              <w:spacing w:after="240" w:line="264" w:lineRule="auto"/>
              <w:jc w:val="both"/>
              <w:rPr>
                <w:sz w:val="18"/>
                <w:szCs w:val="18"/>
              </w:rPr>
            </w:pPr>
            <w:r w:rsidRPr="00E72AE8">
              <w:rPr>
                <w:sz w:val="18"/>
                <w:szCs w:val="18"/>
                <w:lang w:val="es-ES_tradnl"/>
              </w:rPr>
              <w:t>ANSI/API-2530</w:t>
            </w:r>
          </w:p>
        </w:tc>
      </w:tr>
    </w:tbl>
    <w:p w:rsidR="00190232" w:rsidRPr="00E72AE8" w:rsidRDefault="00190232" w:rsidP="00190232">
      <w:pPr>
        <w:spacing w:line="264" w:lineRule="auto"/>
        <w:ind w:left="-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Justificativa: Não se faz inspeção de medidor, somente calibração, conforme pode ser visto na Resolução ANP/Inmetro nº 1/2013</w:t>
      </w:r>
    </w:p>
    <w:p w:rsidR="00190232" w:rsidRPr="00E72AE8" w:rsidRDefault="00190232" w:rsidP="00190232">
      <w:pPr>
        <w:ind w:left="-1276"/>
        <w:rPr>
          <w:sz w:val="18"/>
          <w:szCs w:val="18"/>
        </w:rPr>
      </w:pPr>
    </w:p>
    <w:p w:rsidR="00190232" w:rsidRPr="00190232" w:rsidRDefault="00190232" w:rsidP="00190232">
      <w:pPr>
        <w:rPr>
          <w:sz w:val="22"/>
          <w:szCs w:val="22"/>
        </w:rPr>
      </w:pPr>
    </w:p>
    <w:p w:rsidR="00764EB1" w:rsidRPr="00190232" w:rsidRDefault="00764EB1" w:rsidP="00190232">
      <w:pPr>
        <w:rPr>
          <w:sz w:val="22"/>
          <w:szCs w:val="22"/>
        </w:rPr>
      </w:pPr>
    </w:p>
    <w:sectPr w:rsidR="00764EB1" w:rsidRPr="00190232" w:rsidSect="00190232">
      <w:headerReference w:type="first" r:id="rId16"/>
      <w:pgSz w:w="11907" w:h="16840" w:code="9"/>
      <w:pgMar w:top="1440" w:right="992" w:bottom="1440" w:left="1077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A91" w:rsidRDefault="00733A91" w:rsidP="00842086">
      <w:r>
        <w:separator/>
      </w:r>
    </w:p>
  </w:endnote>
  <w:endnote w:type="continuationSeparator" w:id="0">
    <w:p w:rsidR="00733A91" w:rsidRDefault="00733A91" w:rsidP="00842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B2B" w:rsidRDefault="002D4B2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25" w:rsidRDefault="00813F4A">
    <w:pPr>
      <w:pStyle w:val="Rodap"/>
      <w:jc w:val="right"/>
    </w:pPr>
    <w:r>
      <w:fldChar w:fldCharType="begin"/>
    </w:r>
    <w:r w:rsidR="00A12AB9">
      <w:instrText xml:space="preserve"> PAGE   \* MERGEFORMAT </w:instrText>
    </w:r>
    <w:r>
      <w:fldChar w:fldCharType="separate"/>
    </w:r>
    <w:r w:rsidR="002D4B2B">
      <w:rPr>
        <w:noProof/>
      </w:rPr>
      <w:t>18</w:t>
    </w:r>
    <w:r>
      <w:rPr>
        <w:noProof/>
      </w:rPr>
      <w:fldChar w:fldCharType="end"/>
    </w:r>
  </w:p>
  <w:p w:rsidR="005C4925" w:rsidRDefault="005C492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25" w:rsidRDefault="00813F4A">
    <w:pPr>
      <w:pStyle w:val="Rodap"/>
      <w:jc w:val="right"/>
    </w:pPr>
    <w:r>
      <w:fldChar w:fldCharType="begin"/>
    </w:r>
    <w:r w:rsidR="00A12AB9">
      <w:instrText xml:space="preserve"> PAGE   \* MERGEFORMAT </w:instrText>
    </w:r>
    <w:r>
      <w:fldChar w:fldCharType="separate"/>
    </w:r>
    <w:r w:rsidR="002D4B2B">
      <w:rPr>
        <w:noProof/>
      </w:rPr>
      <w:t>1</w:t>
    </w:r>
    <w:r>
      <w:rPr>
        <w:noProof/>
      </w:rPr>
      <w:fldChar w:fldCharType="end"/>
    </w:r>
  </w:p>
  <w:p w:rsidR="005C4925" w:rsidRDefault="005C492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A91" w:rsidRDefault="00733A91" w:rsidP="00842086">
      <w:r>
        <w:separator/>
      </w:r>
    </w:p>
  </w:footnote>
  <w:footnote w:type="continuationSeparator" w:id="0">
    <w:p w:rsidR="00733A91" w:rsidRDefault="00733A91" w:rsidP="00842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B2B" w:rsidRDefault="002D4B2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25" w:rsidRDefault="005C4925" w:rsidP="00842086">
    <w:pPr>
      <w:pStyle w:val="Cabealho"/>
      <w:tabs>
        <w:tab w:val="clear" w:pos="8504"/>
        <w:tab w:val="right" w:pos="9923"/>
      </w:tabs>
      <w:ind w:left="-142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39" w:type="pct"/>
      <w:tblBorders>
        <w:top w:val="single" w:sz="4" w:space="0" w:color="808080" w:themeColor="background1" w:themeShade="80"/>
        <w:bottom w:val="single" w:sz="4" w:space="0" w:color="808080" w:themeColor="background1" w:themeShade="80"/>
      </w:tblBorders>
      <w:tblLayout w:type="fixed"/>
      <w:tblLook w:val="04A0"/>
    </w:tblPr>
    <w:tblGrid>
      <w:gridCol w:w="3221"/>
      <w:gridCol w:w="4967"/>
      <w:gridCol w:w="6099"/>
    </w:tblGrid>
    <w:tr w:rsidR="005C4925" w:rsidRPr="00B27481" w:rsidTr="00B27481">
      <w:tc>
        <w:tcPr>
          <w:tcW w:w="1127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5C4925" w:rsidRDefault="00DF611E" w:rsidP="00B27481">
          <w:pPr>
            <w:pStyle w:val="Cabealho"/>
            <w:spacing w:before="240" w:after="240"/>
            <w:jc w:val="center"/>
          </w:pPr>
          <w:r>
            <w:rPr>
              <w:noProof/>
            </w:rPr>
            <w:drawing>
              <wp:inline distT="0" distB="0" distL="0" distR="0">
                <wp:extent cx="2057400" cy="828675"/>
                <wp:effectExtent l="19050" t="0" r="0" b="0"/>
                <wp:docPr id="2" name="Imagem 0" descr="logoANP_h_versao_p_reduc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ANP_h_versao_p_reduc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8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5C4925" w:rsidRPr="0036380F" w:rsidRDefault="005C4925" w:rsidP="00B27481">
          <w:pPr>
            <w:pStyle w:val="Cabealho"/>
            <w:spacing w:before="240" w:after="240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134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5C4925" w:rsidRPr="00B27481" w:rsidRDefault="00B27481" w:rsidP="00B27481">
          <w:pPr>
            <w:pStyle w:val="Cabealho"/>
            <w:spacing w:before="240" w:after="240"/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B27481">
            <w:rPr>
              <w:rFonts w:ascii="Arial" w:hAnsi="Arial" w:cs="Arial"/>
              <w:b/>
              <w:sz w:val="28"/>
              <w:szCs w:val="28"/>
            </w:rPr>
            <w:t xml:space="preserve">CONSULTA PÚBLICA Nº </w:t>
          </w:r>
          <w:r w:rsidR="002D4B2B">
            <w:rPr>
              <w:rFonts w:ascii="Arial" w:hAnsi="Arial" w:cs="Arial"/>
              <w:b/>
              <w:sz w:val="28"/>
              <w:szCs w:val="28"/>
            </w:rPr>
            <w:t>08</w:t>
          </w:r>
          <w:r w:rsidRPr="00B27481">
            <w:rPr>
              <w:rFonts w:ascii="Arial" w:hAnsi="Arial" w:cs="Arial"/>
              <w:b/>
              <w:sz w:val="28"/>
              <w:szCs w:val="28"/>
            </w:rPr>
            <w:t>/201</w:t>
          </w:r>
          <w:r w:rsidR="004873F0">
            <w:rPr>
              <w:rFonts w:ascii="Arial" w:hAnsi="Arial" w:cs="Arial"/>
              <w:b/>
              <w:sz w:val="28"/>
              <w:szCs w:val="28"/>
            </w:rPr>
            <w:t>4</w:t>
          </w:r>
        </w:p>
        <w:p w:rsidR="005C4925" w:rsidRPr="00B27481" w:rsidRDefault="005C4925" w:rsidP="00B27481">
          <w:pPr>
            <w:pStyle w:val="Cabealho"/>
            <w:spacing w:before="240" w:after="240"/>
            <w:jc w:val="right"/>
            <w:rPr>
              <w:rFonts w:ascii="Arial" w:hAnsi="Arial" w:cs="Arial"/>
              <w:sz w:val="28"/>
              <w:szCs w:val="28"/>
            </w:rPr>
          </w:pPr>
          <w:r w:rsidRPr="00B27481">
            <w:rPr>
              <w:rFonts w:ascii="Arial" w:hAnsi="Arial" w:cs="Arial"/>
              <w:sz w:val="28"/>
              <w:szCs w:val="28"/>
            </w:rPr>
            <w:t>Formulário de comentários e sugestões</w:t>
          </w:r>
        </w:p>
      </w:tc>
    </w:tr>
  </w:tbl>
  <w:p w:rsidR="005C4925" w:rsidRPr="0036380F" w:rsidRDefault="005C4925" w:rsidP="006E3142">
    <w:pPr>
      <w:pStyle w:val="Cabealho"/>
    </w:pPr>
  </w:p>
  <w:p w:rsidR="005C4925" w:rsidRDefault="005C492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232" w:rsidRPr="0036380F" w:rsidRDefault="00190232" w:rsidP="006E3142">
    <w:pPr>
      <w:pStyle w:val="Cabealho"/>
    </w:pPr>
  </w:p>
  <w:p w:rsidR="00190232" w:rsidRDefault="001902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373"/>
    <w:multiLevelType w:val="hybridMultilevel"/>
    <w:tmpl w:val="901633C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915538"/>
    <w:multiLevelType w:val="hybridMultilevel"/>
    <w:tmpl w:val="21DE9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3260E"/>
    <w:multiLevelType w:val="hybridMultilevel"/>
    <w:tmpl w:val="472A65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166C66"/>
    <w:multiLevelType w:val="hybridMultilevel"/>
    <w:tmpl w:val="EA509178"/>
    <w:lvl w:ilvl="0" w:tplc="E1A4CA78">
      <w:start w:val="1"/>
      <w:numFmt w:val="lowerLetter"/>
      <w:lvlText w:val="(%1)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930693"/>
    <w:multiLevelType w:val="hybridMultilevel"/>
    <w:tmpl w:val="DC78A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1FDA"/>
    <w:multiLevelType w:val="multilevel"/>
    <w:tmpl w:val="5D12EE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39521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>
    <w:nsid w:val="3DED7F43"/>
    <w:multiLevelType w:val="hybridMultilevel"/>
    <w:tmpl w:val="2488C6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2665A4"/>
    <w:multiLevelType w:val="hybridMultilevel"/>
    <w:tmpl w:val="16669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167F6"/>
    <w:multiLevelType w:val="hybridMultilevel"/>
    <w:tmpl w:val="3FE8FA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0B294D"/>
    <w:multiLevelType w:val="hybridMultilevel"/>
    <w:tmpl w:val="31249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80019C"/>
    <w:multiLevelType w:val="hybridMultilevel"/>
    <w:tmpl w:val="CC38F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57D3B"/>
    <w:multiLevelType w:val="hybridMultilevel"/>
    <w:tmpl w:val="0592F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B1134"/>
    <w:multiLevelType w:val="hybridMultilevel"/>
    <w:tmpl w:val="31E8F624"/>
    <w:lvl w:ilvl="0" w:tplc="F0FEC3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12051"/>
    <w:multiLevelType w:val="multilevel"/>
    <w:tmpl w:val="5D12EE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90E4370"/>
    <w:multiLevelType w:val="multilevel"/>
    <w:tmpl w:val="5D12EE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BC72F08"/>
    <w:multiLevelType w:val="hybridMultilevel"/>
    <w:tmpl w:val="E2242B8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D546D85"/>
    <w:multiLevelType w:val="hybridMultilevel"/>
    <w:tmpl w:val="80663B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D43C6"/>
    <w:multiLevelType w:val="hybridMultilevel"/>
    <w:tmpl w:val="A9AE03D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A44429A"/>
    <w:multiLevelType w:val="hybridMultilevel"/>
    <w:tmpl w:val="867A956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3"/>
  </w:num>
  <w:num w:numId="5">
    <w:abstractNumId w:val="10"/>
  </w:num>
  <w:num w:numId="6">
    <w:abstractNumId w:val="5"/>
  </w:num>
  <w:num w:numId="7">
    <w:abstractNumId w:val="15"/>
  </w:num>
  <w:num w:numId="8">
    <w:abstractNumId w:val="1"/>
  </w:num>
  <w:num w:numId="9">
    <w:abstractNumId w:val="0"/>
  </w:num>
  <w:num w:numId="10">
    <w:abstractNumId w:val="14"/>
  </w:num>
  <w:num w:numId="11">
    <w:abstractNumId w:val="18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8"/>
  </w:num>
  <w:num w:numId="17">
    <w:abstractNumId w:val="7"/>
  </w:num>
  <w:num w:numId="18">
    <w:abstractNumId w:val="16"/>
  </w:num>
  <w:num w:numId="19">
    <w:abstractNumId w:val="6"/>
  </w:num>
  <w:num w:numId="20">
    <w:abstractNumId w:val="1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42086"/>
    <w:rsid w:val="000343D5"/>
    <w:rsid w:val="000428B8"/>
    <w:rsid w:val="00051BF6"/>
    <w:rsid w:val="00066A3F"/>
    <w:rsid w:val="000C0894"/>
    <w:rsid w:val="000C7F3F"/>
    <w:rsid w:val="000E6393"/>
    <w:rsid w:val="00103946"/>
    <w:rsid w:val="00116994"/>
    <w:rsid w:val="0013319A"/>
    <w:rsid w:val="00133B15"/>
    <w:rsid w:val="00144459"/>
    <w:rsid w:val="00152CE9"/>
    <w:rsid w:val="00161E25"/>
    <w:rsid w:val="001626AC"/>
    <w:rsid w:val="001779C8"/>
    <w:rsid w:val="001901B9"/>
    <w:rsid w:val="00190232"/>
    <w:rsid w:val="00193747"/>
    <w:rsid w:val="001965B6"/>
    <w:rsid w:val="001A0C10"/>
    <w:rsid w:val="001A50D6"/>
    <w:rsid w:val="001B5A30"/>
    <w:rsid w:val="001C1572"/>
    <w:rsid w:val="001C370B"/>
    <w:rsid w:val="001E066E"/>
    <w:rsid w:val="001E3E24"/>
    <w:rsid w:val="001F7D00"/>
    <w:rsid w:val="00204729"/>
    <w:rsid w:val="002158EA"/>
    <w:rsid w:val="0022423B"/>
    <w:rsid w:val="0022512C"/>
    <w:rsid w:val="00231493"/>
    <w:rsid w:val="00242A12"/>
    <w:rsid w:val="0024354D"/>
    <w:rsid w:val="00256685"/>
    <w:rsid w:val="00256691"/>
    <w:rsid w:val="00264138"/>
    <w:rsid w:val="00266D59"/>
    <w:rsid w:val="0027568B"/>
    <w:rsid w:val="00291030"/>
    <w:rsid w:val="002B647B"/>
    <w:rsid w:val="002D4B2B"/>
    <w:rsid w:val="002E3B34"/>
    <w:rsid w:val="002F7D72"/>
    <w:rsid w:val="00314BDB"/>
    <w:rsid w:val="003150B5"/>
    <w:rsid w:val="00327F69"/>
    <w:rsid w:val="003423E0"/>
    <w:rsid w:val="00350E8F"/>
    <w:rsid w:val="00356AA7"/>
    <w:rsid w:val="0036380F"/>
    <w:rsid w:val="00381BF5"/>
    <w:rsid w:val="00383385"/>
    <w:rsid w:val="003B2BFE"/>
    <w:rsid w:val="003B7B4E"/>
    <w:rsid w:val="003C1B9C"/>
    <w:rsid w:val="003D32D7"/>
    <w:rsid w:val="003D488D"/>
    <w:rsid w:val="003D73A8"/>
    <w:rsid w:val="003E67D5"/>
    <w:rsid w:val="0040140A"/>
    <w:rsid w:val="00412AA7"/>
    <w:rsid w:val="00446C45"/>
    <w:rsid w:val="00471ADB"/>
    <w:rsid w:val="004873F0"/>
    <w:rsid w:val="004A005A"/>
    <w:rsid w:val="004C0021"/>
    <w:rsid w:val="004D421E"/>
    <w:rsid w:val="00531DE0"/>
    <w:rsid w:val="005519BF"/>
    <w:rsid w:val="005600AD"/>
    <w:rsid w:val="00560FD1"/>
    <w:rsid w:val="0056683F"/>
    <w:rsid w:val="005708A0"/>
    <w:rsid w:val="00581054"/>
    <w:rsid w:val="00591B05"/>
    <w:rsid w:val="005A1EF0"/>
    <w:rsid w:val="005A5291"/>
    <w:rsid w:val="005B3CEF"/>
    <w:rsid w:val="005B7D75"/>
    <w:rsid w:val="005C4925"/>
    <w:rsid w:val="005C5B4E"/>
    <w:rsid w:val="005C7C9A"/>
    <w:rsid w:val="005D62BA"/>
    <w:rsid w:val="005D7856"/>
    <w:rsid w:val="005E21CC"/>
    <w:rsid w:val="00605710"/>
    <w:rsid w:val="00615A71"/>
    <w:rsid w:val="0062557C"/>
    <w:rsid w:val="00630E11"/>
    <w:rsid w:val="00631BDF"/>
    <w:rsid w:val="006523BD"/>
    <w:rsid w:val="00675939"/>
    <w:rsid w:val="00681D9C"/>
    <w:rsid w:val="0068267A"/>
    <w:rsid w:val="00693BED"/>
    <w:rsid w:val="006A5913"/>
    <w:rsid w:val="006A698F"/>
    <w:rsid w:val="006B5310"/>
    <w:rsid w:val="006D11F2"/>
    <w:rsid w:val="006E3142"/>
    <w:rsid w:val="006E7756"/>
    <w:rsid w:val="006F0440"/>
    <w:rsid w:val="006F0AA7"/>
    <w:rsid w:val="006F3664"/>
    <w:rsid w:val="0070007C"/>
    <w:rsid w:val="00700EB7"/>
    <w:rsid w:val="007178AA"/>
    <w:rsid w:val="00717F4A"/>
    <w:rsid w:val="00733A91"/>
    <w:rsid w:val="00733BB5"/>
    <w:rsid w:val="007515D1"/>
    <w:rsid w:val="00764EB1"/>
    <w:rsid w:val="007662D7"/>
    <w:rsid w:val="00795905"/>
    <w:rsid w:val="007B1946"/>
    <w:rsid w:val="007C1169"/>
    <w:rsid w:val="007E2560"/>
    <w:rsid w:val="007F7936"/>
    <w:rsid w:val="00813F4A"/>
    <w:rsid w:val="00815104"/>
    <w:rsid w:val="00815386"/>
    <w:rsid w:val="0083159C"/>
    <w:rsid w:val="0083277E"/>
    <w:rsid w:val="008351D4"/>
    <w:rsid w:val="00842086"/>
    <w:rsid w:val="008447DE"/>
    <w:rsid w:val="00844893"/>
    <w:rsid w:val="008500E0"/>
    <w:rsid w:val="00854EE5"/>
    <w:rsid w:val="008675C5"/>
    <w:rsid w:val="00867FEA"/>
    <w:rsid w:val="00873A4D"/>
    <w:rsid w:val="008979E9"/>
    <w:rsid w:val="008A590E"/>
    <w:rsid w:val="008B5095"/>
    <w:rsid w:val="008B50A3"/>
    <w:rsid w:val="008C229E"/>
    <w:rsid w:val="008C62CA"/>
    <w:rsid w:val="008C72F0"/>
    <w:rsid w:val="008C7956"/>
    <w:rsid w:val="008E0801"/>
    <w:rsid w:val="008E7D7F"/>
    <w:rsid w:val="00903847"/>
    <w:rsid w:val="00913328"/>
    <w:rsid w:val="0092578B"/>
    <w:rsid w:val="009271A8"/>
    <w:rsid w:val="00932C2C"/>
    <w:rsid w:val="00933D58"/>
    <w:rsid w:val="00935184"/>
    <w:rsid w:val="00956D44"/>
    <w:rsid w:val="009702D0"/>
    <w:rsid w:val="0098717F"/>
    <w:rsid w:val="00993A1F"/>
    <w:rsid w:val="0099566E"/>
    <w:rsid w:val="009B1C7E"/>
    <w:rsid w:val="009F0384"/>
    <w:rsid w:val="009F3731"/>
    <w:rsid w:val="00A00FFF"/>
    <w:rsid w:val="00A12AB9"/>
    <w:rsid w:val="00A20B9D"/>
    <w:rsid w:val="00A621DA"/>
    <w:rsid w:val="00A71EF5"/>
    <w:rsid w:val="00A86755"/>
    <w:rsid w:val="00A91CC2"/>
    <w:rsid w:val="00AA1BE0"/>
    <w:rsid w:val="00AA379E"/>
    <w:rsid w:val="00AC3176"/>
    <w:rsid w:val="00AC75F7"/>
    <w:rsid w:val="00AC7BE3"/>
    <w:rsid w:val="00AE02B1"/>
    <w:rsid w:val="00AF17D0"/>
    <w:rsid w:val="00AF4936"/>
    <w:rsid w:val="00AF694E"/>
    <w:rsid w:val="00B0244C"/>
    <w:rsid w:val="00B13EFD"/>
    <w:rsid w:val="00B163AB"/>
    <w:rsid w:val="00B25C8F"/>
    <w:rsid w:val="00B27481"/>
    <w:rsid w:val="00B43186"/>
    <w:rsid w:val="00B45F57"/>
    <w:rsid w:val="00B4687C"/>
    <w:rsid w:val="00B63579"/>
    <w:rsid w:val="00B720A9"/>
    <w:rsid w:val="00BA4C9C"/>
    <w:rsid w:val="00BA7695"/>
    <w:rsid w:val="00BC0EEB"/>
    <w:rsid w:val="00BC1BBC"/>
    <w:rsid w:val="00BC2992"/>
    <w:rsid w:val="00BE0221"/>
    <w:rsid w:val="00BE53C8"/>
    <w:rsid w:val="00C102D5"/>
    <w:rsid w:val="00C13DC4"/>
    <w:rsid w:val="00C1427E"/>
    <w:rsid w:val="00C25F7A"/>
    <w:rsid w:val="00C44A37"/>
    <w:rsid w:val="00C46E21"/>
    <w:rsid w:val="00C5285C"/>
    <w:rsid w:val="00C57F32"/>
    <w:rsid w:val="00C70179"/>
    <w:rsid w:val="00C773E8"/>
    <w:rsid w:val="00C842FE"/>
    <w:rsid w:val="00C85228"/>
    <w:rsid w:val="00C855A3"/>
    <w:rsid w:val="00CA289A"/>
    <w:rsid w:val="00CB01F2"/>
    <w:rsid w:val="00CB2275"/>
    <w:rsid w:val="00CC2BF6"/>
    <w:rsid w:val="00CF02E6"/>
    <w:rsid w:val="00CF2944"/>
    <w:rsid w:val="00D001ED"/>
    <w:rsid w:val="00D1500E"/>
    <w:rsid w:val="00D65D3C"/>
    <w:rsid w:val="00D91DAA"/>
    <w:rsid w:val="00DD6F92"/>
    <w:rsid w:val="00DE1F5E"/>
    <w:rsid w:val="00DF611E"/>
    <w:rsid w:val="00E24646"/>
    <w:rsid w:val="00E30BBE"/>
    <w:rsid w:val="00E540E5"/>
    <w:rsid w:val="00E548B4"/>
    <w:rsid w:val="00E56F6A"/>
    <w:rsid w:val="00E634ED"/>
    <w:rsid w:val="00E66C24"/>
    <w:rsid w:val="00E91A45"/>
    <w:rsid w:val="00EA1DC4"/>
    <w:rsid w:val="00EB206E"/>
    <w:rsid w:val="00ED28BC"/>
    <w:rsid w:val="00EF2C71"/>
    <w:rsid w:val="00EF4AFC"/>
    <w:rsid w:val="00EF7DA8"/>
    <w:rsid w:val="00F16F02"/>
    <w:rsid w:val="00F23A94"/>
    <w:rsid w:val="00F357EF"/>
    <w:rsid w:val="00F41EE5"/>
    <w:rsid w:val="00F503A5"/>
    <w:rsid w:val="00F63177"/>
    <w:rsid w:val="00F637D7"/>
    <w:rsid w:val="00F80D46"/>
    <w:rsid w:val="00F87847"/>
    <w:rsid w:val="00F94F1B"/>
    <w:rsid w:val="00F972DC"/>
    <w:rsid w:val="00FB055B"/>
    <w:rsid w:val="00FB378C"/>
    <w:rsid w:val="00FB7B6B"/>
    <w:rsid w:val="00FC4D2D"/>
    <w:rsid w:val="00FC7E22"/>
    <w:rsid w:val="00FD1404"/>
    <w:rsid w:val="00FD72CF"/>
    <w:rsid w:val="00FF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86"/>
    <w:pPr>
      <w:jc w:val="left"/>
    </w:pPr>
    <w:rPr>
      <w:sz w:val="20"/>
      <w:szCs w:val="20"/>
      <w:lang w:eastAsia="pt-BR"/>
    </w:rPr>
  </w:style>
  <w:style w:type="paragraph" w:styleId="Ttulo1">
    <w:name w:val="heading 1"/>
    <w:aliases w:val="Document Header1"/>
    <w:basedOn w:val="Normal"/>
    <w:next w:val="Normal"/>
    <w:link w:val="Ttulo1Char"/>
    <w:autoRedefine/>
    <w:qFormat/>
    <w:rsid w:val="00381BF5"/>
    <w:pPr>
      <w:keepNext/>
      <w:numPr>
        <w:numId w:val="2"/>
      </w:numPr>
      <w:spacing w:after="240"/>
      <w:jc w:val="center"/>
      <w:outlineLvl w:val="0"/>
    </w:pPr>
    <w:rPr>
      <w:rFonts w:cs="Arial"/>
      <w:b/>
      <w:caps/>
      <w:kern w:val="28"/>
      <w:sz w:val="28"/>
      <w:szCs w:val="16"/>
      <w:lang w:eastAsia="en-US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381BF5"/>
    <w:pPr>
      <w:keepNext/>
      <w:numPr>
        <w:ilvl w:val="1"/>
        <w:numId w:val="2"/>
      </w:numPr>
      <w:spacing w:before="240" w:after="60"/>
      <w:jc w:val="both"/>
      <w:outlineLvl w:val="1"/>
    </w:pPr>
    <w:rPr>
      <w:b/>
      <w:bCs/>
      <w:iCs/>
      <w:sz w:val="24"/>
      <w:szCs w:val="28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381BF5"/>
    <w:pPr>
      <w:keepNext/>
      <w:numPr>
        <w:ilvl w:val="2"/>
        <w:numId w:val="2"/>
      </w:numPr>
      <w:spacing w:before="240" w:after="60"/>
      <w:jc w:val="both"/>
      <w:outlineLvl w:val="2"/>
    </w:pPr>
    <w:rPr>
      <w:bCs/>
      <w:sz w:val="22"/>
      <w:szCs w:val="26"/>
      <w:lang w:eastAsia="en-US"/>
    </w:rPr>
  </w:style>
  <w:style w:type="paragraph" w:styleId="Ttulo4">
    <w:name w:val="heading 4"/>
    <w:aliases w:val=" Sub-Clause Sub-paragraph,ClauseSubSub_No&amp;Name,Sub-Clause Sub-paragraph"/>
    <w:basedOn w:val="Normal"/>
    <w:next w:val="Normal"/>
    <w:link w:val="Ttulo4Char"/>
    <w:qFormat/>
    <w:rsid w:val="00381BF5"/>
    <w:pPr>
      <w:numPr>
        <w:ilvl w:val="3"/>
        <w:numId w:val="2"/>
      </w:numPr>
      <w:spacing w:after="200"/>
      <w:jc w:val="both"/>
      <w:outlineLvl w:val="3"/>
    </w:pPr>
    <w:rPr>
      <w:sz w:val="24"/>
      <w:lang w:val="en-US" w:eastAsia="en-US"/>
    </w:rPr>
  </w:style>
  <w:style w:type="paragraph" w:styleId="Ttulo5">
    <w:name w:val="heading 5"/>
    <w:basedOn w:val="Normal"/>
    <w:next w:val="Normal"/>
    <w:link w:val="Ttulo5Char"/>
    <w:autoRedefine/>
    <w:qFormat/>
    <w:rsid w:val="00381BF5"/>
    <w:pPr>
      <w:numPr>
        <w:ilvl w:val="4"/>
        <w:numId w:val="2"/>
      </w:numPr>
      <w:spacing w:after="240"/>
      <w:jc w:val="center"/>
      <w:outlineLvl w:val="4"/>
    </w:pPr>
    <w:rPr>
      <w:b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381BF5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381BF5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lang w:eastAsia="en-US"/>
    </w:rPr>
  </w:style>
  <w:style w:type="paragraph" w:styleId="Ttulo8">
    <w:name w:val="heading 8"/>
    <w:basedOn w:val="Normal"/>
    <w:next w:val="Normal"/>
    <w:link w:val="Ttulo8Char"/>
    <w:qFormat/>
    <w:rsid w:val="00381BF5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lang w:eastAsia="en-US"/>
    </w:rPr>
  </w:style>
  <w:style w:type="paragraph" w:styleId="Ttulo9">
    <w:name w:val="heading 9"/>
    <w:basedOn w:val="Normal"/>
    <w:next w:val="Normal"/>
    <w:link w:val="Ttulo9Char"/>
    <w:qFormat/>
    <w:rsid w:val="00381BF5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842086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42086"/>
    <w:pPr>
      <w:jc w:val="left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2086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2086"/>
    <w:rPr>
      <w:rFonts w:eastAsia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0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42086"/>
    <w:rPr>
      <w:rFonts w:ascii="Tahoma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91CC2"/>
    <w:rPr>
      <w:rFonts w:cs="Times New Roman"/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140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0140A"/>
    <w:rPr>
      <w:rFonts w:eastAsia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0140A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3638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2C2C"/>
    <w:rPr>
      <w:rFonts w:cs="Times New Roman"/>
      <w:color w:val="0000FF" w:themeColor="hyperlink"/>
      <w:u w:val="single"/>
    </w:rPr>
  </w:style>
  <w:style w:type="character" w:customStyle="1" w:styleId="Ttulo1Char">
    <w:name w:val="Título 1 Char"/>
    <w:aliases w:val="Document Header1 Char"/>
    <w:basedOn w:val="Fontepargpadro"/>
    <w:link w:val="Ttulo1"/>
    <w:rsid w:val="00381BF5"/>
    <w:rPr>
      <w:rFonts w:cs="Arial"/>
      <w:b/>
      <w:caps/>
      <w:kern w:val="28"/>
      <w:sz w:val="28"/>
      <w:szCs w:val="16"/>
    </w:rPr>
  </w:style>
  <w:style w:type="character" w:customStyle="1" w:styleId="Ttulo2Char">
    <w:name w:val="Título 2 Char"/>
    <w:basedOn w:val="Fontepargpadro"/>
    <w:link w:val="Ttulo2"/>
    <w:rsid w:val="00381BF5"/>
    <w:rPr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rsid w:val="00381BF5"/>
    <w:rPr>
      <w:bCs/>
      <w:sz w:val="22"/>
      <w:szCs w:val="26"/>
    </w:rPr>
  </w:style>
  <w:style w:type="character" w:customStyle="1" w:styleId="Ttulo4Char">
    <w:name w:val="Título 4 Char"/>
    <w:aliases w:val=" Sub-Clause Sub-paragraph Char,ClauseSubSub_No&amp;Name Char,Sub-Clause Sub-paragraph Char"/>
    <w:basedOn w:val="Fontepargpadro"/>
    <w:link w:val="Ttulo4"/>
    <w:rsid w:val="00381BF5"/>
    <w:rPr>
      <w:szCs w:val="20"/>
      <w:lang w:val="en-US"/>
    </w:rPr>
  </w:style>
  <w:style w:type="character" w:customStyle="1" w:styleId="Ttulo5Char">
    <w:name w:val="Título 5 Char"/>
    <w:basedOn w:val="Fontepargpadro"/>
    <w:link w:val="Ttulo5"/>
    <w:rsid w:val="00381BF5"/>
    <w:rPr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381BF5"/>
    <w:rPr>
      <w:i/>
      <w:sz w:val="22"/>
      <w:szCs w:val="20"/>
    </w:rPr>
  </w:style>
  <w:style w:type="character" w:customStyle="1" w:styleId="Ttulo7Char">
    <w:name w:val="Título 7 Char"/>
    <w:basedOn w:val="Fontepargpadro"/>
    <w:link w:val="Ttulo7"/>
    <w:rsid w:val="00381BF5"/>
    <w:rPr>
      <w:rFonts w:ascii="Arial" w:hAnsi="Arial"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381BF5"/>
    <w:rPr>
      <w:rFonts w:ascii="Arial" w:hAnsi="Arial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381BF5"/>
    <w:rPr>
      <w:rFonts w:ascii="Arial" w:hAnsi="Arial"/>
      <w:b/>
      <w:i/>
      <w:sz w:val="18"/>
      <w:szCs w:val="20"/>
    </w:rPr>
  </w:style>
  <w:style w:type="paragraph" w:customStyle="1" w:styleId="Importacao8">
    <w:name w:val="Importacao 8"/>
    <w:basedOn w:val="Normal"/>
    <w:link w:val="Importacao8Char"/>
    <w:qFormat/>
    <w:rsid w:val="00256691"/>
    <w:rPr>
      <w:rFonts w:ascii="Arial" w:hAnsi="Arial"/>
      <w:sz w:val="24"/>
    </w:rPr>
  </w:style>
  <w:style w:type="character" w:customStyle="1" w:styleId="Importacao8Char">
    <w:name w:val="Importacao 8 Char"/>
    <w:basedOn w:val="Fontepargpadro"/>
    <w:link w:val="Importacao8"/>
    <w:rsid w:val="00256691"/>
    <w:rPr>
      <w:rFonts w:ascii="Arial" w:hAnsi="Arial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86"/>
    <w:pPr>
      <w:jc w:val="left"/>
    </w:pPr>
    <w:rPr>
      <w:sz w:val="20"/>
      <w:szCs w:val="20"/>
      <w:lang w:eastAsia="pt-BR"/>
    </w:rPr>
  </w:style>
  <w:style w:type="paragraph" w:styleId="Ttulo1">
    <w:name w:val="heading 1"/>
    <w:aliases w:val="Document Header1"/>
    <w:basedOn w:val="Normal"/>
    <w:next w:val="Normal"/>
    <w:link w:val="Ttulo1Char"/>
    <w:autoRedefine/>
    <w:qFormat/>
    <w:rsid w:val="00381BF5"/>
    <w:pPr>
      <w:keepNext/>
      <w:numPr>
        <w:numId w:val="2"/>
      </w:numPr>
      <w:spacing w:after="240"/>
      <w:jc w:val="center"/>
      <w:outlineLvl w:val="0"/>
    </w:pPr>
    <w:rPr>
      <w:rFonts w:cs="Arial"/>
      <w:b/>
      <w:caps/>
      <w:kern w:val="28"/>
      <w:sz w:val="28"/>
      <w:szCs w:val="16"/>
      <w:lang w:eastAsia="en-US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381BF5"/>
    <w:pPr>
      <w:keepNext/>
      <w:numPr>
        <w:ilvl w:val="1"/>
        <w:numId w:val="2"/>
      </w:numPr>
      <w:spacing w:before="240" w:after="60"/>
      <w:jc w:val="both"/>
      <w:outlineLvl w:val="1"/>
    </w:pPr>
    <w:rPr>
      <w:b/>
      <w:bCs/>
      <w:iCs/>
      <w:sz w:val="24"/>
      <w:szCs w:val="28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381BF5"/>
    <w:pPr>
      <w:keepNext/>
      <w:numPr>
        <w:ilvl w:val="2"/>
        <w:numId w:val="2"/>
      </w:numPr>
      <w:spacing w:before="240" w:after="60"/>
      <w:jc w:val="both"/>
      <w:outlineLvl w:val="2"/>
    </w:pPr>
    <w:rPr>
      <w:bCs/>
      <w:sz w:val="22"/>
      <w:szCs w:val="26"/>
      <w:lang w:eastAsia="en-US"/>
    </w:rPr>
  </w:style>
  <w:style w:type="paragraph" w:styleId="Ttulo4">
    <w:name w:val="heading 4"/>
    <w:aliases w:val=" Sub-Clause Sub-paragraph,ClauseSubSub_No&amp;Name,Sub-Clause Sub-paragraph"/>
    <w:basedOn w:val="Normal"/>
    <w:next w:val="Normal"/>
    <w:link w:val="Ttulo4Char"/>
    <w:qFormat/>
    <w:rsid w:val="00381BF5"/>
    <w:pPr>
      <w:numPr>
        <w:ilvl w:val="3"/>
        <w:numId w:val="2"/>
      </w:numPr>
      <w:spacing w:after="200"/>
      <w:jc w:val="both"/>
      <w:outlineLvl w:val="3"/>
    </w:pPr>
    <w:rPr>
      <w:sz w:val="24"/>
      <w:lang w:val="en-US" w:eastAsia="en-US"/>
    </w:rPr>
  </w:style>
  <w:style w:type="paragraph" w:styleId="Ttulo5">
    <w:name w:val="heading 5"/>
    <w:basedOn w:val="Normal"/>
    <w:next w:val="Normal"/>
    <w:link w:val="Ttulo5Char"/>
    <w:autoRedefine/>
    <w:qFormat/>
    <w:rsid w:val="00381BF5"/>
    <w:pPr>
      <w:numPr>
        <w:ilvl w:val="4"/>
        <w:numId w:val="2"/>
      </w:numPr>
      <w:spacing w:after="240"/>
      <w:jc w:val="center"/>
      <w:outlineLvl w:val="4"/>
    </w:pPr>
    <w:rPr>
      <w:b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381BF5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381BF5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lang w:eastAsia="en-US"/>
    </w:rPr>
  </w:style>
  <w:style w:type="paragraph" w:styleId="Ttulo8">
    <w:name w:val="heading 8"/>
    <w:basedOn w:val="Normal"/>
    <w:next w:val="Normal"/>
    <w:link w:val="Ttulo8Char"/>
    <w:qFormat/>
    <w:rsid w:val="00381BF5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lang w:eastAsia="en-US"/>
    </w:rPr>
  </w:style>
  <w:style w:type="paragraph" w:styleId="Ttulo9">
    <w:name w:val="heading 9"/>
    <w:basedOn w:val="Normal"/>
    <w:next w:val="Normal"/>
    <w:link w:val="Ttulo9Char"/>
    <w:qFormat/>
    <w:rsid w:val="00381BF5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842086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42086"/>
    <w:pPr>
      <w:jc w:val="left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42086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0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42086"/>
    <w:rPr>
      <w:rFonts w:eastAsia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0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42086"/>
    <w:rPr>
      <w:rFonts w:ascii="Tahoma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91CC2"/>
    <w:rPr>
      <w:rFonts w:cs="Times New Roman"/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140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0140A"/>
    <w:rPr>
      <w:rFonts w:eastAsia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0140A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36380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2C2C"/>
    <w:rPr>
      <w:rFonts w:cs="Times New Roman"/>
      <w:color w:val="0000FF" w:themeColor="hyperlink"/>
      <w:u w:val="single"/>
    </w:rPr>
  </w:style>
  <w:style w:type="character" w:customStyle="1" w:styleId="Ttulo1Char">
    <w:name w:val="Título 1 Char"/>
    <w:aliases w:val="Document Header1 Char"/>
    <w:basedOn w:val="Fontepargpadro"/>
    <w:link w:val="Ttulo1"/>
    <w:rsid w:val="00381BF5"/>
    <w:rPr>
      <w:rFonts w:cs="Arial"/>
      <w:b/>
      <w:caps/>
      <w:kern w:val="28"/>
      <w:sz w:val="28"/>
      <w:szCs w:val="16"/>
    </w:rPr>
  </w:style>
  <w:style w:type="character" w:customStyle="1" w:styleId="Ttulo2Char">
    <w:name w:val="Título 2 Char"/>
    <w:basedOn w:val="Fontepargpadro"/>
    <w:link w:val="Ttulo2"/>
    <w:rsid w:val="00381BF5"/>
    <w:rPr>
      <w:b/>
      <w:bCs/>
      <w:iCs/>
      <w:szCs w:val="28"/>
    </w:rPr>
  </w:style>
  <w:style w:type="character" w:customStyle="1" w:styleId="Ttulo3Char">
    <w:name w:val="Título 3 Char"/>
    <w:basedOn w:val="Fontepargpadro"/>
    <w:link w:val="Ttulo3"/>
    <w:rsid w:val="00381BF5"/>
    <w:rPr>
      <w:bCs/>
      <w:sz w:val="22"/>
      <w:szCs w:val="26"/>
    </w:rPr>
  </w:style>
  <w:style w:type="character" w:customStyle="1" w:styleId="Ttulo4Char">
    <w:name w:val="Título 4 Char"/>
    <w:aliases w:val=" Sub-Clause Sub-paragraph Char,ClauseSubSub_No&amp;Name Char,Sub-Clause Sub-paragraph Char"/>
    <w:basedOn w:val="Fontepargpadro"/>
    <w:link w:val="Ttulo4"/>
    <w:rsid w:val="00381BF5"/>
    <w:rPr>
      <w:szCs w:val="20"/>
      <w:lang w:val="en-US"/>
    </w:rPr>
  </w:style>
  <w:style w:type="character" w:customStyle="1" w:styleId="Ttulo5Char">
    <w:name w:val="Título 5 Char"/>
    <w:basedOn w:val="Fontepargpadro"/>
    <w:link w:val="Ttulo5"/>
    <w:rsid w:val="00381BF5"/>
    <w:rPr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381BF5"/>
    <w:rPr>
      <w:i/>
      <w:sz w:val="22"/>
      <w:szCs w:val="20"/>
    </w:rPr>
  </w:style>
  <w:style w:type="character" w:customStyle="1" w:styleId="Ttulo7Char">
    <w:name w:val="Título 7 Char"/>
    <w:basedOn w:val="Fontepargpadro"/>
    <w:link w:val="Ttulo7"/>
    <w:rsid w:val="00381BF5"/>
    <w:rPr>
      <w:rFonts w:ascii="Arial" w:hAnsi="Arial"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381BF5"/>
    <w:rPr>
      <w:rFonts w:ascii="Arial" w:hAnsi="Arial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381BF5"/>
    <w:rPr>
      <w:rFonts w:ascii="Arial" w:hAnsi="Arial"/>
      <w:b/>
      <w:i/>
      <w:sz w:val="18"/>
      <w:szCs w:val="20"/>
    </w:rPr>
  </w:style>
  <w:style w:type="paragraph" w:customStyle="1" w:styleId="Importacao8">
    <w:name w:val="Importacao 8"/>
    <w:basedOn w:val="Normal"/>
    <w:link w:val="Importacao8Char"/>
    <w:qFormat/>
    <w:rsid w:val="00256691"/>
    <w:rPr>
      <w:rFonts w:ascii="Arial" w:hAnsi="Arial"/>
      <w:sz w:val="24"/>
    </w:rPr>
  </w:style>
  <w:style w:type="character" w:customStyle="1" w:styleId="Importacao8Char">
    <w:name w:val="Importacao 8 Char"/>
    <w:basedOn w:val="Fontepargpadro"/>
    <w:link w:val="Importacao8"/>
    <w:rsid w:val="00256691"/>
    <w:rPr>
      <w:rFonts w:ascii="Arial" w:hAnsi="Arial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m@anp.gov.br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anp.gov.b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C41CF-8390-47D9-B26E-C42A4590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3924</Words>
  <Characters>21355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Peçanha</dc:creator>
  <cp:lastModifiedBy>Administrador</cp:lastModifiedBy>
  <cp:revision>3</cp:revision>
  <cp:lastPrinted>2013-01-24T15:49:00Z</cp:lastPrinted>
  <dcterms:created xsi:type="dcterms:W3CDTF">2014-06-27T14:07:00Z</dcterms:created>
  <dcterms:modified xsi:type="dcterms:W3CDTF">2014-06-27T15:13:00Z</dcterms:modified>
</cp:coreProperties>
</file>